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44"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UNITED STATES</w:t>
      </w: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SECURITIES AND EXCHANGE COMMISSION</w:t>
      </w:r>
    </w:p>
    <w:p>
      <w:pPr>
        <w:jc w:val="center"/>
        <w:ind w:right="-39"/>
        <w:spacing w:after="0"/>
        <w:rPr>
          <w:sz w:val="20"/>
          <w:szCs w:val="20"/>
          <w:color w:val="auto"/>
        </w:rPr>
      </w:pPr>
      <w:r>
        <w:rPr>
          <w:rFonts w:ascii="Arial" w:cs="Arial" w:eastAsia="Arial" w:hAnsi="Arial"/>
          <w:sz w:val="19"/>
          <w:szCs w:val="19"/>
          <w:b w:val="1"/>
          <w:bCs w:val="1"/>
          <w:color w:val="auto"/>
        </w:rPr>
        <w:t>Washington, D.C. 20549</w:t>
      </w:r>
    </w:p>
    <w:p>
      <w:pPr>
        <w:spacing w:after="0" w:line="229"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FORM 10-K/A</w:t>
      </w:r>
    </w:p>
    <w:p>
      <w:pPr>
        <w:spacing w:after="0" w:line="136" w:lineRule="exact"/>
        <w:rPr>
          <w:sz w:val="24"/>
          <w:szCs w:val="24"/>
          <w:color w:val="auto"/>
        </w:rPr>
      </w:pPr>
    </w:p>
    <w:p>
      <w:pPr>
        <w:ind w:left="400" w:hanging="377"/>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8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Fiscal Year Ended December 31, 2020</w:t>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109" w:lineRule="exact"/>
        <w:rPr>
          <w:sz w:val="24"/>
          <w:szCs w:val="24"/>
          <w:color w:val="auto"/>
        </w:rPr>
      </w:pPr>
    </w:p>
    <w:p>
      <w:pPr>
        <w:ind w:left="400" w:hanging="377"/>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0" w:lineRule="exact"/>
        <w:rPr>
          <w:sz w:val="24"/>
          <w:szCs w:val="24"/>
          <w:color w:val="auto"/>
        </w:rPr>
      </w:pPr>
    </w:p>
    <w:p>
      <w:pPr>
        <w:ind w:left="4000"/>
        <w:spacing w:after="0"/>
        <w:tabs>
          <w:tab w:leader="none" w:pos="65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No. 1-13881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2969895</wp:posOffset>
            </wp:positionH>
            <wp:positionV relativeFrom="paragraph">
              <wp:posOffset>-1905</wp:posOffset>
            </wp:positionV>
            <wp:extent cx="1169670" cy="384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9670" cy="3841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MARRIOTT INTERNATIONAL, INC.</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1120" w:type="dxa"/>
            <w:vAlign w:val="bottom"/>
          </w:tcPr>
          <w:p>
            <w:pPr>
              <w:spacing w:after="0"/>
              <w:rPr>
                <w:sz w:val="17"/>
                <w:szCs w:val="17"/>
                <w:color w:val="auto"/>
              </w:rPr>
            </w:pPr>
          </w:p>
        </w:tc>
        <w:tc>
          <w:tcPr>
            <w:tcW w:w="3520" w:type="dxa"/>
            <w:vAlign w:val="bottom"/>
            <w:gridSpan w:val="2"/>
          </w:tcPr>
          <w:p>
            <w:pPr>
              <w:jc w:val="center"/>
              <w:ind w:left="1961"/>
              <w:spacing w:after="0"/>
              <w:rPr>
                <w:sz w:val="20"/>
                <w:szCs w:val="20"/>
                <w:color w:val="auto"/>
              </w:rPr>
            </w:pPr>
            <w:r>
              <w:rPr>
                <w:rFonts w:ascii="Arial" w:cs="Arial" w:eastAsia="Arial" w:hAnsi="Arial"/>
                <w:sz w:val="16"/>
                <w:szCs w:val="16"/>
                <w:b w:val="1"/>
                <w:bCs w:val="1"/>
                <w:color w:val="auto"/>
                <w:w w:val="91"/>
              </w:rPr>
              <w:t>Delaware</w:t>
            </w:r>
          </w:p>
        </w:tc>
        <w:tc>
          <w:tcPr>
            <w:tcW w:w="1740" w:type="dxa"/>
            <w:vAlign w:val="bottom"/>
          </w:tcPr>
          <w:p>
            <w:pPr>
              <w:spacing w:after="0"/>
              <w:rPr>
                <w:sz w:val="17"/>
                <w:szCs w:val="17"/>
                <w:color w:val="auto"/>
              </w:rPr>
            </w:pPr>
          </w:p>
        </w:tc>
        <w:tc>
          <w:tcPr>
            <w:tcW w:w="3780" w:type="dxa"/>
            <w:vAlign w:val="bottom"/>
            <w:gridSpan w:val="2"/>
          </w:tcPr>
          <w:p>
            <w:pPr>
              <w:jc w:val="right"/>
              <w:ind w:right="2181"/>
              <w:spacing w:after="0"/>
              <w:rPr>
                <w:sz w:val="20"/>
                <w:szCs w:val="20"/>
                <w:color w:val="auto"/>
              </w:rPr>
            </w:pPr>
            <w:r>
              <w:rPr>
                <w:rFonts w:ascii="Arial" w:cs="Arial" w:eastAsia="Arial" w:hAnsi="Arial"/>
                <w:sz w:val="16"/>
                <w:szCs w:val="16"/>
                <w:b w:val="1"/>
                <w:bCs w:val="1"/>
                <w:color w:val="auto"/>
              </w:rPr>
              <w:t>52-2055918</w:t>
            </w:r>
          </w:p>
        </w:tc>
      </w:tr>
      <w:tr>
        <w:trPr>
          <w:trHeight w:val="165"/>
        </w:trPr>
        <w:tc>
          <w:tcPr>
            <w:tcW w:w="1120" w:type="dxa"/>
            <w:vAlign w:val="bottom"/>
          </w:tcPr>
          <w:p>
            <w:pPr>
              <w:spacing w:after="0"/>
              <w:rPr>
                <w:sz w:val="14"/>
                <w:szCs w:val="14"/>
                <w:color w:val="auto"/>
              </w:rPr>
            </w:pPr>
          </w:p>
        </w:tc>
        <w:tc>
          <w:tcPr>
            <w:tcW w:w="5260" w:type="dxa"/>
            <w:vAlign w:val="bottom"/>
            <w:gridSpan w:val="3"/>
          </w:tcPr>
          <w:p>
            <w:pPr>
              <w:jc w:val="center"/>
              <w:ind w:left="241"/>
              <w:spacing w:after="0" w:line="165" w:lineRule="exact"/>
              <w:rPr>
                <w:sz w:val="20"/>
                <w:szCs w:val="20"/>
                <w:color w:val="auto"/>
              </w:rPr>
            </w:pPr>
            <w:r>
              <w:rPr>
                <w:rFonts w:ascii="Arial" w:cs="Arial" w:eastAsia="Arial" w:hAnsi="Arial"/>
                <w:sz w:val="16"/>
                <w:szCs w:val="16"/>
                <w:b w:val="1"/>
                <w:bCs w:val="1"/>
                <w:color w:val="auto"/>
                <w:w w:val="90"/>
              </w:rPr>
              <w:t>(State or other jurisdiction of</w:t>
            </w:r>
          </w:p>
        </w:tc>
        <w:tc>
          <w:tcPr>
            <w:tcW w:w="3780" w:type="dxa"/>
            <w:vAlign w:val="bottom"/>
            <w:gridSpan w:val="2"/>
          </w:tcPr>
          <w:p>
            <w:pPr>
              <w:jc w:val="center"/>
              <w:ind w:right="1401"/>
              <w:spacing w:after="0" w:line="165" w:lineRule="exact"/>
              <w:rPr>
                <w:sz w:val="20"/>
                <w:szCs w:val="20"/>
                <w:color w:val="auto"/>
              </w:rPr>
            </w:pPr>
            <w:r>
              <w:rPr>
                <w:rFonts w:ascii="Arial" w:cs="Arial" w:eastAsia="Arial" w:hAnsi="Arial"/>
                <w:sz w:val="16"/>
                <w:szCs w:val="16"/>
                <w:b w:val="1"/>
                <w:bCs w:val="1"/>
                <w:color w:val="auto"/>
                <w:w w:val="93"/>
              </w:rPr>
              <w:t>(IRS Employer</w:t>
            </w:r>
          </w:p>
        </w:tc>
      </w:tr>
      <w:tr>
        <w:trPr>
          <w:trHeight w:val="205"/>
        </w:trPr>
        <w:tc>
          <w:tcPr>
            <w:tcW w:w="1120" w:type="dxa"/>
            <w:vAlign w:val="bottom"/>
          </w:tcPr>
          <w:p>
            <w:pPr>
              <w:spacing w:after="0"/>
              <w:rPr>
                <w:sz w:val="17"/>
                <w:szCs w:val="17"/>
                <w:color w:val="auto"/>
              </w:rPr>
            </w:pPr>
          </w:p>
        </w:tc>
        <w:tc>
          <w:tcPr>
            <w:tcW w:w="5260" w:type="dxa"/>
            <w:vAlign w:val="bottom"/>
            <w:gridSpan w:val="3"/>
          </w:tcPr>
          <w:p>
            <w:pPr>
              <w:jc w:val="center"/>
              <w:ind w:left="241"/>
              <w:spacing w:after="0"/>
              <w:rPr>
                <w:sz w:val="20"/>
                <w:szCs w:val="20"/>
                <w:color w:val="auto"/>
              </w:rPr>
            </w:pPr>
            <w:r>
              <w:rPr>
                <w:rFonts w:ascii="Arial" w:cs="Arial" w:eastAsia="Arial" w:hAnsi="Arial"/>
                <w:sz w:val="16"/>
                <w:szCs w:val="16"/>
                <w:b w:val="1"/>
                <w:bCs w:val="1"/>
                <w:color w:val="auto"/>
                <w:w w:val="90"/>
              </w:rPr>
              <w:t>incorporation or organization)</w:t>
            </w:r>
          </w:p>
        </w:tc>
        <w:tc>
          <w:tcPr>
            <w:tcW w:w="3780" w:type="dxa"/>
            <w:vAlign w:val="bottom"/>
            <w:gridSpan w:val="2"/>
          </w:tcPr>
          <w:p>
            <w:pPr>
              <w:jc w:val="center"/>
              <w:ind w:right="1421"/>
              <w:spacing w:after="0"/>
              <w:rPr>
                <w:sz w:val="20"/>
                <w:szCs w:val="20"/>
                <w:color w:val="auto"/>
              </w:rPr>
            </w:pPr>
            <w:r>
              <w:rPr>
                <w:rFonts w:ascii="Arial" w:cs="Arial" w:eastAsia="Arial" w:hAnsi="Arial"/>
                <w:sz w:val="16"/>
                <w:szCs w:val="16"/>
                <w:b w:val="1"/>
                <w:bCs w:val="1"/>
                <w:color w:val="auto"/>
                <w:w w:val="91"/>
              </w:rPr>
              <w:t>Identification No.)</w:t>
            </w:r>
          </w:p>
        </w:tc>
      </w:tr>
      <w:tr>
        <w:trPr>
          <w:trHeight w:val="262"/>
        </w:trPr>
        <w:tc>
          <w:tcPr>
            <w:tcW w:w="1120" w:type="dxa"/>
            <w:vAlign w:val="bottom"/>
          </w:tcPr>
          <w:p>
            <w:pPr>
              <w:spacing w:after="0"/>
              <w:rPr>
                <w:sz w:val="22"/>
                <w:szCs w:val="22"/>
                <w:color w:val="auto"/>
              </w:rPr>
            </w:pPr>
          </w:p>
        </w:tc>
        <w:tc>
          <w:tcPr>
            <w:tcW w:w="3520" w:type="dxa"/>
            <w:vAlign w:val="bottom"/>
            <w:gridSpan w:val="2"/>
          </w:tcPr>
          <w:p>
            <w:pPr>
              <w:ind w:left="1080"/>
              <w:spacing w:after="0"/>
              <w:rPr>
                <w:sz w:val="20"/>
                <w:szCs w:val="20"/>
                <w:color w:val="auto"/>
              </w:rPr>
            </w:pPr>
            <w:r>
              <w:rPr>
                <w:rFonts w:ascii="Arial" w:cs="Arial" w:eastAsia="Arial" w:hAnsi="Arial"/>
                <w:sz w:val="16"/>
                <w:szCs w:val="16"/>
                <w:b w:val="1"/>
                <w:bCs w:val="1"/>
                <w:color w:val="auto"/>
                <w:w w:val="94"/>
              </w:rPr>
              <w:t>10400 Fernwood Road   Bethesda</w:t>
            </w:r>
          </w:p>
        </w:tc>
        <w:tc>
          <w:tcPr>
            <w:tcW w:w="1740" w:type="dxa"/>
            <w:vAlign w:val="bottom"/>
          </w:tcPr>
          <w:p>
            <w:pPr>
              <w:ind w:left="160"/>
              <w:spacing w:after="0"/>
              <w:rPr>
                <w:sz w:val="20"/>
                <w:szCs w:val="20"/>
                <w:color w:val="auto"/>
              </w:rPr>
            </w:pPr>
            <w:r>
              <w:rPr>
                <w:rFonts w:ascii="Arial" w:cs="Arial" w:eastAsia="Arial" w:hAnsi="Arial"/>
                <w:sz w:val="16"/>
                <w:szCs w:val="16"/>
                <w:b w:val="1"/>
                <w:bCs w:val="1"/>
                <w:color w:val="auto"/>
              </w:rPr>
              <w:t>Maryland</w:t>
            </w:r>
          </w:p>
        </w:tc>
        <w:tc>
          <w:tcPr>
            <w:tcW w:w="3780" w:type="dxa"/>
            <w:vAlign w:val="bottom"/>
            <w:gridSpan w:val="2"/>
          </w:tcPr>
          <w:p>
            <w:pPr>
              <w:jc w:val="right"/>
              <w:ind w:right="2361"/>
              <w:spacing w:after="0"/>
              <w:rPr>
                <w:sz w:val="20"/>
                <w:szCs w:val="20"/>
                <w:color w:val="auto"/>
              </w:rPr>
            </w:pPr>
            <w:r>
              <w:rPr>
                <w:rFonts w:ascii="Arial" w:cs="Arial" w:eastAsia="Arial" w:hAnsi="Arial"/>
                <w:sz w:val="16"/>
                <w:szCs w:val="16"/>
                <w:b w:val="1"/>
                <w:bCs w:val="1"/>
                <w:color w:val="auto"/>
              </w:rPr>
              <w:t>20817</w:t>
            </w:r>
          </w:p>
        </w:tc>
      </w:tr>
      <w:tr>
        <w:trPr>
          <w:trHeight w:val="211"/>
        </w:trPr>
        <w:tc>
          <w:tcPr>
            <w:tcW w:w="1120" w:type="dxa"/>
            <w:vAlign w:val="bottom"/>
          </w:tcPr>
          <w:p>
            <w:pPr>
              <w:spacing w:after="0"/>
              <w:rPr>
                <w:sz w:val="18"/>
                <w:szCs w:val="18"/>
                <w:color w:val="auto"/>
              </w:rPr>
            </w:pPr>
          </w:p>
        </w:tc>
        <w:tc>
          <w:tcPr>
            <w:tcW w:w="5260" w:type="dxa"/>
            <w:vAlign w:val="bottom"/>
            <w:gridSpan w:val="3"/>
          </w:tcPr>
          <w:p>
            <w:pPr>
              <w:jc w:val="center"/>
              <w:ind w:left="241"/>
              <w:spacing w:after="0"/>
              <w:rPr>
                <w:sz w:val="20"/>
                <w:szCs w:val="20"/>
                <w:color w:val="auto"/>
              </w:rPr>
            </w:pPr>
            <w:r>
              <w:rPr>
                <w:rFonts w:ascii="Arial" w:cs="Arial" w:eastAsia="Arial" w:hAnsi="Arial"/>
                <w:sz w:val="16"/>
                <w:szCs w:val="16"/>
                <w:b w:val="1"/>
                <w:bCs w:val="1"/>
                <w:color w:val="auto"/>
                <w:w w:val="88"/>
              </w:rPr>
              <w:t>(Address of Principal Executive Offices)</w:t>
            </w:r>
          </w:p>
        </w:tc>
        <w:tc>
          <w:tcPr>
            <w:tcW w:w="3780" w:type="dxa"/>
            <w:vAlign w:val="bottom"/>
            <w:gridSpan w:val="2"/>
          </w:tcPr>
          <w:p>
            <w:pPr>
              <w:jc w:val="center"/>
              <w:ind w:right="1401"/>
              <w:spacing w:after="0"/>
              <w:rPr>
                <w:sz w:val="20"/>
                <w:szCs w:val="20"/>
                <w:color w:val="auto"/>
              </w:rPr>
            </w:pPr>
            <w:r>
              <w:rPr>
                <w:rFonts w:ascii="Arial" w:cs="Arial" w:eastAsia="Arial" w:hAnsi="Arial"/>
                <w:sz w:val="16"/>
                <w:szCs w:val="16"/>
                <w:b w:val="1"/>
                <w:bCs w:val="1"/>
                <w:color w:val="auto"/>
                <w:w w:val="93"/>
              </w:rPr>
              <w:t>(Zip Code)</w:t>
            </w:r>
          </w:p>
        </w:tc>
      </w:tr>
      <w:tr>
        <w:trPr>
          <w:trHeight w:val="506"/>
        </w:trPr>
        <w:tc>
          <w:tcPr>
            <w:tcW w:w="1120" w:type="dxa"/>
            <w:vAlign w:val="bottom"/>
          </w:tcPr>
          <w:p>
            <w:pPr>
              <w:spacing w:after="0"/>
              <w:rPr>
                <w:sz w:val="24"/>
                <w:szCs w:val="24"/>
                <w:color w:val="auto"/>
              </w:rPr>
            </w:pPr>
          </w:p>
        </w:tc>
        <w:tc>
          <w:tcPr>
            <w:tcW w:w="9040" w:type="dxa"/>
            <w:vAlign w:val="bottom"/>
            <w:gridSpan w:val="5"/>
          </w:tcPr>
          <w:p>
            <w:pPr>
              <w:jc w:val="center"/>
              <w:spacing w:after="0"/>
              <w:rPr>
                <w:sz w:val="20"/>
                <w:szCs w:val="20"/>
                <w:color w:val="auto"/>
              </w:rPr>
            </w:pPr>
            <w:r>
              <w:rPr>
                <w:rFonts w:ascii="Arial" w:cs="Arial" w:eastAsia="Arial" w:hAnsi="Arial"/>
                <w:sz w:val="16"/>
                <w:szCs w:val="16"/>
                <w:b w:val="1"/>
                <w:bCs w:val="1"/>
                <w:color w:val="auto"/>
                <w:w w:val="89"/>
              </w:rPr>
              <w:t>Registrant’s Telephone Number, Including Area Code (301) 380-3000</w:t>
            </w:r>
          </w:p>
        </w:tc>
      </w:tr>
      <w:tr>
        <w:trPr>
          <w:trHeight w:val="205"/>
        </w:trPr>
        <w:tc>
          <w:tcPr>
            <w:tcW w:w="1120" w:type="dxa"/>
            <w:vAlign w:val="bottom"/>
          </w:tcPr>
          <w:p>
            <w:pPr>
              <w:spacing w:after="0"/>
              <w:rPr>
                <w:sz w:val="17"/>
                <w:szCs w:val="17"/>
                <w:color w:val="auto"/>
              </w:rPr>
            </w:pPr>
          </w:p>
        </w:tc>
        <w:tc>
          <w:tcPr>
            <w:tcW w:w="6440" w:type="dxa"/>
            <w:vAlign w:val="bottom"/>
            <w:gridSpan w:val="4"/>
          </w:tcPr>
          <w:p>
            <w:pPr>
              <w:jc w:val="center"/>
              <w:ind w:left="2501"/>
              <w:spacing w:after="0"/>
              <w:rPr>
                <w:sz w:val="20"/>
                <w:szCs w:val="20"/>
                <w:color w:val="auto"/>
              </w:rPr>
            </w:pPr>
            <w:r>
              <w:rPr>
                <w:rFonts w:ascii="Arial" w:cs="Arial" w:eastAsia="Arial" w:hAnsi="Arial"/>
                <w:sz w:val="16"/>
                <w:szCs w:val="16"/>
                <w:b w:val="1"/>
                <w:bCs w:val="1"/>
                <w:color w:val="auto"/>
                <w:w w:val="87"/>
              </w:rPr>
              <w:t>Securities registered pursuant to Section 12(b) of the Act:</w:t>
            </w:r>
          </w:p>
        </w:tc>
        <w:tc>
          <w:tcPr>
            <w:tcW w:w="2600" w:type="dxa"/>
            <w:vAlign w:val="bottom"/>
          </w:tcPr>
          <w:p>
            <w:pPr>
              <w:spacing w:after="0"/>
              <w:rPr>
                <w:sz w:val="17"/>
                <w:szCs w:val="17"/>
                <w:color w:val="auto"/>
              </w:rPr>
            </w:pPr>
          </w:p>
        </w:tc>
      </w:tr>
      <w:tr>
        <w:trPr>
          <w:trHeight w:val="306"/>
        </w:trPr>
        <w:tc>
          <w:tcPr>
            <w:tcW w:w="1120" w:type="dxa"/>
            <w:vAlign w:val="bottom"/>
          </w:tcPr>
          <w:p>
            <w:pPr>
              <w:spacing w:after="0"/>
              <w:rPr>
                <w:sz w:val="24"/>
                <w:szCs w:val="24"/>
                <w:color w:val="auto"/>
              </w:rPr>
            </w:pPr>
          </w:p>
        </w:tc>
        <w:tc>
          <w:tcPr>
            <w:tcW w:w="3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Title of Each Class</w:t>
            </w:r>
          </w:p>
        </w:tc>
        <w:tc>
          <w:tcPr>
            <w:tcW w:w="1740" w:type="dxa"/>
            <w:vAlign w:val="bottom"/>
          </w:tcPr>
          <w:p>
            <w:pPr>
              <w:jc w:val="center"/>
              <w:ind w:right="141"/>
              <w:spacing w:after="0"/>
              <w:rPr>
                <w:sz w:val="20"/>
                <w:szCs w:val="20"/>
                <w:color w:val="auto"/>
              </w:rPr>
            </w:pPr>
            <w:r>
              <w:rPr>
                <w:rFonts w:ascii="Arial" w:cs="Arial" w:eastAsia="Arial" w:hAnsi="Arial"/>
                <w:sz w:val="16"/>
                <w:szCs w:val="16"/>
                <w:b w:val="1"/>
                <w:bCs w:val="1"/>
                <w:color w:val="auto"/>
                <w:w w:val="88"/>
              </w:rPr>
              <w:t>Trading Symbol(s)</w:t>
            </w:r>
          </w:p>
        </w:tc>
        <w:tc>
          <w:tcPr>
            <w:tcW w:w="37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1"/>
        </w:trPr>
        <w:tc>
          <w:tcPr>
            <w:tcW w:w="1120" w:type="dxa"/>
            <w:vAlign w:val="bottom"/>
          </w:tcPr>
          <w:p>
            <w:pPr>
              <w:spacing w:after="0"/>
              <w:rPr>
                <w:sz w:val="17"/>
                <w:szCs w:val="17"/>
                <w:color w:val="auto"/>
              </w:rPr>
            </w:pPr>
          </w:p>
        </w:tc>
        <w:tc>
          <w:tcPr>
            <w:tcW w:w="32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Class A Common Stock, $0.01 par value</w:t>
            </w:r>
          </w:p>
        </w:tc>
        <w:tc>
          <w:tcPr>
            <w:tcW w:w="280" w:type="dxa"/>
            <w:vAlign w:val="bottom"/>
          </w:tcPr>
          <w:p>
            <w:pPr>
              <w:spacing w:after="0"/>
              <w:rPr>
                <w:sz w:val="17"/>
                <w:szCs w:val="17"/>
                <w:color w:val="auto"/>
              </w:rPr>
            </w:pPr>
          </w:p>
        </w:tc>
        <w:tc>
          <w:tcPr>
            <w:tcW w:w="1740" w:type="dxa"/>
            <w:vAlign w:val="bottom"/>
            <w:tcBorders>
              <w:top w:val="single" w:sz="8" w:color="auto"/>
            </w:tcBorders>
          </w:tcPr>
          <w:p>
            <w:pPr>
              <w:jc w:val="center"/>
              <w:ind w:right="141"/>
              <w:spacing w:after="0"/>
              <w:rPr>
                <w:sz w:val="20"/>
                <w:szCs w:val="20"/>
                <w:color w:val="auto"/>
              </w:rPr>
            </w:pPr>
            <w:r>
              <w:rPr>
                <w:rFonts w:ascii="Arial" w:cs="Arial" w:eastAsia="Arial" w:hAnsi="Arial"/>
                <w:sz w:val="16"/>
                <w:szCs w:val="16"/>
                <w:b w:val="1"/>
                <w:bCs w:val="1"/>
                <w:color w:val="auto"/>
                <w:w w:val="98"/>
              </w:rPr>
              <w:t>MAR</w:t>
            </w:r>
          </w:p>
        </w:tc>
        <w:tc>
          <w:tcPr>
            <w:tcW w:w="378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Nasdaq Global Select Market</w:t>
            </w:r>
          </w:p>
        </w:tc>
      </w:tr>
      <w:tr>
        <w:trPr>
          <w:trHeight w:val="526"/>
        </w:trPr>
        <w:tc>
          <w:tcPr>
            <w:tcW w:w="464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12(g) of the Act: NONE</w:t>
            </w:r>
          </w:p>
        </w:tc>
        <w:tc>
          <w:tcPr>
            <w:tcW w:w="1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439"/>
        </w:trPr>
        <w:tc>
          <w:tcPr>
            <w:tcW w:w="7560" w:type="dxa"/>
            <w:vAlign w:val="bottom"/>
            <w:gridSpan w:val="5"/>
          </w:tcPr>
          <w:p>
            <w:pPr>
              <w:spacing w:after="0"/>
              <w:rPr>
                <w:sz w:val="20"/>
                <w:szCs w:val="20"/>
                <w:color w:val="auto"/>
              </w:rPr>
            </w:pPr>
            <w:r>
              <w:rPr>
                <w:rFonts w:ascii="Arial" w:cs="Arial" w:eastAsia="Arial" w:hAnsi="Arial"/>
                <w:sz w:val="16"/>
                <w:szCs w:val="16"/>
                <w:color w:val="auto"/>
                <w:w w:val="91"/>
              </w:rPr>
              <w:t>Indicate by check mark if the registrant is a well-known seasoned issuer, as defined in Rule 405 of the Securities Act.</w:t>
            </w:r>
          </w:p>
        </w:tc>
        <w:tc>
          <w:tcPr>
            <w:tcW w:w="260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tc>
      </w:tr>
      <w:tr>
        <w:trPr>
          <w:trHeight w:val="421"/>
        </w:trPr>
        <w:tc>
          <w:tcPr>
            <w:tcW w:w="7560" w:type="dxa"/>
            <w:vAlign w:val="bottom"/>
            <w:gridSpan w:val="5"/>
          </w:tcPr>
          <w:p>
            <w:pPr>
              <w:spacing w:after="0"/>
              <w:rPr>
                <w:sz w:val="20"/>
                <w:szCs w:val="20"/>
                <w:color w:val="auto"/>
              </w:rPr>
            </w:pPr>
            <w:r>
              <w:rPr>
                <w:rFonts w:ascii="Arial" w:cs="Arial" w:eastAsia="Arial" w:hAnsi="Arial"/>
                <w:sz w:val="16"/>
                <w:szCs w:val="16"/>
                <w:color w:val="auto"/>
                <w:w w:val="90"/>
              </w:rPr>
              <w:t>Indicate by check mark if the registrant is not required to file reports pursuant to Section 13 or Section 15(d) of the Act.</w:t>
            </w:r>
          </w:p>
        </w:tc>
        <w:tc>
          <w:tcPr>
            <w:tcW w:w="260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Yes o  No </w:t>
            </w:r>
            <w:r>
              <w:rPr>
                <w:rFonts w:ascii="MS PGothic" w:cs="MS PGothic" w:eastAsia="MS PGothic" w:hAnsi="MS PGothic"/>
                <w:sz w:val="16"/>
                <w:szCs w:val="16"/>
                <w:color w:val="auto"/>
              </w:rPr>
              <w:t>☒</w:t>
            </w:r>
          </w:p>
        </w:tc>
      </w:tr>
    </w:tbl>
    <w:p>
      <w:pPr>
        <w:spacing w:after="0" w:line="202" w:lineRule="exact"/>
        <w:rPr>
          <w:sz w:val="24"/>
          <w:szCs w:val="24"/>
          <w:color w:val="auto"/>
        </w:rPr>
      </w:pPr>
    </w:p>
    <w:p>
      <w:pPr>
        <w:spacing w:after="0" w:line="20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203" w:lineRule="exact"/>
        <w:rPr>
          <w:sz w:val="24"/>
          <w:szCs w:val="24"/>
          <w:color w:val="auto"/>
        </w:rPr>
      </w:pPr>
    </w:p>
    <w:p>
      <w:pPr>
        <w:ind w:right="500"/>
        <w:spacing w:after="0" w:line="202"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203" w:lineRule="exact"/>
        <w:rPr>
          <w:sz w:val="24"/>
          <w:szCs w:val="24"/>
          <w:color w:val="auto"/>
        </w:rPr>
      </w:pPr>
    </w:p>
    <w:p>
      <w:pPr>
        <w:ind w:right="80"/>
        <w:spacing w:after="0" w:line="33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20" w:type="dxa"/>
        <w:tblCellMar>
          <w:top w:w="0" w:type="dxa"/>
          <w:left w:w="0" w:type="dxa"/>
          <w:bottom w:w="0" w:type="dxa"/>
          <w:right w:w="0" w:type="dxa"/>
        </w:tblCellMar>
      </w:tblPr>
      <w:tr>
        <w:trPr>
          <w:trHeight w:val="201"/>
        </w:trPr>
        <w:tc>
          <w:tcPr>
            <w:tcW w:w="2120" w:type="dxa"/>
            <w:vAlign w:val="bottom"/>
            <w:vMerge w:val="restart"/>
          </w:tcPr>
          <w:p>
            <w:pPr>
              <w:spacing w:after="0"/>
              <w:rPr>
                <w:sz w:val="20"/>
                <w:szCs w:val="20"/>
                <w:color w:val="auto"/>
              </w:rPr>
            </w:pPr>
            <w:r>
              <w:rPr>
                <w:rFonts w:ascii="Arial" w:cs="Arial" w:eastAsia="Arial" w:hAnsi="Arial"/>
                <w:sz w:val="16"/>
                <w:szCs w:val="16"/>
                <w:color w:val="auto"/>
              </w:rPr>
              <w:t>Large accelerated filer</w:t>
            </w:r>
          </w:p>
        </w:tc>
        <w:tc>
          <w:tcPr>
            <w:tcW w:w="2840" w:type="dxa"/>
            <w:vAlign w:val="bottom"/>
          </w:tcPr>
          <w:p>
            <w:pPr>
              <w:spacing w:after="0"/>
              <w:rPr>
                <w:sz w:val="17"/>
                <w:szCs w:val="17"/>
                <w:color w:val="auto"/>
              </w:rPr>
            </w:pPr>
          </w:p>
        </w:tc>
        <w:tc>
          <w:tcPr>
            <w:tcW w:w="4280" w:type="dxa"/>
            <w:vAlign w:val="bottom"/>
          </w:tcPr>
          <w:p>
            <w:pPr>
              <w:ind w:left="2020"/>
              <w:spacing w:after="0"/>
              <w:rPr>
                <w:sz w:val="20"/>
                <w:szCs w:val="20"/>
                <w:color w:val="auto"/>
              </w:rPr>
            </w:pPr>
            <w:r>
              <w:rPr>
                <w:rFonts w:ascii="Arial" w:cs="Arial" w:eastAsia="Arial" w:hAnsi="Arial"/>
                <w:sz w:val="16"/>
                <w:szCs w:val="16"/>
                <w:color w:val="auto"/>
              </w:rPr>
              <w:t>Accelerated filer</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120" w:type="dxa"/>
            <w:vAlign w:val="bottom"/>
            <w:vMerge w:val="continue"/>
          </w:tcPr>
          <w:p>
            <w:pPr>
              <w:spacing w:after="0"/>
              <w:rPr>
                <w:sz w:val="11"/>
                <w:szCs w:val="11"/>
                <w:color w:val="auto"/>
              </w:rPr>
            </w:pPr>
          </w:p>
        </w:tc>
        <w:tc>
          <w:tcPr>
            <w:tcW w:w="2840" w:type="dxa"/>
            <w:vAlign w:val="bottom"/>
            <w:vMerge w:val="restart"/>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280" w:type="dxa"/>
            <w:vAlign w:val="bottom"/>
          </w:tcPr>
          <w:p>
            <w:pPr>
              <w:spacing w:after="0"/>
              <w:rPr>
                <w:sz w:val="11"/>
                <w:szCs w:val="11"/>
                <w:color w:val="auto"/>
              </w:rPr>
            </w:pPr>
          </w:p>
        </w:tc>
        <w:tc>
          <w:tcPr>
            <w:tcW w:w="680" w:type="dxa"/>
            <w:vAlign w:val="bottom"/>
            <w:vMerge w:val="restart"/>
          </w:tcPr>
          <w:p>
            <w:pPr>
              <w:ind w:left="540"/>
              <w:spacing w:after="0"/>
              <w:rPr>
                <w:sz w:val="20"/>
                <w:szCs w:val="20"/>
                <w:color w:val="auto"/>
              </w:rPr>
            </w:pPr>
            <w:r>
              <w:rPr>
                <w:rFonts w:ascii="Arial" w:cs="Arial" w:eastAsia="Arial" w:hAnsi="Arial"/>
                <w:sz w:val="16"/>
                <w:szCs w:val="16"/>
                <w:color w:val="auto"/>
              </w:rPr>
              <w:t>o</w:t>
            </w:r>
          </w:p>
        </w:tc>
        <w:tc>
          <w:tcPr>
            <w:tcW w:w="0" w:type="dxa"/>
            <w:vAlign w:val="bottom"/>
          </w:tcPr>
          <w:p>
            <w:pPr>
              <w:spacing w:after="0"/>
              <w:rPr>
                <w:sz w:val="1"/>
                <w:szCs w:val="1"/>
                <w:color w:val="auto"/>
              </w:rPr>
            </w:pPr>
          </w:p>
        </w:tc>
      </w:tr>
      <w:tr>
        <w:trPr>
          <w:trHeight w:val="127"/>
        </w:trPr>
        <w:tc>
          <w:tcPr>
            <w:tcW w:w="2120" w:type="dxa"/>
            <w:vAlign w:val="bottom"/>
          </w:tcPr>
          <w:p>
            <w:pPr>
              <w:spacing w:after="0"/>
              <w:rPr>
                <w:sz w:val="11"/>
                <w:szCs w:val="11"/>
                <w:color w:val="auto"/>
              </w:rPr>
            </w:pPr>
          </w:p>
        </w:tc>
        <w:tc>
          <w:tcPr>
            <w:tcW w:w="2840" w:type="dxa"/>
            <w:vAlign w:val="bottom"/>
            <w:vMerge w:val="continue"/>
          </w:tcPr>
          <w:p>
            <w:pPr>
              <w:spacing w:after="0"/>
              <w:rPr>
                <w:sz w:val="11"/>
                <w:szCs w:val="11"/>
                <w:color w:val="auto"/>
              </w:rPr>
            </w:pPr>
          </w:p>
        </w:tc>
        <w:tc>
          <w:tcPr>
            <w:tcW w:w="42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120" w:type="dxa"/>
            <w:vAlign w:val="bottom"/>
          </w:tcPr>
          <w:p>
            <w:pPr>
              <w:spacing w:after="0"/>
              <w:rPr>
                <w:sz w:val="20"/>
                <w:szCs w:val="20"/>
                <w:color w:val="auto"/>
              </w:rPr>
            </w:pPr>
            <w:r>
              <w:rPr>
                <w:rFonts w:ascii="Arial" w:cs="Arial" w:eastAsia="Arial" w:hAnsi="Arial"/>
                <w:sz w:val="16"/>
                <w:szCs w:val="16"/>
                <w:color w:val="auto"/>
              </w:rPr>
              <w:t>Non-accelerated filer</w:t>
            </w:r>
          </w:p>
        </w:tc>
        <w:tc>
          <w:tcPr>
            <w:tcW w:w="2840" w:type="dxa"/>
            <w:vAlign w:val="bottom"/>
          </w:tcPr>
          <w:p>
            <w:pPr>
              <w:ind w:left="700"/>
              <w:spacing w:after="0"/>
              <w:rPr>
                <w:sz w:val="20"/>
                <w:szCs w:val="20"/>
                <w:color w:val="auto"/>
              </w:rPr>
            </w:pPr>
            <w:r>
              <w:rPr>
                <w:rFonts w:ascii="Arial" w:cs="Arial" w:eastAsia="Arial" w:hAnsi="Arial"/>
                <w:sz w:val="16"/>
                <w:szCs w:val="16"/>
                <w:color w:val="auto"/>
              </w:rPr>
              <w:t>o</w:t>
            </w:r>
          </w:p>
        </w:tc>
        <w:tc>
          <w:tcPr>
            <w:tcW w:w="4280" w:type="dxa"/>
            <w:vAlign w:val="bottom"/>
          </w:tcPr>
          <w:p>
            <w:pPr>
              <w:ind w:left="2020"/>
              <w:spacing w:after="0"/>
              <w:rPr>
                <w:sz w:val="20"/>
                <w:szCs w:val="20"/>
                <w:color w:val="auto"/>
              </w:rPr>
            </w:pPr>
            <w:r>
              <w:rPr>
                <w:rFonts w:ascii="Arial" w:cs="Arial" w:eastAsia="Arial" w:hAnsi="Arial"/>
                <w:sz w:val="16"/>
                <w:szCs w:val="16"/>
                <w:color w:val="auto"/>
              </w:rPr>
              <w:t>Smaller reporting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47"/>
        </w:trPr>
        <w:tc>
          <w:tcPr>
            <w:tcW w:w="21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4280" w:type="dxa"/>
            <w:vAlign w:val="bottom"/>
          </w:tcPr>
          <w:p>
            <w:pPr>
              <w:ind w:left="2020"/>
              <w:spacing w:after="0"/>
              <w:rPr>
                <w:sz w:val="20"/>
                <w:szCs w:val="20"/>
                <w:color w:val="auto"/>
              </w:rPr>
            </w:pPr>
            <w:r>
              <w:rPr>
                <w:rFonts w:ascii="Arial" w:cs="Arial" w:eastAsia="Arial" w:hAnsi="Arial"/>
                <w:sz w:val="16"/>
                <w:szCs w:val="16"/>
                <w:color w:val="auto"/>
              </w:rPr>
              <w:t>Emerging growth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bl>
    <w:p>
      <w:pPr>
        <w:ind w:left="20" w:right="220"/>
        <w:spacing w:after="0" w:line="228"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77" w:lineRule="exact"/>
        <w:rPr>
          <w:sz w:val="24"/>
          <w:szCs w:val="24"/>
          <w:color w:val="auto"/>
        </w:rPr>
      </w:pPr>
    </w:p>
    <w:p>
      <w:pPr>
        <w:ind w:right="480"/>
        <w:spacing w:after="0" w:line="202"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75" w:lineRule="exact"/>
        <w:rPr>
          <w:sz w:val="24"/>
          <w:szCs w:val="24"/>
          <w:color w:val="auto"/>
        </w:rPr>
      </w:pPr>
    </w:p>
    <w:p>
      <w:pPr>
        <w:spacing w:after="0" w:line="184" w:lineRule="exact"/>
        <w:tabs>
          <w:tab w:leader="none" w:pos="6640" w:val="left"/>
          <w:tab w:leader="none" w:pos="72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The aggregate market value of shares of common stock held by non-affiliates at June 30, 2020, was $23,156,431,539.</w:t>
      </w:r>
    </w:p>
    <w:p>
      <w:pPr>
        <w:spacing w:after="0"/>
        <w:rPr>
          <w:sz w:val="20"/>
          <w:szCs w:val="20"/>
          <w:color w:val="auto"/>
        </w:rPr>
      </w:pPr>
      <w:r>
        <w:rPr>
          <w:rFonts w:ascii="Arial" w:cs="Arial" w:eastAsia="Arial" w:hAnsi="Arial"/>
          <w:sz w:val="16"/>
          <w:szCs w:val="16"/>
          <w:color w:val="auto"/>
        </w:rPr>
        <w:t>There were 324,414,150 shares of Class A Common Stock, par value $0.01 per share, outstanding at February 10, 2021.</w:t>
      </w: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Portions of the Proxy Statement prepared for the 2021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201930</wp:posOffset>
            </wp:positionV>
            <wp:extent cx="716089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32" w:right="35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left="380"/>
        <w:spacing w:after="0"/>
        <w:rPr>
          <w:sz w:val="20"/>
          <w:szCs w:val="20"/>
          <w:color w:val="auto"/>
        </w:rPr>
      </w:pPr>
      <w:r>
        <w:rPr>
          <w:rFonts w:ascii="Arial" w:cs="Arial" w:eastAsia="Arial" w:hAnsi="Arial"/>
          <w:sz w:val="19"/>
          <w:szCs w:val="19"/>
          <w:b w:val="1"/>
          <w:bCs w:val="1"/>
          <w:color w:val="auto"/>
        </w:rPr>
        <w:t>EXPLANATORY NOTE</w:t>
      </w:r>
    </w:p>
    <w:p>
      <w:pPr>
        <w:spacing w:after="0" w:line="169" w:lineRule="exact"/>
        <w:rPr>
          <w:sz w:val="20"/>
          <w:szCs w:val="20"/>
          <w:color w:val="auto"/>
        </w:rPr>
      </w:pPr>
    </w:p>
    <w:p>
      <w:pPr>
        <w:ind w:firstLine="395"/>
        <w:spacing w:after="0" w:line="281" w:lineRule="auto"/>
        <w:rPr>
          <w:sz w:val="20"/>
          <w:szCs w:val="20"/>
          <w:color w:val="auto"/>
        </w:rPr>
      </w:pPr>
      <w:r>
        <w:rPr>
          <w:rFonts w:ascii="Arial" w:cs="Arial" w:eastAsia="Arial" w:hAnsi="Arial"/>
          <w:sz w:val="17"/>
          <w:szCs w:val="17"/>
          <w:color w:val="auto"/>
        </w:rPr>
        <w:t>We filed our Annual Report on Form 10-K for the fiscal year ended December 31, 2020 with the Securities and Exchange Commission (“SEC”) on February 18, 2021 (the “Original Filing”). This Amendment No. 1 on Form 10-K/A (this “Amendment”) is being filed solely to amend Part II, Item 8, “Report of Independent Registered Public Accounting Firm” of the Original Filing to correct a typographical error in Ernst</w:t>
      </w:r>
    </w:p>
    <w:p>
      <w:pPr>
        <w:ind w:firstLine="5"/>
        <w:spacing w:after="0" w:line="248" w:lineRule="auto"/>
        <w:tabs>
          <w:tab w:leader="none" w:pos="198" w:val="left"/>
        </w:tabs>
        <w:numPr>
          <w:ilvl w:val="0"/>
          <w:numId w:val="3"/>
        </w:numPr>
        <w:rPr>
          <w:rFonts w:ascii="Arial" w:cs="Arial" w:eastAsia="Arial" w:hAnsi="Arial"/>
          <w:sz w:val="19"/>
          <w:szCs w:val="19"/>
          <w:color w:val="auto"/>
        </w:rPr>
      </w:pPr>
      <w:r>
        <w:rPr>
          <w:rFonts w:ascii="Arial" w:cs="Arial" w:eastAsia="Arial" w:hAnsi="Arial"/>
          <w:sz w:val="19"/>
          <w:szCs w:val="19"/>
          <w:color w:val="auto"/>
        </w:rPr>
        <w:t>Young LLP’s (“EY”) financial statement audit opinion (the “Audit Opinion”). Both management and EY concluded at the time of the Original Filing, as stated in management’s report on internal control over financial reporting (“ICFR”) and EY’s attestation report on ICFR, that Marriott’s ICFR was effective as of December 31, 2020. However, EY’s Audit Opinion incorrectly referred to EY’s separate attestation on ICFR as having expressed an “adverse” opinion thereon, when it should have referred to such attestation report on ICFR as having expressed an “unqualified” opinion thereon. This Amendment corrects that typographical error in the Audit Opinion by replacing the word “adverse” with the word “unqualified.”</w:t>
      </w:r>
    </w:p>
    <w:p>
      <w:pPr>
        <w:spacing w:after="0" w:line="129" w:lineRule="exact"/>
        <w:rPr>
          <w:sz w:val="20"/>
          <w:szCs w:val="20"/>
          <w:color w:val="auto"/>
        </w:rPr>
      </w:pPr>
    </w:p>
    <w:p>
      <w:pPr>
        <w:ind w:right="100" w:firstLine="395"/>
        <w:spacing w:after="0" w:line="260" w:lineRule="auto"/>
        <w:rPr>
          <w:sz w:val="20"/>
          <w:szCs w:val="20"/>
          <w:color w:val="auto"/>
        </w:rPr>
      </w:pPr>
      <w:r>
        <w:rPr>
          <w:rFonts w:ascii="Arial" w:cs="Arial" w:eastAsia="Arial" w:hAnsi="Arial"/>
          <w:sz w:val="19"/>
          <w:szCs w:val="19"/>
          <w:color w:val="auto"/>
        </w:rPr>
        <w:t>Except as described above, no other changes to the Original Filing are included in this Amendment. This Amendment speaks only as of the date of the Original Filing, and the Amendment does not modify or update the disclosures presented in the Original Filing other than as noted above, and does not reflect events occurring after the Original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516255</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1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Part I.</w:t>
        </w:r>
      </w:hyperlink>
    </w:p>
    <w:p>
      <w:pPr>
        <w:spacing w:after="0" w:line="96" w:lineRule="exact"/>
        <w:rPr>
          <w:sz w:val="20"/>
          <w:szCs w:val="20"/>
          <w:color w:val="auto"/>
        </w:rPr>
      </w:pPr>
    </w:p>
    <w:p>
      <w:pPr>
        <w:ind w:left="146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w:t>
        </w:r>
      </w:hyperlink>
    </w:p>
    <w:p>
      <w:pPr>
        <w:spacing w:after="0" w:line="43" w:lineRule="exact"/>
        <w:rPr>
          <w:sz w:val="20"/>
          <w:szCs w:val="20"/>
          <w:color w:val="auto"/>
        </w:rPr>
      </w:pPr>
    </w:p>
    <w:p>
      <w:pPr>
        <w:ind w:left="1460"/>
        <w:spacing w:after="0"/>
        <w:rPr>
          <w:rFonts w:ascii="Arial" w:cs="Arial" w:eastAsia="Arial" w:hAnsi="Arial"/>
          <w:sz w:val="16"/>
          <w:szCs w:val="16"/>
          <w:u w:val="single" w:color="auto"/>
          <w:color w:val="0000FF"/>
        </w:rPr>
      </w:pPr>
      <w:hyperlink w:anchor="page12">
        <w:r>
          <w:rPr>
            <w:rFonts w:ascii="Arial" w:cs="Arial" w:eastAsia="Arial" w:hAnsi="Arial"/>
            <w:sz w:val="16"/>
            <w:szCs w:val="16"/>
            <w:u w:val="single" w:color="auto"/>
            <w:color w:val="0000FF"/>
          </w:rPr>
          <w:t>Item 1A.</w:t>
        </w:r>
      </w:hyperlink>
    </w:p>
    <w:p>
      <w:pPr>
        <w:spacing w:after="0" w:line="66" w:lineRule="exact"/>
        <w:rPr>
          <w:sz w:val="20"/>
          <w:szCs w:val="20"/>
          <w:color w:val="auto"/>
        </w:rPr>
      </w:pPr>
    </w:p>
    <w:p>
      <w:pPr>
        <w:ind w:left="1460"/>
        <w:spacing w:after="0"/>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Item 1B.</w:t>
        </w:r>
      </w:hyperlink>
    </w:p>
    <w:p>
      <w:pPr>
        <w:spacing w:after="0" w:line="66" w:lineRule="exact"/>
        <w:rPr>
          <w:sz w:val="20"/>
          <w:szCs w:val="20"/>
          <w:color w:val="auto"/>
        </w:rPr>
      </w:pPr>
    </w:p>
    <w:p>
      <w:pPr>
        <w:ind w:left="146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Item 2.</w:t>
        </w:r>
      </w:hyperlink>
    </w:p>
    <w:p>
      <w:pPr>
        <w:spacing w:after="0" w:line="43" w:lineRule="exact"/>
        <w:rPr>
          <w:sz w:val="20"/>
          <w:szCs w:val="20"/>
          <w:color w:val="auto"/>
        </w:rPr>
      </w:pPr>
    </w:p>
    <w:p>
      <w:pPr>
        <w:ind w:left="146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Item 3.</w:t>
        </w:r>
      </w:hyperlink>
    </w:p>
    <w:p>
      <w:pPr>
        <w:spacing w:after="0" w:line="43" w:lineRule="exact"/>
        <w:rPr>
          <w:sz w:val="20"/>
          <w:szCs w:val="20"/>
          <w:color w:val="auto"/>
        </w:rPr>
      </w:pPr>
    </w:p>
    <w:p>
      <w:pPr>
        <w:ind w:left="146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Item 4.</w:t>
        </w:r>
      </w:hyperlink>
    </w:p>
    <w:p>
      <w:pPr>
        <w:spacing w:after="0" w:line="96" w:lineRule="exact"/>
        <w:rPr>
          <w:sz w:val="20"/>
          <w:szCs w:val="20"/>
          <w:color w:val="auto"/>
        </w:rPr>
      </w:pPr>
    </w:p>
    <w:p>
      <w:pPr>
        <w:ind w:left="114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Part II.</w:t>
        </w:r>
      </w:hyperlink>
    </w:p>
    <w:p>
      <w:pPr>
        <w:spacing w:after="0" w:line="69" w:lineRule="exact"/>
        <w:rPr>
          <w:sz w:val="20"/>
          <w:szCs w:val="20"/>
          <w:color w:val="auto"/>
        </w:rPr>
      </w:pPr>
    </w:p>
    <w:p>
      <w:pPr>
        <w:ind w:left="146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Item 5.</w:t>
        </w:r>
      </w:hyperlink>
    </w:p>
    <w:p>
      <w:pPr>
        <w:spacing w:after="0" w:line="214" w:lineRule="exact"/>
        <w:rPr>
          <w:sz w:val="20"/>
          <w:szCs w:val="20"/>
          <w:color w:val="auto"/>
        </w:rPr>
      </w:pPr>
    </w:p>
    <w:p>
      <w:pPr>
        <w:ind w:left="146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Item 6.</w:t>
        </w:r>
      </w:hyperlink>
    </w:p>
    <w:p>
      <w:pPr>
        <w:spacing w:after="0" w:line="43" w:lineRule="exact"/>
        <w:rPr>
          <w:sz w:val="20"/>
          <w:szCs w:val="20"/>
          <w:color w:val="auto"/>
        </w:rPr>
      </w:pPr>
    </w:p>
    <w:p>
      <w:pPr>
        <w:ind w:left="146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Item 7.</w:t>
        </w:r>
      </w:hyperlink>
    </w:p>
    <w:p>
      <w:pPr>
        <w:spacing w:after="0" w:line="43" w:lineRule="exact"/>
        <w:rPr>
          <w:sz w:val="20"/>
          <w:szCs w:val="20"/>
          <w:color w:val="auto"/>
        </w:rPr>
      </w:pPr>
    </w:p>
    <w:p>
      <w:pPr>
        <w:ind w:left="1460"/>
        <w:spacing w:after="0"/>
        <w:rPr>
          <w:rFonts w:ascii="Arial" w:cs="Arial" w:eastAsia="Arial" w:hAnsi="Arial"/>
          <w:sz w:val="16"/>
          <w:szCs w:val="16"/>
          <w:u w:val="single" w:color="auto"/>
          <w:color w:val="0000FF"/>
        </w:rPr>
      </w:pPr>
      <w:hyperlink w:anchor="page38">
        <w:r>
          <w:rPr>
            <w:rFonts w:ascii="Arial" w:cs="Arial" w:eastAsia="Arial" w:hAnsi="Arial"/>
            <w:sz w:val="16"/>
            <w:szCs w:val="16"/>
            <w:u w:val="single" w:color="auto"/>
            <w:color w:val="0000FF"/>
          </w:rPr>
          <w:t>Item 7A.</w:t>
        </w:r>
      </w:hyperlink>
    </w:p>
    <w:p>
      <w:pPr>
        <w:spacing w:after="0" w:line="66" w:lineRule="exact"/>
        <w:rPr>
          <w:sz w:val="20"/>
          <w:szCs w:val="20"/>
          <w:color w:val="auto"/>
        </w:rPr>
      </w:pPr>
    </w:p>
    <w:p>
      <w:pPr>
        <w:ind w:left="146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8.</w:t>
        </w:r>
      </w:hyperlink>
    </w:p>
    <w:p>
      <w:pPr>
        <w:spacing w:after="0" w:line="43" w:lineRule="exact"/>
        <w:rPr>
          <w:sz w:val="20"/>
          <w:szCs w:val="20"/>
          <w:color w:val="auto"/>
        </w:rPr>
      </w:pPr>
    </w:p>
    <w:p>
      <w:pPr>
        <w:ind w:left="146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Item 9.</w:t>
        </w:r>
      </w:hyperlink>
    </w:p>
    <w:p>
      <w:pPr>
        <w:spacing w:after="0" w:line="43" w:lineRule="exact"/>
        <w:rPr>
          <w:sz w:val="20"/>
          <w:szCs w:val="20"/>
          <w:color w:val="auto"/>
        </w:rPr>
      </w:pPr>
    </w:p>
    <w:p>
      <w:pPr>
        <w:ind w:left="1460"/>
        <w:spacing w:after="0"/>
        <w:rPr>
          <w:rFonts w:ascii="Arial" w:cs="Arial" w:eastAsia="Arial" w:hAnsi="Arial"/>
          <w:sz w:val="16"/>
          <w:szCs w:val="16"/>
          <w:u w:val="single" w:color="auto"/>
          <w:color w:val="0000FF"/>
        </w:rPr>
      </w:pPr>
      <w:hyperlink w:anchor="page78">
        <w:r>
          <w:rPr>
            <w:rFonts w:ascii="Arial" w:cs="Arial" w:eastAsia="Arial" w:hAnsi="Arial"/>
            <w:sz w:val="16"/>
            <w:szCs w:val="16"/>
            <w:u w:val="single" w:color="auto"/>
            <w:color w:val="0000FF"/>
          </w:rPr>
          <w:t>Item 9A.</w:t>
        </w:r>
      </w:hyperlink>
    </w:p>
    <w:p>
      <w:pPr>
        <w:spacing w:after="0" w:line="66" w:lineRule="exact"/>
        <w:rPr>
          <w:sz w:val="20"/>
          <w:szCs w:val="20"/>
          <w:color w:val="auto"/>
        </w:rPr>
      </w:pPr>
    </w:p>
    <w:p>
      <w:pPr>
        <w:ind w:left="1460"/>
        <w:spacing w:after="0"/>
        <w:rPr>
          <w:rFonts w:ascii="Arial" w:cs="Arial" w:eastAsia="Arial" w:hAnsi="Arial"/>
          <w:sz w:val="16"/>
          <w:szCs w:val="16"/>
          <w:u w:val="single" w:color="auto"/>
          <w:color w:val="0000FF"/>
        </w:rPr>
      </w:pPr>
      <w:hyperlink w:anchor="page78">
        <w:r>
          <w:rPr>
            <w:rFonts w:ascii="Arial" w:cs="Arial" w:eastAsia="Arial" w:hAnsi="Arial"/>
            <w:sz w:val="16"/>
            <w:szCs w:val="16"/>
            <w:u w:val="single" w:color="auto"/>
            <w:color w:val="0000FF"/>
          </w:rPr>
          <w:t>Item 9B.</w:t>
        </w:r>
      </w:hyperlink>
    </w:p>
    <w:p>
      <w:pPr>
        <w:spacing w:after="0" w:line="119" w:lineRule="exact"/>
        <w:rPr>
          <w:sz w:val="20"/>
          <w:szCs w:val="20"/>
          <w:color w:val="auto"/>
        </w:rPr>
      </w:pPr>
    </w:p>
    <w:p>
      <w:pPr>
        <w:ind w:left="114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Part III.</w:t>
        </w:r>
      </w:hyperlink>
    </w:p>
    <w:p>
      <w:pPr>
        <w:spacing w:after="0" w:line="69" w:lineRule="exact"/>
        <w:rPr>
          <w:sz w:val="20"/>
          <w:szCs w:val="20"/>
          <w:color w:val="auto"/>
        </w:rPr>
      </w:pPr>
    </w:p>
    <w:p>
      <w:pPr>
        <w:ind w:left="1460"/>
        <w:spacing w:after="0"/>
        <w:rPr>
          <w:rFonts w:ascii="Arial" w:cs="Arial" w:eastAsia="Arial" w:hAnsi="Arial"/>
          <w:sz w:val="16"/>
          <w:szCs w:val="16"/>
          <w:u w:val="single" w:color="auto"/>
          <w:color w:val="0000FF"/>
        </w:rPr>
      </w:pPr>
      <w:hyperlink w:anchor="page78">
        <w:r>
          <w:rPr>
            <w:rFonts w:ascii="Arial" w:cs="Arial" w:eastAsia="Arial" w:hAnsi="Arial"/>
            <w:sz w:val="16"/>
            <w:szCs w:val="16"/>
            <w:u w:val="single" w:color="auto"/>
            <w:color w:val="0000FF"/>
          </w:rPr>
          <w:t>Item 10.</w:t>
        </w:r>
      </w:hyperlink>
    </w:p>
    <w:p>
      <w:pPr>
        <w:spacing w:after="0" w:line="66" w:lineRule="exact"/>
        <w:rPr>
          <w:sz w:val="20"/>
          <w:szCs w:val="20"/>
          <w:color w:val="auto"/>
        </w:rPr>
      </w:pPr>
    </w:p>
    <w:p>
      <w:pPr>
        <w:ind w:left="1460"/>
        <w:spacing w:after="0"/>
        <w:rPr>
          <w:rFonts w:ascii="Arial" w:cs="Arial" w:eastAsia="Arial" w:hAnsi="Arial"/>
          <w:sz w:val="16"/>
          <w:szCs w:val="16"/>
          <w:u w:val="single" w:color="auto"/>
          <w:color w:val="0000FF"/>
        </w:rPr>
      </w:pPr>
      <w:hyperlink w:anchor="page78">
        <w:r>
          <w:rPr>
            <w:rFonts w:ascii="Arial" w:cs="Arial" w:eastAsia="Arial" w:hAnsi="Arial"/>
            <w:sz w:val="16"/>
            <w:szCs w:val="16"/>
            <w:u w:val="single" w:color="auto"/>
            <w:color w:val="0000FF"/>
          </w:rPr>
          <w:t>Item 11.</w:t>
        </w:r>
      </w:hyperlink>
    </w:p>
    <w:p>
      <w:pPr>
        <w:spacing w:after="0" w:line="66" w:lineRule="exact"/>
        <w:rPr>
          <w:sz w:val="20"/>
          <w:szCs w:val="20"/>
          <w:color w:val="auto"/>
        </w:rPr>
      </w:pPr>
    </w:p>
    <w:p>
      <w:pPr>
        <w:ind w:left="1460"/>
        <w:spacing w:after="0"/>
        <w:rPr>
          <w:rFonts w:ascii="Arial" w:cs="Arial" w:eastAsia="Arial" w:hAnsi="Arial"/>
          <w:sz w:val="16"/>
          <w:szCs w:val="16"/>
          <w:u w:val="single" w:color="auto"/>
          <w:color w:val="0000FF"/>
        </w:rPr>
      </w:pPr>
      <w:hyperlink w:anchor="page78">
        <w:r>
          <w:rPr>
            <w:rFonts w:ascii="Arial" w:cs="Arial" w:eastAsia="Arial" w:hAnsi="Arial"/>
            <w:sz w:val="16"/>
            <w:szCs w:val="16"/>
            <w:u w:val="single" w:color="auto"/>
            <w:color w:val="0000FF"/>
          </w:rPr>
          <w:t>Item 12.</w:t>
        </w:r>
      </w:hyperlink>
    </w:p>
    <w:p>
      <w:pPr>
        <w:spacing w:after="0" w:line="237" w:lineRule="exact"/>
        <w:rPr>
          <w:sz w:val="20"/>
          <w:szCs w:val="20"/>
          <w:color w:val="auto"/>
        </w:rPr>
      </w:pPr>
    </w:p>
    <w:p>
      <w:pPr>
        <w:ind w:left="1460"/>
        <w:spacing w:after="0"/>
        <w:rPr>
          <w:rFonts w:ascii="Arial" w:cs="Arial" w:eastAsia="Arial" w:hAnsi="Arial"/>
          <w:sz w:val="16"/>
          <w:szCs w:val="16"/>
          <w:u w:val="single" w:color="auto"/>
          <w:color w:val="0000FF"/>
        </w:rPr>
      </w:pPr>
      <w:hyperlink w:anchor="page78">
        <w:r>
          <w:rPr>
            <w:rFonts w:ascii="Arial" w:cs="Arial" w:eastAsia="Arial" w:hAnsi="Arial"/>
            <w:sz w:val="16"/>
            <w:szCs w:val="16"/>
            <w:u w:val="single" w:color="auto"/>
            <w:color w:val="0000FF"/>
          </w:rPr>
          <w:t>Item 13.</w:t>
        </w:r>
      </w:hyperlink>
    </w:p>
    <w:p>
      <w:pPr>
        <w:spacing w:after="0" w:line="66" w:lineRule="exact"/>
        <w:rPr>
          <w:sz w:val="20"/>
          <w:szCs w:val="20"/>
          <w:color w:val="auto"/>
        </w:rPr>
      </w:pPr>
    </w:p>
    <w:p>
      <w:pPr>
        <w:ind w:left="1460"/>
        <w:spacing w:after="0"/>
        <w:rPr>
          <w:rFonts w:ascii="Arial" w:cs="Arial" w:eastAsia="Arial" w:hAnsi="Arial"/>
          <w:sz w:val="16"/>
          <w:szCs w:val="16"/>
          <w:u w:val="single" w:color="auto"/>
          <w:color w:val="0000FF"/>
        </w:rPr>
      </w:pPr>
      <w:hyperlink w:anchor="page78">
        <w:r>
          <w:rPr>
            <w:rFonts w:ascii="Arial" w:cs="Arial" w:eastAsia="Arial" w:hAnsi="Arial"/>
            <w:sz w:val="16"/>
            <w:szCs w:val="16"/>
            <w:u w:val="single" w:color="auto"/>
            <w:color w:val="0000FF"/>
          </w:rPr>
          <w:t>Item 14.</w:t>
        </w:r>
      </w:hyperlink>
    </w:p>
    <w:p>
      <w:pPr>
        <w:spacing w:after="0" w:line="119" w:lineRule="exact"/>
        <w:rPr>
          <w:sz w:val="20"/>
          <w:szCs w:val="20"/>
          <w:color w:val="auto"/>
        </w:rPr>
      </w:pPr>
    </w:p>
    <w:p>
      <w:pPr>
        <w:ind w:left="1140"/>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Part IV.</w:t>
        </w:r>
      </w:hyperlink>
    </w:p>
    <w:p>
      <w:pPr>
        <w:spacing w:after="0" w:line="69" w:lineRule="exact"/>
        <w:rPr>
          <w:sz w:val="20"/>
          <w:szCs w:val="20"/>
          <w:color w:val="auto"/>
        </w:rPr>
      </w:pPr>
    </w:p>
    <w:p>
      <w:pPr>
        <w:ind w:left="1460"/>
        <w:spacing w:after="0"/>
        <w:rPr>
          <w:rFonts w:ascii="Arial" w:cs="Arial" w:eastAsia="Arial" w:hAnsi="Arial"/>
          <w:sz w:val="16"/>
          <w:szCs w:val="16"/>
          <w:u w:val="single" w:color="auto"/>
          <w:color w:val="0000FF"/>
        </w:rPr>
      </w:pPr>
      <w:hyperlink w:anchor="page83">
        <w:r>
          <w:rPr>
            <w:rFonts w:ascii="Arial" w:cs="Arial" w:eastAsia="Arial" w:hAnsi="Arial"/>
            <w:sz w:val="16"/>
            <w:szCs w:val="16"/>
            <w:u w:val="single" w:color="auto"/>
            <w:color w:val="0000FF"/>
          </w:rPr>
          <w:t>Item 15.</w:t>
        </w:r>
      </w:hyperlink>
    </w:p>
    <w:p>
      <w:pPr>
        <w:spacing w:after="0" w:line="66" w:lineRule="exact"/>
        <w:rPr>
          <w:sz w:val="20"/>
          <w:szCs w:val="20"/>
          <w:color w:val="auto"/>
        </w:rPr>
      </w:pPr>
    </w:p>
    <w:p>
      <w:pPr>
        <w:ind w:left="1460"/>
        <w:spacing w:after="0"/>
        <w:rPr>
          <w:rFonts w:ascii="Arial" w:cs="Arial" w:eastAsia="Arial" w:hAnsi="Arial"/>
          <w:sz w:val="16"/>
          <w:szCs w:val="16"/>
          <w:u w:val="single" w:color="auto"/>
          <w:color w:val="0000FF"/>
        </w:rPr>
      </w:pPr>
      <w:hyperlink w:anchor="page88">
        <w:r>
          <w:rPr>
            <w:rFonts w:ascii="Arial" w:cs="Arial" w:eastAsia="Arial" w:hAnsi="Arial"/>
            <w:sz w:val="16"/>
            <w:szCs w:val="16"/>
            <w:u w:val="single" w:color="auto"/>
            <w:color w:val="0000FF"/>
          </w:rPr>
          <w:t>Item 16.</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239"/>
        <w:spacing w:after="0"/>
        <w:rPr>
          <w:sz w:val="20"/>
          <w:szCs w:val="20"/>
          <w:color w:val="auto"/>
        </w:rPr>
      </w:pPr>
      <w:r>
        <w:rPr>
          <w:rFonts w:ascii="Arial" w:cs="Arial" w:eastAsia="Arial" w:hAnsi="Arial"/>
          <w:sz w:val="18"/>
          <w:szCs w:val="18"/>
          <w:b w:val="1"/>
          <w:bCs w:val="1"/>
          <w:color w:val="auto"/>
        </w:rPr>
        <w:t>MARRIOTT INTERNATIONAL, INC.</w:t>
      </w:r>
    </w:p>
    <w:p>
      <w:pPr>
        <w:spacing w:after="0" w:line="56" w:lineRule="exact"/>
        <w:rPr>
          <w:sz w:val="20"/>
          <w:szCs w:val="20"/>
          <w:color w:val="auto"/>
        </w:rPr>
      </w:pPr>
    </w:p>
    <w:p>
      <w:pPr>
        <w:jc w:val="center"/>
        <w:ind w:right="1239"/>
        <w:spacing w:after="0"/>
        <w:rPr>
          <w:sz w:val="20"/>
          <w:szCs w:val="20"/>
          <w:color w:val="auto"/>
        </w:rPr>
      </w:pPr>
      <w:r>
        <w:rPr>
          <w:rFonts w:ascii="Arial" w:cs="Arial" w:eastAsia="Arial" w:hAnsi="Arial"/>
          <w:sz w:val="18"/>
          <w:szCs w:val="18"/>
          <w:b w:val="1"/>
          <w:bCs w:val="1"/>
          <w:color w:val="auto"/>
        </w:rPr>
        <w:t>FORM 10-K TABLE OF CONTENTS</w:t>
      </w:r>
    </w:p>
    <w:p>
      <w:pPr>
        <w:spacing w:after="0" w:line="56" w:lineRule="exact"/>
        <w:rPr>
          <w:sz w:val="20"/>
          <w:szCs w:val="20"/>
          <w:color w:val="auto"/>
        </w:rPr>
      </w:pPr>
    </w:p>
    <w:p>
      <w:pPr>
        <w:jc w:val="center"/>
        <w:ind w:right="1239"/>
        <w:spacing w:after="0"/>
        <w:rPr>
          <w:sz w:val="20"/>
          <w:szCs w:val="20"/>
          <w:color w:val="auto"/>
        </w:rPr>
      </w:pPr>
      <w:r>
        <w:rPr>
          <w:rFonts w:ascii="Arial" w:cs="Arial" w:eastAsia="Arial" w:hAnsi="Arial"/>
          <w:sz w:val="18"/>
          <w:szCs w:val="18"/>
          <w:b w:val="1"/>
          <w:bCs w:val="1"/>
          <w:color w:val="auto"/>
        </w:rPr>
        <w:t>FISCAL YEAR ENDED DECEMBER 31, 2020</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499"/>
        </w:trPr>
        <w:tc>
          <w:tcPr>
            <w:tcW w:w="6880" w:type="dxa"/>
            <w:vAlign w:val="bottom"/>
            <w:gridSpan w:val="21"/>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80" w:type="dxa"/>
            <w:vAlign w:val="bottom"/>
            <w:gridSpan w:val="21"/>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Risk Factors</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12">
              <w:r>
                <w:rPr>
                  <w:rFonts w:ascii="Arial" w:cs="Arial" w:eastAsia="Arial" w:hAnsi="Arial"/>
                  <w:sz w:val="18"/>
                  <w:szCs w:val="18"/>
                  <w:color w:val="0000FF"/>
                </w:rPr>
                <w:t>12</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00" w:type="dxa"/>
            <w:vAlign w:val="bottom"/>
            <w:gridSpan w:val="10"/>
          </w:tcPr>
          <w:p>
            <w:pPr>
              <w:spacing w:after="0"/>
              <w:rPr>
                <w:rFonts w:ascii="Arial" w:cs="Arial" w:eastAsia="Arial" w:hAnsi="Arial"/>
                <w:sz w:val="18"/>
                <w:szCs w:val="18"/>
                <w:color w:val="0000FF"/>
                <w:w w:val="87"/>
              </w:rPr>
            </w:pPr>
            <w:hyperlink w:anchor="page23">
              <w:r>
                <w:rPr>
                  <w:rFonts w:ascii="Arial" w:cs="Arial" w:eastAsia="Arial" w:hAnsi="Arial"/>
                  <w:sz w:val="18"/>
                  <w:szCs w:val="18"/>
                  <w:color w:val="0000FF"/>
                  <w:w w:val="87"/>
                </w:rPr>
                <w:t>Unresolved Staff Comments</w:t>
              </w:r>
            </w:hyperlink>
          </w:p>
        </w:tc>
        <w:tc>
          <w:tcPr>
            <w:tcW w:w="4880" w:type="dxa"/>
            <w:vAlign w:val="bottom"/>
            <w:gridSpan w:val="11"/>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23">
              <w:r>
                <w:rPr>
                  <w:rFonts w:ascii="Arial" w:cs="Arial" w:eastAsia="Arial" w:hAnsi="Arial"/>
                  <w:sz w:val="18"/>
                  <w:szCs w:val="18"/>
                  <w:color w:val="0000FF"/>
                  <w:w w:val="79"/>
                </w:rPr>
                <w:t>23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 w:type="dxa"/>
            <w:vAlign w:val="bottom"/>
            <w:gridSpan w:val="3"/>
          </w:tcPr>
          <w:p>
            <w:pPr>
              <w:spacing w:after="0"/>
              <w:rPr>
                <w:rFonts w:ascii="Arial" w:cs="Arial" w:eastAsia="Arial" w:hAnsi="Arial"/>
                <w:sz w:val="18"/>
                <w:szCs w:val="18"/>
                <w:color w:val="0000FF"/>
                <w:w w:val="82"/>
              </w:rPr>
            </w:pPr>
            <w:hyperlink w:anchor="page23">
              <w:r>
                <w:rPr>
                  <w:rFonts w:ascii="Arial" w:cs="Arial" w:eastAsia="Arial" w:hAnsi="Arial"/>
                  <w:sz w:val="18"/>
                  <w:szCs w:val="18"/>
                  <w:color w:val="0000FF"/>
                  <w:w w:val="82"/>
                </w:rPr>
                <w:t>Properties</w:t>
              </w:r>
            </w:hyperlink>
          </w:p>
        </w:tc>
        <w:tc>
          <w:tcPr>
            <w:tcW w:w="1280" w:type="dxa"/>
            <w:vAlign w:val="bottom"/>
            <w:gridSpan w:val="7"/>
          </w:tcPr>
          <w:p>
            <w:pPr>
              <w:spacing w:after="0"/>
              <w:rPr>
                <w:sz w:val="20"/>
                <w:szCs w:val="20"/>
                <w:color w:val="auto"/>
              </w:rPr>
            </w:pPr>
          </w:p>
        </w:tc>
        <w:tc>
          <w:tcPr>
            <w:tcW w:w="4880" w:type="dxa"/>
            <w:vAlign w:val="bottom"/>
            <w:gridSpan w:val="11"/>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23">
              <w:r>
                <w:rPr>
                  <w:rFonts w:ascii="Arial" w:cs="Arial" w:eastAsia="Arial" w:hAnsi="Arial"/>
                  <w:sz w:val="18"/>
                  <w:szCs w:val="18"/>
                  <w:color w:val="0000FF"/>
                  <w:w w:val="79"/>
                </w:rPr>
                <w:t>23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80" w:type="dxa"/>
            <w:vAlign w:val="bottom"/>
            <w:gridSpan w:val="21"/>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Legal Proceedings</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80" w:type="dxa"/>
            <w:vAlign w:val="bottom"/>
            <w:gridSpan w:val="21"/>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Mine Safety Disclosures</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6880" w:type="dxa"/>
            <w:vAlign w:val="bottom"/>
            <w:gridSpan w:val="21"/>
          </w:tcPr>
          <w:p>
            <w:pPr>
              <w:spacing w:after="0"/>
              <w:rPr>
                <w:rFonts w:ascii="Arial" w:cs="Arial" w:eastAsia="Arial" w:hAnsi="Arial"/>
                <w:sz w:val="18"/>
                <w:szCs w:val="18"/>
                <w:color w:val="0000FF"/>
                <w:w w:val="90"/>
              </w:rPr>
            </w:pPr>
            <w:hyperlink w:anchor="page25">
              <w:r>
                <w:rPr>
                  <w:rFonts w:ascii="Arial" w:cs="Arial" w:eastAsia="Arial" w:hAnsi="Arial"/>
                  <w:sz w:val="18"/>
                  <w:szCs w:val="18"/>
                  <w:color w:val="0000FF"/>
                  <w:w w:val="90"/>
                </w:rPr>
                <w:t>Market for Registrant’s Common Equity, Related Stockholder Matters, and Issuer Purchases of</w:t>
              </w:r>
            </w:hyperlink>
          </w:p>
        </w:tc>
        <w:tc>
          <w:tcPr>
            <w:tcW w:w="900" w:type="dxa"/>
            <w:vAlign w:val="bottom"/>
            <w:gridSpan w:val="4"/>
            <w:vMerge w:val="restart"/>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c>
          <w:tcPr>
            <w:tcW w:w="0" w:type="dxa"/>
            <w:vAlign w:val="bottom"/>
          </w:tcPr>
          <w:p>
            <w:pPr>
              <w:spacing w:after="0"/>
              <w:rPr>
                <w:sz w:val="1"/>
                <w:szCs w:val="1"/>
                <w:color w:val="auto"/>
              </w:rPr>
            </w:pPr>
          </w:p>
        </w:tc>
      </w:tr>
      <w:tr>
        <w:trPr>
          <w:trHeight w:val="151"/>
        </w:trPr>
        <w:tc>
          <w:tcPr>
            <w:tcW w:w="6680" w:type="dxa"/>
            <w:vAlign w:val="bottom"/>
            <w:tcBorders>
              <w:top w:val="single" w:sz="8" w:color="0000FF"/>
            </w:tcBorders>
            <w:gridSpan w:val="20"/>
          </w:tcPr>
          <w:p>
            <w:pPr>
              <w:spacing w:after="0" w:line="152" w:lineRule="exact"/>
              <w:rPr>
                <w:rFonts w:ascii="Arial" w:cs="Arial" w:eastAsia="Arial" w:hAnsi="Arial"/>
                <w:sz w:val="16"/>
                <w:szCs w:val="16"/>
                <w:color w:val="0000FF"/>
              </w:rPr>
            </w:pPr>
            <w:hyperlink w:anchor="page25">
              <w:r>
                <w:rPr>
                  <w:rFonts w:ascii="Arial" w:cs="Arial" w:eastAsia="Arial" w:hAnsi="Arial"/>
                  <w:sz w:val="16"/>
                  <w:szCs w:val="16"/>
                  <w:color w:val="0000FF"/>
                </w:rPr>
                <w:t>Equity Securities</w:t>
              </w:r>
            </w:hyperlink>
          </w:p>
        </w:tc>
        <w:tc>
          <w:tcPr>
            <w:tcW w:w="200" w:type="dxa"/>
            <w:vAlign w:val="bottom"/>
          </w:tcPr>
          <w:p>
            <w:pPr>
              <w:spacing w:after="0"/>
              <w:rPr>
                <w:sz w:val="13"/>
                <w:szCs w:val="13"/>
                <w:color w:val="auto"/>
              </w:rPr>
            </w:pPr>
          </w:p>
        </w:tc>
        <w:tc>
          <w:tcPr>
            <w:tcW w:w="9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680" w:type="dxa"/>
            <w:vAlign w:val="bottom"/>
            <w:gridSpan w:val="8"/>
          </w:tcPr>
          <w:p>
            <w:pPr>
              <w:spacing w:after="0"/>
              <w:rPr>
                <w:rFonts w:ascii="Arial" w:cs="Arial" w:eastAsia="Arial" w:hAnsi="Arial"/>
                <w:sz w:val="18"/>
                <w:szCs w:val="18"/>
                <w:color w:val="0000FF"/>
                <w:w w:val="86"/>
              </w:rPr>
            </w:pPr>
            <w:hyperlink w:anchor="page25">
              <w:r>
                <w:rPr>
                  <w:rFonts w:ascii="Arial" w:cs="Arial" w:eastAsia="Arial" w:hAnsi="Arial"/>
                  <w:sz w:val="18"/>
                  <w:szCs w:val="18"/>
                  <w:color w:val="0000FF"/>
                  <w:w w:val="86"/>
                </w:rPr>
                <w:t>Selected Financial Data</w:t>
              </w:r>
            </w:hyperlink>
          </w:p>
        </w:tc>
        <w:tc>
          <w:tcPr>
            <w:tcW w:w="5200" w:type="dxa"/>
            <w:vAlign w:val="bottom"/>
            <w:gridSpan w:val="13"/>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25">
              <w:r>
                <w:rPr>
                  <w:rFonts w:ascii="Arial" w:cs="Arial" w:eastAsia="Arial" w:hAnsi="Arial"/>
                  <w:sz w:val="18"/>
                  <w:szCs w:val="18"/>
                  <w:color w:val="0000FF"/>
                  <w:w w:val="79"/>
                </w:rPr>
                <w:t>26</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00" w:type="dxa"/>
            <w:vAlign w:val="bottom"/>
            <w:gridSpan w:val="17"/>
          </w:tcPr>
          <w:p>
            <w:pPr>
              <w:spacing w:after="0"/>
              <w:rPr>
                <w:rFonts w:ascii="Arial" w:cs="Arial" w:eastAsia="Arial" w:hAnsi="Arial"/>
                <w:sz w:val="18"/>
                <w:szCs w:val="18"/>
                <w:color w:val="0000FF"/>
                <w:w w:val="88"/>
              </w:rPr>
            </w:pPr>
            <w:hyperlink w:anchor="page26">
              <w:r>
                <w:rPr>
                  <w:rFonts w:ascii="Arial" w:cs="Arial" w:eastAsia="Arial" w:hAnsi="Arial"/>
                  <w:sz w:val="18"/>
                  <w:szCs w:val="18"/>
                  <w:color w:val="0000FF"/>
                  <w:w w:val="88"/>
                </w:rPr>
                <w:t>Management’s Discussion and Analysis of Financial Condition and Results of Operations</w:t>
              </w:r>
            </w:hyperlink>
          </w:p>
        </w:tc>
        <w:tc>
          <w:tcPr>
            <w:tcW w:w="580" w:type="dxa"/>
            <w:vAlign w:val="bottom"/>
            <w:gridSpan w:val="4"/>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26">
              <w:r>
                <w:rPr>
                  <w:rFonts w:ascii="Arial" w:cs="Arial" w:eastAsia="Arial" w:hAnsi="Arial"/>
                  <w:sz w:val="18"/>
                  <w:szCs w:val="18"/>
                  <w:color w:val="0000FF"/>
                  <w:w w:val="79"/>
                </w:rPr>
                <w:t>26</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60" w:type="dxa"/>
            <w:vAlign w:val="bottom"/>
            <w:gridSpan w:val="15"/>
          </w:tcPr>
          <w:p>
            <w:pPr>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Quantitative and Qualitative Disclosures About Market Risk</w:t>
              </w:r>
            </w:hyperlink>
          </w:p>
        </w:tc>
        <w:tc>
          <w:tcPr>
            <w:tcW w:w="2040" w:type="dxa"/>
            <w:vAlign w:val="bottom"/>
            <w:gridSpan w:val="2"/>
          </w:tcPr>
          <w:p>
            <w:pPr>
              <w:spacing w:after="0"/>
              <w:rPr>
                <w:sz w:val="20"/>
                <w:szCs w:val="20"/>
                <w:color w:val="auto"/>
              </w:rPr>
            </w:pPr>
          </w:p>
        </w:tc>
        <w:tc>
          <w:tcPr>
            <w:tcW w:w="580" w:type="dxa"/>
            <w:vAlign w:val="bottom"/>
            <w:gridSpan w:val="4"/>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38</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60" w:type="dxa"/>
            <w:vAlign w:val="bottom"/>
            <w:gridSpan w:val="15"/>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Financial Statements and Supplementary Data</w:t>
              </w:r>
            </w:hyperlink>
          </w:p>
        </w:tc>
        <w:tc>
          <w:tcPr>
            <w:tcW w:w="2620" w:type="dxa"/>
            <w:vAlign w:val="bottom"/>
            <w:gridSpan w:val="6"/>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40</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20" w:type="dxa"/>
            <w:vAlign w:val="bottom"/>
            <w:gridSpan w:val="18"/>
          </w:tcPr>
          <w:p>
            <w:pPr>
              <w:spacing w:after="0"/>
              <w:rPr>
                <w:rFonts w:ascii="Arial" w:cs="Arial" w:eastAsia="Arial" w:hAnsi="Arial"/>
                <w:sz w:val="18"/>
                <w:szCs w:val="18"/>
                <w:color w:val="0000FF"/>
                <w:w w:val="88"/>
              </w:rPr>
            </w:pPr>
            <w:hyperlink w:anchor="page78">
              <w:r>
                <w:rPr>
                  <w:rFonts w:ascii="Arial" w:cs="Arial" w:eastAsia="Arial" w:hAnsi="Arial"/>
                  <w:sz w:val="18"/>
                  <w:szCs w:val="18"/>
                  <w:color w:val="0000FF"/>
                  <w:w w:val="88"/>
                </w:rPr>
                <w:t>Changes in and Disagreements with Accountants on Accounting and Financial Disclosure</w:t>
              </w:r>
            </w:hyperlink>
          </w:p>
        </w:tc>
        <w:tc>
          <w:tcPr>
            <w:tcW w:w="560" w:type="dxa"/>
            <w:vAlign w:val="bottom"/>
            <w:gridSpan w:val="3"/>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78">
              <w:r>
                <w:rPr>
                  <w:rFonts w:ascii="Arial" w:cs="Arial" w:eastAsia="Arial" w:hAnsi="Arial"/>
                  <w:sz w:val="18"/>
                  <w:szCs w:val="18"/>
                  <w:color w:val="0000FF"/>
                  <w:w w:val="79"/>
                </w:rPr>
                <w:t>78</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20" w:type="dxa"/>
            <w:vAlign w:val="bottom"/>
            <w:gridSpan w:val="18"/>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Controls and Procedures</w:t>
              </w:r>
            </w:hyperlink>
          </w:p>
        </w:tc>
        <w:tc>
          <w:tcPr>
            <w:tcW w:w="560" w:type="dxa"/>
            <w:vAlign w:val="bottom"/>
            <w:gridSpan w:val="3"/>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78">
              <w:r>
                <w:rPr>
                  <w:rFonts w:ascii="Arial" w:cs="Arial" w:eastAsia="Arial" w:hAnsi="Arial"/>
                  <w:sz w:val="18"/>
                  <w:szCs w:val="18"/>
                  <w:color w:val="0000FF"/>
                  <w:w w:val="79"/>
                </w:rPr>
                <w:t>78</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680" w:type="dxa"/>
            <w:vAlign w:val="bottom"/>
            <w:gridSpan w:val="8"/>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Other Information</w:t>
              </w:r>
            </w:hyperlink>
          </w:p>
        </w:tc>
        <w:tc>
          <w:tcPr>
            <w:tcW w:w="5200" w:type="dxa"/>
            <w:vAlign w:val="bottom"/>
            <w:gridSpan w:val="13"/>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78">
              <w:r>
                <w:rPr>
                  <w:rFonts w:ascii="Arial" w:cs="Arial" w:eastAsia="Arial" w:hAnsi="Arial"/>
                  <w:sz w:val="18"/>
                  <w:szCs w:val="18"/>
                  <w:color w:val="0000FF"/>
                  <w:w w:val="79"/>
                </w:rPr>
                <w:t>78</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4040" w:type="dxa"/>
            <w:vAlign w:val="bottom"/>
            <w:gridSpan w:val="14"/>
          </w:tcPr>
          <w:p>
            <w:pPr>
              <w:spacing w:after="0"/>
              <w:rPr>
                <w:rFonts w:ascii="Arial" w:cs="Arial" w:eastAsia="Arial" w:hAnsi="Arial"/>
                <w:sz w:val="18"/>
                <w:szCs w:val="18"/>
                <w:color w:val="0000FF"/>
                <w:w w:val="88"/>
              </w:rPr>
            </w:pPr>
            <w:hyperlink w:anchor="page78">
              <w:r>
                <w:rPr>
                  <w:rFonts w:ascii="Arial" w:cs="Arial" w:eastAsia="Arial" w:hAnsi="Arial"/>
                  <w:sz w:val="18"/>
                  <w:szCs w:val="18"/>
                  <w:color w:val="0000FF"/>
                  <w:w w:val="88"/>
                </w:rPr>
                <w:t>Directors, Executive Officers, and Corporate Governance</w:t>
              </w:r>
            </w:hyperlink>
          </w:p>
        </w:tc>
        <w:tc>
          <w:tcPr>
            <w:tcW w:w="2840" w:type="dxa"/>
            <w:vAlign w:val="bottom"/>
            <w:gridSpan w:val="7"/>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78">
              <w:r>
                <w:rPr>
                  <w:rFonts w:ascii="Arial" w:cs="Arial" w:eastAsia="Arial" w:hAnsi="Arial"/>
                  <w:sz w:val="18"/>
                  <w:szCs w:val="18"/>
                  <w:color w:val="0000FF"/>
                  <w:w w:val="79"/>
                </w:rPr>
                <w:t>79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40" w:type="dxa"/>
            <w:vAlign w:val="bottom"/>
            <w:gridSpan w:val="14"/>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Executive Compensation</w:t>
              </w:r>
            </w:hyperlink>
          </w:p>
        </w:tc>
        <w:tc>
          <w:tcPr>
            <w:tcW w:w="2840" w:type="dxa"/>
            <w:vAlign w:val="bottom"/>
            <w:gridSpan w:val="7"/>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78">
              <w:r>
                <w:rPr>
                  <w:rFonts w:ascii="Arial" w:cs="Arial" w:eastAsia="Arial" w:hAnsi="Arial"/>
                  <w:sz w:val="18"/>
                  <w:szCs w:val="18"/>
                  <w:color w:val="0000FF"/>
                  <w:w w:val="79"/>
                </w:rPr>
                <w:t>79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80" w:type="dxa"/>
            <w:vAlign w:val="bottom"/>
            <w:gridSpan w:val="21"/>
          </w:tcPr>
          <w:p>
            <w:pPr>
              <w:spacing w:after="0"/>
              <w:rPr>
                <w:rFonts w:ascii="Arial" w:cs="Arial" w:eastAsia="Arial" w:hAnsi="Arial"/>
                <w:sz w:val="18"/>
                <w:szCs w:val="18"/>
                <w:color w:val="0000FF"/>
                <w:w w:val="93"/>
              </w:rPr>
            </w:pPr>
            <w:hyperlink w:anchor="page78">
              <w:r>
                <w:rPr>
                  <w:rFonts w:ascii="Arial" w:cs="Arial" w:eastAsia="Arial" w:hAnsi="Arial"/>
                  <w:sz w:val="18"/>
                  <w:szCs w:val="18"/>
                  <w:color w:val="0000FF"/>
                  <w:w w:val="93"/>
                </w:rPr>
                <w:t>Security Ownership of Certain Beneficial Owners and Management and Related Stockholder</w:t>
              </w:r>
            </w:hyperlink>
          </w:p>
        </w:tc>
        <w:tc>
          <w:tcPr>
            <w:tcW w:w="900" w:type="dxa"/>
            <w:vAlign w:val="bottom"/>
            <w:gridSpan w:val="4"/>
            <w:vMerge w:val="restart"/>
          </w:tcPr>
          <w:p>
            <w:pPr>
              <w:jc w:val="right"/>
              <w:ind w:right="20"/>
              <w:spacing w:after="0"/>
              <w:rPr>
                <w:rFonts w:ascii="Arial" w:cs="Arial" w:eastAsia="Arial" w:hAnsi="Arial"/>
                <w:sz w:val="18"/>
                <w:szCs w:val="18"/>
                <w:color w:val="0000FF"/>
              </w:rPr>
            </w:pPr>
            <w:hyperlink w:anchor="page78">
              <w:r>
                <w:rPr>
                  <w:rFonts w:ascii="Arial" w:cs="Arial" w:eastAsia="Arial" w:hAnsi="Arial"/>
                  <w:sz w:val="18"/>
                  <w:szCs w:val="18"/>
                  <w:color w:val="0000FF"/>
                </w:rPr>
                <w:t>79</w:t>
              </w:r>
            </w:hyperlink>
          </w:p>
        </w:tc>
        <w:tc>
          <w:tcPr>
            <w:tcW w:w="0" w:type="dxa"/>
            <w:vAlign w:val="bottom"/>
          </w:tcPr>
          <w:p>
            <w:pPr>
              <w:spacing w:after="0"/>
              <w:rPr>
                <w:sz w:val="1"/>
                <w:szCs w:val="1"/>
                <w:color w:val="auto"/>
              </w:rPr>
            </w:pPr>
          </w:p>
        </w:tc>
      </w:tr>
      <w:tr>
        <w:trPr>
          <w:trHeight w:val="151"/>
        </w:trPr>
        <w:tc>
          <w:tcPr>
            <w:tcW w:w="6540" w:type="dxa"/>
            <w:vAlign w:val="bottom"/>
            <w:tcBorders>
              <w:top w:val="single" w:sz="8" w:color="0000FF"/>
            </w:tcBorders>
            <w:gridSpan w:val="19"/>
          </w:tcPr>
          <w:p>
            <w:pPr>
              <w:spacing w:after="0" w:line="152" w:lineRule="exact"/>
              <w:rPr>
                <w:rFonts w:ascii="Arial" w:cs="Arial" w:eastAsia="Arial" w:hAnsi="Arial"/>
                <w:sz w:val="16"/>
                <w:szCs w:val="16"/>
                <w:color w:val="0000FF"/>
              </w:rPr>
            </w:pPr>
            <w:hyperlink w:anchor="page78">
              <w:r>
                <w:rPr>
                  <w:rFonts w:ascii="Arial" w:cs="Arial" w:eastAsia="Arial" w:hAnsi="Arial"/>
                  <w:sz w:val="16"/>
                  <w:szCs w:val="16"/>
                  <w:color w:val="0000FF"/>
                </w:rPr>
                <w:t>Matters</w:t>
              </w:r>
            </w:hyperlink>
          </w:p>
        </w:tc>
        <w:tc>
          <w:tcPr>
            <w:tcW w:w="340" w:type="dxa"/>
            <w:vAlign w:val="bottom"/>
            <w:gridSpan w:val="2"/>
          </w:tcPr>
          <w:p>
            <w:pPr>
              <w:spacing w:after="0"/>
              <w:rPr>
                <w:sz w:val="13"/>
                <w:szCs w:val="13"/>
                <w:color w:val="auto"/>
              </w:rPr>
            </w:pPr>
          </w:p>
        </w:tc>
        <w:tc>
          <w:tcPr>
            <w:tcW w:w="9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20" w:type="dxa"/>
            <w:vAlign w:val="bottom"/>
            <w:gridSpan w:val="16"/>
          </w:tcPr>
          <w:p>
            <w:pPr>
              <w:spacing w:after="0"/>
              <w:rPr>
                <w:rFonts w:ascii="Arial" w:cs="Arial" w:eastAsia="Arial" w:hAnsi="Arial"/>
                <w:sz w:val="18"/>
                <w:szCs w:val="18"/>
                <w:color w:val="0000FF"/>
                <w:w w:val="87"/>
              </w:rPr>
            </w:pPr>
            <w:hyperlink w:anchor="page78">
              <w:r>
                <w:rPr>
                  <w:rFonts w:ascii="Arial" w:cs="Arial" w:eastAsia="Arial" w:hAnsi="Arial"/>
                  <w:sz w:val="18"/>
                  <w:szCs w:val="18"/>
                  <w:color w:val="0000FF"/>
                  <w:w w:val="87"/>
                </w:rPr>
                <w:t>Certain Relationships and Related Transactions, and Director Independence</w:t>
              </w:r>
            </w:hyperlink>
          </w:p>
        </w:tc>
        <w:tc>
          <w:tcPr>
            <w:tcW w:w="1560" w:type="dxa"/>
            <w:vAlign w:val="bottom"/>
            <w:gridSpan w:val="5"/>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78">
              <w:r>
                <w:rPr>
                  <w:rFonts w:ascii="Arial" w:cs="Arial" w:eastAsia="Arial" w:hAnsi="Arial"/>
                  <w:sz w:val="18"/>
                  <w:szCs w:val="18"/>
                  <w:color w:val="0000FF"/>
                  <w:w w:val="79"/>
                </w:rPr>
                <w:t>79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800" w:type="dxa"/>
            <w:vAlign w:val="bottom"/>
            <w:gridSpan w:val="11"/>
          </w:tcPr>
          <w:p>
            <w:pPr>
              <w:spacing w:after="0"/>
              <w:rPr>
                <w:rFonts w:ascii="Arial" w:cs="Arial" w:eastAsia="Arial" w:hAnsi="Arial"/>
                <w:sz w:val="18"/>
                <w:szCs w:val="18"/>
                <w:color w:val="0000FF"/>
                <w:w w:val="87"/>
              </w:rPr>
            </w:pPr>
            <w:hyperlink w:anchor="page78">
              <w:r>
                <w:rPr>
                  <w:rFonts w:ascii="Arial" w:cs="Arial" w:eastAsia="Arial" w:hAnsi="Arial"/>
                  <w:sz w:val="18"/>
                  <w:szCs w:val="18"/>
                  <w:color w:val="0000FF"/>
                  <w:w w:val="87"/>
                </w:rPr>
                <w:t>Principal Accountant Fees and Services</w:t>
              </w:r>
            </w:hyperlink>
          </w:p>
        </w:tc>
        <w:tc>
          <w:tcPr>
            <w:tcW w:w="2520" w:type="dxa"/>
            <w:vAlign w:val="bottom"/>
            <w:gridSpan w:val="5"/>
          </w:tcPr>
          <w:p>
            <w:pPr>
              <w:spacing w:after="0"/>
              <w:rPr>
                <w:sz w:val="20"/>
                <w:szCs w:val="20"/>
                <w:color w:val="auto"/>
              </w:rPr>
            </w:pPr>
          </w:p>
        </w:tc>
        <w:tc>
          <w:tcPr>
            <w:tcW w:w="1560" w:type="dxa"/>
            <w:vAlign w:val="bottom"/>
            <w:gridSpan w:val="5"/>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78">
              <w:r>
                <w:rPr>
                  <w:rFonts w:ascii="Arial" w:cs="Arial" w:eastAsia="Arial" w:hAnsi="Arial"/>
                  <w:sz w:val="18"/>
                  <w:szCs w:val="18"/>
                  <w:color w:val="0000FF"/>
                  <w:w w:val="79"/>
                </w:rPr>
                <w:t>79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6880" w:type="dxa"/>
            <w:vAlign w:val="bottom"/>
            <w:gridSpan w:val="21"/>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Exhibits and Financial Statement Schedules</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83">
              <w:r>
                <w:rPr>
                  <w:rFonts w:ascii="Arial" w:cs="Arial" w:eastAsia="Arial" w:hAnsi="Arial"/>
                  <w:sz w:val="18"/>
                  <w:szCs w:val="18"/>
                  <w:color w:val="0000FF"/>
                </w:rPr>
                <w:t>83</w:t>
              </w:r>
            </w:hyperlink>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380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520" w:type="dxa"/>
            <w:vAlign w:val="bottom"/>
            <w:gridSpan w:val="7"/>
          </w:tcPr>
          <w:p>
            <w:pPr>
              <w:spacing w:after="0"/>
              <w:rPr>
                <w:rFonts w:ascii="Arial" w:cs="Arial" w:eastAsia="Arial" w:hAnsi="Arial"/>
                <w:sz w:val="18"/>
                <w:szCs w:val="18"/>
                <w:color w:val="0000FF"/>
                <w:w w:val="89"/>
              </w:rPr>
            </w:pPr>
            <w:hyperlink w:anchor="page88">
              <w:r>
                <w:rPr>
                  <w:rFonts w:ascii="Arial" w:cs="Arial" w:eastAsia="Arial" w:hAnsi="Arial"/>
                  <w:sz w:val="18"/>
                  <w:szCs w:val="18"/>
                  <w:color w:val="0000FF"/>
                  <w:w w:val="89"/>
                </w:rPr>
                <w:t>Form 10-K Summary</w:t>
              </w:r>
            </w:hyperlink>
          </w:p>
        </w:tc>
        <w:tc>
          <w:tcPr>
            <w:tcW w:w="1560" w:type="dxa"/>
            <w:vAlign w:val="bottom"/>
            <w:gridSpan w:val="5"/>
          </w:tcPr>
          <w:p>
            <w:pPr>
              <w:spacing w:after="0"/>
              <w:rPr>
                <w:sz w:val="20"/>
                <w:szCs w:val="20"/>
                <w:color w:val="auto"/>
              </w:rPr>
            </w:pPr>
          </w:p>
        </w:tc>
        <w:tc>
          <w:tcPr>
            <w:tcW w:w="3800" w:type="dxa"/>
            <w:vAlign w:val="bottom"/>
            <w:gridSpan w:val="9"/>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88">
              <w:r>
                <w:rPr>
                  <w:rFonts w:ascii="Arial" w:cs="Arial" w:eastAsia="Arial" w:hAnsi="Arial"/>
                  <w:sz w:val="18"/>
                  <w:szCs w:val="18"/>
                  <w:color w:val="0000FF"/>
                  <w:w w:val="79"/>
                </w:rPr>
                <w:t>88</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520" w:type="dxa"/>
            <w:vAlign w:val="bottom"/>
            <w:gridSpan w:val="7"/>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Signatures</w:t>
              </w:r>
            </w:hyperlink>
          </w:p>
        </w:tc>
        <w:tc>
          <w:tcPr>
            <w:tcW w:w="5360" w:type="dxa"/>
            <w:vAlign w:val="bottom"/>
            <w:gridSpan w:val="14"/>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88">
              <w:r>
                <w:rPr>
                  <w:rFonts w:ascii="Arial" w:cs="Arial" w:eastAsia="Arial" w:hAnsi="Arial"/>
                  <w:sz w:val="18"/>
                  <w:szCs w:val="18"/>
                  <w:color w:val="0000FF"/>
                  <w:w w:val="79"/>
                </w:rPr>
                <w:t>89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-1494790</wp:posOffset>
            </wp:positionH>
            <wp:positionV relativeFrom="paragraph">
              <wp:posOffset>64135</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2">
            <w:col w:w="2080" w:space="260"/>
            <w:col w:w="7799"/>
          </w:cols>
          <w:pgMar w:left="320" w:top="127" w:right="1440"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00" w:firstLine="434"/>
        <w:spacing w:after="0" w:line="297" w:lineRule="auto"/>
        <w:rPr>
          <w:sz w:val="20"/>
          <w:szCs w:val="20"/>
          <w:color w:val="auto"/>
        </w:rPr>
      </w:pPr>
      <w:r>
        <w:rPr>
          <w:rFonts w:ascii="Arial" w:cs="Arial" w:eastAsia="Arial" w:hAnsi="Arial"/>
          <w:sz w:val="15"/>
          <w:szCs w:val="15"/>
          <w:color w:val="auto"/>
        </w:rPr>
        <w:t>Throughout this report, we refer to Marriott International, Inc., together with its consolidated subsidiaries, as “we,” “us,” “Marriott,” or the “Company.” In order to make this report easier to read, we also refer throughout to (1) our Consolidated Financial Statements as our “Financial Statements,” (2) our Consolidated Statements of (Loss) Income as our “Income Statements,” (3) our Consolidated Balance Sheets as our “Balance Sheets,” (4) our Consolidated Statements of Cash Flows as our “Statements of Cash Flows,” (5) our properties, brands, or markets in the United States and Canada as “U.S. &amp; Canada,” and</w:t>
      </w:r>
    </w:p>
    <w:p>
      <w:pPr>
        <w:ind w:right="520" w:firstLine="5"/>
        <w:spacing w:after="0" w:line="309" w:lineRule="auto"/>
        <w:tabs>
          <w:tab w:leader="none" w:pos="248"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properties, brands, or markets in our Caribbean and Latin America region, Europe, Middle East and Africa segment, and Asia Pacific segment as “International.” In addition, references throughout to numbered “Notes” refer to the Notes to our Financial Statements, unless otherwise stated.</w:t>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Cautionary Statement</w:t>
      </w:r>
    </w:p>
    <w:p>
      <w:pPr>
        <w:spacing w:after="0" w:line="167" w:lineRule="exact"/>
        <w:rPr>
          <w:sz w:val="20"/>
          <w:szCs w:val="20"/>
          <w:color w:val="auto"/>
        </w:rPr>
      </w:pPr>
    </w:p>
    <w:p>
      <w:pPr>
        <w:ind w:firstLine="395"/>
        <w:spacing w:after="0" w:line="279" w:lineRule="auto"/>
        <w:rPr>
          <w:sz w:val="20"/>
          <w:szCs w:val="20"/>
          <w:color w:val="auto"/>
        </w:rPr>
      </w:pPr>
      <w:r>
        <w:rPr>
          <w:rFonts w:ascii="Arial" w:cs="Arial" w:eastAsia="Arial" w:hAnsi="Arial"/>
          <w:sz w:val="16"/>
          <w:szCs w:val="16"/>
          <w:color w:val="auto"/>
        </w:rPr>
        <w:t>All statements in this report are made as of the date this Form 10-K is filed with the U.S. Securities and Exchange Commission (the “SEC”). We undertake no obligation to publicly update or revise these statements, whether as a result of new information, future events or otherwise. We make forward-looking statements in Management’s Discussion and Analysis of Financial Condition and Results of Operations and elsewhere in this report based on the beliefs and assumptions of our management and on information available to us through the date this Form 10-K is filed with the SEC. Forward-looking statements include information related to the possible effects on our business of the coronavirus pandemic and efforts to contain it (“</w:t>
      </w:r>
      <w:r>
        <w:rPr>
          <w:rFonts w:ascii="Arial" w:cs="Arial" w:eastAsia="Arial" w:hAnsi="Arial"/>
          <w:sz w:val="17"/>
          <w:szCs w:val="17"/>
          <w:color w:val="auto"/>
        </w:rPr>
        <w:t>COVID-19</w:t>
      </w:r>
      <w:r>
        <w:rPr>
          <w:rFonts w:ascii="Arial" w:cs="Arial" w:eastAsia="Arial" w:hAnsi="Arial"/>
          <w:sz w:val="16"/>
          <w:szCs w:val="16"/>
          <w:color w:val="auto"/>
        </w:rPr>
        <w:t xml:space="preserve">”), including the performance of the Company’s hotels; Revenue per Available Room (“RevPAR”) and occupancy trends and expectations; the nature and impact of contingency plans, restructuring plans and cost reduction plans; rooms growth; our expectations regarding our ability to meet our liquidity requirements; our expectations regarding </w:t>
      </w:r>
      <w:r>
        <w:rPr>
          <w:rFonts w:ascii="Arial" w:cs="Arial" w:eastAsia="Arial" w:hAnsi="Arial"/>
          <w:sz w:val="17"/>
          <w:szCs w:val="17"/>
          <w:color w:val="auto"/>
        </w:rPr>
        <w:t>COVID-19</w:t>
      </w:r>
      <w:r>
        <w:rPr>
          <w:rFonts w:ascii="Arial" w:cs="Arial" w:eastAsia="Arial" w:hAnsi="Arial"/>
          <w:sz w:val="16"/>
          <w:szCs w:val="16"/>
          <w:color w:val="auto"/>
        </w:rPr>
        <w:t>’s impact on our cash from operations; our capital expenditures and other investment spending expectations; statements related to leadership changes and the structure of the Company’s management operations; other statements throughout this report that are preceded by, followed by, or include the words “believes,” “expects,” “anticipates,” “intends,” “plans,” “estimates,” “foresees,” or similar expressions; and similar statements concerning anticipated future events and expectations that are not historical facts.</w:t>
      </w:r>
    </w:p>
    <w:p>
      <w:pPr>
        <w:spacing w:after="0" w:line="121" w:lineRule="exact"/>
        <w:rPr>
          <w:sz w:val="20"/>
          <w:szCs w:val="20"/>
          <w:color w:val="auto"/>
        </w:rPr>
      </w:pPr>
    </w:p>
    <w:p>
      <w:pPr>
        <w:ind w:right="20" w:firstLine="395"/>
        <w:spacing w:after="0" w:line="278" w:lineRule="auto"/>
        <w:rPr>
          <w:sz w:val="20"/>
          <w:szCs w:val="20"/>
          <w:color w:val="auto"/>
        </w:rPr>
      </w:pPr>
      <w:r>
        <w:rPr>
          <w:rFonts w:ascii="Arial" w:cs="Arial" w:eastAsia="Arial" w:hAnsi="Arial"/>
          <w:sz w:val="16"/>
          <w:szCs w:val="16"/>
          <w:color w:val="auto"/>
        </w:rPr>
        <w:t xml:space="preserve">We caution you that these statements are not guarantees of future performance and are subject to numerous evolving risks and uncertainties that we may not be able to accurately predict or assess, including the risks and uncertainties we describe below and other factors we describe from time to time in our periodic filings with the SEC. Risks that could affect our results of operations, liquidity and capital resources, and other aspects of our business discussed in this Form 10-K include the duration and scope of </w:t>
      </w:r>
      <w:r>
        <w:rPr>
          <w:rFonts w:ascii="Arial" w:cs="Arial" w:eastAsia="Arial" w:hAnsi="Arial"/>
          <w:sz w:val="17"/>
          <w:szCs w:val="17"/>
          <w:color w:val="auto"/>
        </w:rPr>
        <w:t>COVID-19</w:t>
      </w:r>
      <w:r>
        <w:rPr>
          <w:rFonts w:ascii="Arial" w:cs="Arial" w:eastAsia="Arial" w:hAnsi="Arial"/>
          <w:sz w:val="16"/>
          <w:szCs w:val="16"/>
          <w:color w:val="auto"/>
        </w:rPr>
        <w:t xml:space="preserve">, including the availability and distribution of effective vaccines or treatments; its short and longer-term impact on the demand for travel, transient and group business, and levels of consumer confidence; actions governments, businesses and individuals have taken or may take in response to the pandemic, including limiting or banning travel and/or in-person gatherings or imposing occupancy or other restrictions on lodging or other facilities; the impact of the pandemic and actions taken in response to the pandemic on global and regional economies, travel, and economic activity, including the duration and magnitude of its impact on unemployment rates and consumer discretionary spending; the ability of our owners and franchisees to successfully navigate the impacts of </w:t>
      </w:r>
      <w:r>
        <w:rPr>
          <w:rFonts w:ascii="Arial" w:cs="Arial" w:eastAsia="Arial" w:hAnsi="Arial"/>
          <w:sz w:val="17"/>
          <w:szCs w:val="17"/>
          <w:color w:val="auto"/>
        </w:rPr>
        <w:t>COVID-19</w:t>
      </w:r>
      <w:r>
        <w:rPr>
          <w:rFonts w:ascii="Arial" w:cs="Arial" w:eastAsia="Arial" w:hAnsi="Arial"/>
          <w:sz w:val="16"/>
          <w:szCs w:val="16"/>
          <w:color w:val="auto"/>
        </w:rPr>
        <w:t>; the pace of recovery when the pandemic subsides or effective treatments or vaccines become widely available; general economic uncertainty in key global markets and a worsening of global economic conditions or low levels of economic growth; the effects of steps we and our property owners and franchisees have taken and may continue to take to reduce operating costs and/or enhance certain health and cleanliness protocols at our hotels; the impacts of our employee furloughs and reduced work week schedules, our voluntary transition program and our other restructuring activities; competitive conditions in the lodging industry; relationships with customers and property owners; the availability of capital to finance hotel growth and refurbishment; the extent to which we experience adverse effects from data security incidents; and changes in tax laws in countries in which we earn significant income.</w:t>
      </w:r>
    </w:p>
    <w:p>
      <w:pPr>
        <w:spacing w:after="0" w:line="114" w:lineRule="exact"/>
        <w:rPr>
          <w:sz w:val="20"/>
          <w:szCs w:val="20"/>
          <w:color w:val="auto"/>
        </w:rPr>
      </w:pPr>
    </w:p>
    <w:p>
      <w:pPr>
        <w:ind w:right="260" w:firstLine="395"/>
        <w:spacing w:after="0" w:line="250" w:lineRule="auto"/>
        <w:rPr>
          <w:sz w:val="20"/>
          <w:szCs w:val="20"/>
          <w:color w:val="auto"/>
        </w:rPr>
      </w:pPr>
      <w:r>
        <w:rPr>
          <w:rFonts w:ascii="Arial" w:cs="Arial" w:eastAsia="Arial" w:hAnsi="Arial"/>
          <w:sz w:val="18"/>
          <w:szCs w:val="18"/>
          <w:color w:val="auto"/>
        </w:rPr>
        <w:t xml:space="preserve">As discussed in this Form 10-K, </w:t>
      </w:r>
      <w:r>
        <w:rPr>
          <w:rFonts w:ascii="Arial" w:cs="Arial" w:eastAsia="Arial" w:hAnsi="Arial"/>
          <w:sz w:val="19"/>
          <w:szCs w:val="19"/>
          <w:color w:val="auto"/>
        </w:rPr>
        <w:t>COVID-19</w:t>
      </w:r>
      <w:r>
        <w:rPr>
          <w:rFonts w:ascii="Arial" w:cs="Arial" w:eastAsia="Arial" w:hAnsi="Arial"/>
          <w:sz w:val="18"/>
          <w:szCs w:val="18"/>
          <w:color w:val="auto"/>
        </w:rPr>
        <w:t xml:space="preserve"> is materially impacting our operations and financial results. </w:t>
      </w:r>
      <w:r>
        <w:rPr>
          <w:rFonts w:ascii="Arial" w:cs="Arial" w:eastAsia="Arial" w:hAnsi="Arial"/>
          <w:sz w:val="19"/>
          <w:szCs w:val="19"/>
          <w:color w:val="auto"/>
        </w:rPr>
        <w:t>COVID-19</w:t>
      </w:r>
      <w:r>
        <w:rPr>
          <w:rFonts w:ascii="Arial" w:cs="Arial" w:eastAsia="Arial" w:hAnsi="Arial"/>
          <w:sz w:val="18"/>
          <w:szCs w:val="18"/>
          <w:color w:val="auto"/>
        </w:rPr>
        <w:t xml:space="preserve">, and the volatile regional and global economic conditions stemming from it, and additional or unforeseen effects from the </w:t>
      </w:r>
      <w:r>
        <w:rPr>
          <w:rFonts w:ascii="Arial" w:cs="Arial" w:eastAsia="Arial" w:hAnsi="Arial"/>
          <w:sz w:val="19"/>
          <w:szCs w:val="19"/>
          <w:color w:val="auto"/>
        </w:rPr>
        <w:t>COVID-19</w:t>
      </w:r>
      <w:r>
        <w:rPr>
          <w:rFonts w:ascii="Arial" w:cs="Arial" w:eastAsia="Arial" w:hAnsi="Arial"/>
          <w:sz w:val="18"/>
          <w:szCs w:val="18"/>
          <w:color w:val="auto"/>
        </w:rPr>
        <w:t xml:space="preserve"> pandemic, could also give rise to or aggravate the other risk factors that we identify within Part I, Item 1A of this report, which in turn could materially adversely affect our business, liquidity, financial condition, and results of operations. Further, </w:t>
      </w:r>
      <w:r>
        <w:rPr>
          <w:rFonts w:ascii="Arial" w:cs="Arial" w:eastAsia="Arial" w:hAnsi="Arial"/>
          <w:sz w:val="19"/>
          <w:szCs w:val="19"/>
          <w:color w:val="auto"/>
        </w:rPr>
        <w:t>COVID-19</w:t>
      </w:r>
      <w:r>
        <w:rPr>
          <w:rFonts w:ascii="Arial" w:cs="Arial" w:eastAsia="Arial" w:hAnsi="Arial"/>
          <w:sz w:val="18"/>
          <w:szCs w:val="18"/>
          <w:color w:val="auto"/>
        </w:rPr>
        <w:t xml:space="preserve"> may also affect our operating and financial results in a manner that is not presently known to us or that we currently do not consider to present significant risks to our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Structure and Business</w:t>
      </w:r>
    </w:p>
    <w:p>
      <w:pPr>
        <w:spacing w:after="0" w:line="161" w:lineRule="exact"/>
        <w:rPr>
          <w:sz w:val="20"/>
          <w:szCs w:val="20"/>
          <w:color w:val="auto"/>
        </w:rPr>
      </w:pPr>
    </w:p>
    <w:p>
      <w:pPr>
        <w:ind w:right="200" w:firstLine="434"/>
        <w:spacing w:after="0" w:line="324" w:lineRule="auto"/>
        <w:rPr>
          <w:sz w:val="20"/>
          <w:szCs w:val="20"/>
          <w:color w:val="auto"/>
        </w:rPr>
      </w:pPr>
      <w:r>
        <w:rPr>
          <w:rFonts w:ascii="Arial" w:cs="Arial" w:eastAsia="Arial" w:hAnsi="Arial"/>
          <w:sz w:val="16"/>
          <w:szCs w:val="16"/>
          <w:color w:val="auto"/>
        </w:rPr>
        <w:t>We are a worldwide operator, franchisor, and licensor of hotel, residential, and timeshare properties under numerous brand names at different price and service points. Consistent with our focus on management, franchising, and licensing, we own very few of our lodging properties.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our portfolio of brands at year-end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855345</wp:posOffset>
            </wp:positionH>
            <wp:positionV relativeFrom="paragraph">
              <wp:posOffset>110490</wp:posOffset>
            </wp:positionV>
            <wp:extent cx="5715000" cy="17462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0" cy="174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434"/>
        <w:spacing w:after="0" w:line="282" w:lineRule="auto"/>
        <w:rPr>
          <w:sz w:val="20"/>
          <w:szCs w:val="20"/>
          <w:color w:val="auto"/>
        </w:rPr>
      </w:pPr>
      <w:r>
        <w:rPr>
          <w:rFonts w:ascii="Arial" w:cs="Arial" w:eastAsia="Arial" w:hAnsi="Arial"/>
          <w:sz w:val="16"/>
          <w:szCs w:val="16"/>
          <w:color w:val="auto"/>
        </w:rPr>
        <w:t>We discuss our operations in the following three reportable business segments: United States and Canada (“U.S. &amp; Canada”), Asia Pacific, and Europe, Middle East and Africa (“EMEA”). Our Caribbean and Latin America (“CALA”) operating segment does not meet the applicable accounting criteria for separate disclosure as a reportable business segment, and we include its results in “Unallocated corporate and other.” In the 2020 fourth quarter, we changed the name of our largest segment from “North America” to “U.S. &amp; Canada.” Other than the name change, we made no other changes to the composition of this segment. In January 2021, we modified our reportable segment structure as a result of a change in the way management intends to evaluate results and allocate resources within the Company. Beginning with the 2021 first quarter, we will report the following two operating segments: U.S. &amp; Canada and International. See Note 15 for more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COVID-19</w:t>
      </w:r>
    </w:p>
    <w:p>
      <w:pPr>
        <w:spacing w:after="0" w:line="163" w:lineRule="exact"/>
        <w:rPr>
          <w:sz w:val="20"/>
          <w:szCs w:val="20"/>
          <w:color w:val="auto"/>
        </w:rPr>
      </w:pPr>
    </w:p>
    <w:p>
      <w:pPr>
        <w:ind w:right="40" w:firstLine="434"/>
        <w:spacing w:after="0" w:line="253" w:lineRule="auto"/>
        <w:rPr>
          <w:sz w:val="20"/>
          <w:szCs w:val="20"/>
          <w:color w:val="auto"/>
        </w:rPr>
      </w:pPr>
      <w:r>
        <w:rPr>
          <w:rFonts w:ascii="Arial" w:cs="Arial" w:eastAsia="Arial" w:hAnsi="Arial"/>
          <w:sz w:val="19"/>
          <w:szCs w:val="19"/>
          <w:color w:val="auto"/>
        </w:rPr>
        <w:t xml:space="preserve">COVID-19 </w:t>
      </w:r>
      <w:r>
        <w:rPr>
          <w:rFonts w:ascii="Arial" w:cs="Arial" w:eastAsia="Arial" w:hAnsi="Arial"/>
          <w:sz w:val="17"/>
          <w:szCs w:val="17"/>
          <w:color w:val="auto"/>
        </w:rPr>
        <w:t>has had an unprecedented impact on the travel industry and the Company. As the virus and efforts to contain it spread around the world,</w:t>
      </w:r>
      <w:r>
        <w:rPr>
          <w:rFonts w:ascii="Arial" w:cs="Arial" w:eastAsia="Arial" w:hAnsi="Arial"/>
          <w:sz w:val="19"/>
          <w:szCs w:val="19"/>
          <w:color w:val="auto"/>
        </w:rPr>
        <w:t xml:space="preserve"> </w:t>
      </w:r>
      <w:r>
        <w:rPr>
          <w:rFonts w:ascii="Arial" w:cs="Arial" w:eastAsia="Arial" w:hAnsi="Arial"/>
          <w:sz w:val="17"/>
          <w:szCs w:val="17"/>
          <w:color w:val="auto"/>
        </w:rPr>
        <w:t xml:space="preserve">demand at our hotels dropped significantly. While 2020 generally got off to a great start, we saw sudden, sharp declines in hotel occupancy, beginning in Greater China in January 2020 and then extending around the world. In April 2020, comparable systemwide constant dollar RevPAR experienced a record decline, decreasing 90 percent worldwide compared to the prior year period, and 27 percent of our hotels were temporarily closed. Although business at our hotels improved throughout the remainder of 2020 as compared to the extremely low levels in April 2020, </w:t>
      </w:r>
      <w:r>
        <w:rPr>
          <w:rFonts w:ascii="Arial" w:cs="Arial" w:eastAsia="Arial" w:hAnsi="Arial"/>
          <w:sz w:val="19"/>
          <w:szCs w:val="19"/>
          <w:color w:val="auto"/>
        </w:rPr>
        <w:t>COVID-19</w:t>
      </w:r>
      <w:r>
        <w:rPr>
          <w:rFonts w:ascii="Arial" w:cs="Arial" w:eastAsia="Arial" w:hAnsi="Arial"/>
          <w:sz w:val="17"/>
          <w:szCs w:val="17"/>
          <w:color w:val="auto"/>
        </w:rPr>
        <w:t xml:space="preserve"> continues to constrain recovery and to have a significant negative impact on demand. </w:t>
      </w:r>
      <w:r>
        <w:rPr>
          <w:rFonts w:ascii="Arial" w:cs="Arial" w:eastAsia="Arial" w:hAnsi="Arial"/>
          <w:sz w:val="19"/>
          <w:szCs w:val="19"/>
          <w:color w:val="auto"/>
        </w:rPr>
        <w:t>COVID-19</w:t>
      </w:r>
      <w:r>
        <w:rPr>
          <w:rFonts w:ascii="Arial" w:cs="Arial" w:eastAsia="Arial" w:hAnsi="Arial"/>
          <w:sz w:val="17"/>
          <w:szCs w:val="17"/>
          <w:color w:val="auto"/>
        </w:rPr>
        <w:t xml:space="preserve"> also resulted in significantly lower new room additions than we had budgeted for 2020 and historically high levels of cancellations by group and other travelers for future periods. As a result, our revenues and profitability declined dramatically in 2020 compared to 2019.</w:t>
      </w:r>
    </w:p>
    <w:p>
      <w:pPr>
        <w:spacing w:after="0" w:line="141" w:lineRule="exact"/>
        <w:rPr>
          <w:sz w:val="20"/>
          <w:szCs w:val="20"/>
          <w:color w:val="auto"/>
        </w:rPr>
      </w:pPr>
    </w:p>
    <w:p>
      <w:pPr>
        <w:ind w:firstLine="434"/>
        <w:spacing w:after="0" w:line="280" w:lineRule="auto"/>
        <w:rPr>
          <w:sz w:val="20"/>
          <w:szCs w:val="20"/>
          <w:color w:val="auto"/>
        </w:rPr>
      </w:pPr>
      <w:r>
        <w:rPr>
          <w:rFonts w:ascii="Arial" w:cs="Arial" w:eastAsia="Arial" w:hAnsi="Arial"/>
          <w:sz w:val="16"/>
          <w:szCs w:val="16"/>
          <w:color w:val="auto"/>
        </w:rPr>
        <w:t>We continue to take substantial measures to mitigate the negative financial and operational impacts of COVID-19 for our hotel owners and our own business, and we remain focused on taking care of our guests and associates. We have made significant changes to our business and enhanced our liquidity position, while remaining focused on how to best position ourselves for recovery and for growth over the longer term. At the property level, we implemented plans to help our hotel owners and franchisees reduce their cash outlays and mitigate costs, and we implemented a multi-pronged platform to elevate cleanliness standards and hospitality norms for the health and safety of our guests and associates. At the corporate level, we made significant cuts in general and administrative costs and spending on capital and other investments. We have substantially completed our above-property restructuring program, and we have implemented and are continuing to develop restructuring plans to achieve cost savings specific to each of our company-operated properties. With the steps we have taken, and any additional measures we may take to adapt our operations and plans to the evolving situation, along with the power of our Marriott Bonvoy loyalty program, our strengthened liquidity position, and our incredible team of associates around the world, we believe that our business is well positioned now and for the future.</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80" w:firstLine="395"/>
        <w:spacing w:after="0" w:line="268" w:lineRule="auto"/>
        <w:rPr>
          <w:sz w:val="20"/>
          <w:szCs w:val="20"/>
          <w:color w:val="auto"/>
        </w:rPr>
      </w:pPr>
      <w:r>
        <w:rPr>
          <w:rFonts w:ascii="Arial" w:cs="Arial" w:eastAsia="Arial" w:hAnsi="Arial"/>
          <w:sz w:val="18"/>
          <w:szCs w:val="18"/>
          <w:color w:val="auto"/>
        </w:rPr>
        <w:t xml:space="preserve">For further information about </w:t>
      </w:r>
      <w:r>
        <w:rPr>
          <w:rFonts w:ascii="Arial" w:cs="Arial" w:eastAsia="Arial" w:hAnsi="Arial"/>
          <w:sz w:val="19"/>
          <w:szCs w:val="19"/>
          <w:color w:val="auto"/>
        </w:rPr>
        <w:t>COVID-19</w:t>
      </w:r>
      <w:r>
        <w:rPr>
          <w:rFonts w:ascii="Arial" w:cs="Arial" w:eastAsia="Arial" w:hAnsi="Arial"/>
          <w:sz w:val="18"/>
          <w:szCs w:val="18"/>
          <w:color w:val="auto"/>
        </w:rPr>
        <w:t>’s impact to our business, see Part I, Item 1A “</w:t>
      </w:r>
      <w:r>
        <w:rPr>
          <w:rFonts w:ascii="Arial" w:cs="Arial" w:eastAsia="Arial" w:hAnsi="Arial"/>
          <w:sz w:val="18"/>
          <w:szCs w:val="18"/>
          <w:b w:val="1"/>
          <w:bCs w:val="1"/>
          <w:color w:val="auto"/>
        </w:rPr>
        <w:t>Risk Factors</w:t>
      </w:r>
      <w:r>
        <w:rPr>
          <w:rFonts w:ascii="Arial" w:cs="Arial" w:eastAsia="Arial" w:hAnsi="Arial"/>
          <w:sz w:val="18"/>
          <w:szCs w:val="18"/>
          <w:color w:val="auto"/>
        </w:rPr>
        <w:t>” and Part II, Item 7 “</w:t>
      </w:r>
      <w:r>
        <w:rPr>
          <w:rFonts w:ascii="Arial" w:cs="Arial" w:eastAsia="Arial" w:hAnsi="Arial"/>
          <w:sz w:val="18"/>
          <w:szCs w:val="18"/>
          <w:b w:val="1"/>
          <w:bCs w:val="1"/>
          <w:color w:val="auto"/>
        </w:rPr>
        <w:t>Management’s Discussion</w:t>
      </w:r>
      <w:r>
        <w:rPr>
          <w:rFonts w:ascii="Arial" w:cs="Arial" w:eastAsia="Arial" w:hAnsi="Arial"/>
          <w:sz w:val="18"/>
          <w:szCs w:val="18"/>
          <w:color w:val="auto"/>
        </w:rPr>
        <w:t xml:space="preserve"> </w:t>
      </w:r>
      <w:r>
        <w:rPr>
          <w:rFonts w:ascii="Arial" w:cs="Arial" w:eastAsia="Arial" w:hAnsi="Arial"/>
          <w:sz w:val="18"/>
          <w:szCs w:val="18"/>
          <w:b w:val="1"/>
          <w:bCs w:val="1"/>
          <w:color w:val="auto"/>
        </w:rPr>
        <w:t>and Analysis of Financial Condition and Results of Operations</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Starwood Hotels &amp; Resorts Worldwide</w:t>
      </w:r>
    </w:p>
    <w:p>
      <w:pPr>
        <w:spacing w:after="0" w:line="161" w:lineRule="exact"/>
        <w:rPr>
          <w:sz w:val="20"/>
          <w:szCs w:val="20"/>
          <w:color w:val="auto"/>
        </w:rPr>
      </w:pPr>
    </w:p>
    <w:p>
      <w:pPr>
        <w:ind w:right="40" w:firstLine="395"/>
        <w:spacing w:after="0" w:line="299" w:lineRule="auto"/>
        <w:rPr>
          <w:sz w:val="20"/>
          <w:szCs w:val="20"/>
          <w:color w:val="auto"/>
        </w:rPr>
      </w:pPr>
      <w:r>
        <w:rPr>
          <w:rFonts w:ascii="Arial" w:cs="Arial" w:eastAsia="Arial" w:hAnsi="Arial"/>
          <w:sz w:val="16"/>
          <w:szCs w:val="16"/>
          <w:color w:val="auto"/>
        </w:rPr>
        <w:t>On September 23, 2016 (the “Merger Date”), we completed the acquisition of Starwood Hotels &amp; Resorts Worldwide, LLC, formerly known as Starwood Hotels &amp; Resorts Worldwide, Inc. (“Starwood”), through a series of transactions (the “Starwood Combination”), after which Starwood became an indirect wholly-owned subsidiary of the Company. We refer to the Starwood business and brands that we acquired as “Legacy-Starwood.”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Company-Operated Properties</w:t>
      </w:r>
    </w:p>
    <w:p>
      <w:pPr>
        <w:spacing w:after="0" w:line="161" w:lineRule="exact"/>
        <w:rPr>
          <w:sz w:val="20"/>
          <w:szCs w:val="20"/>
          <w:color w:val="auto"/>
        </w:rPr>
      </w:pPr>
    </w:p>
    <w:p>
      <w:pPr>
        <w:ind w:right="660" w:firstLine="395"/>
        <w:spacing w:after="0" w:line="299" w:lineRule="auto"/>
        <w:rPr>
          <w:sz w:val="20"/>
          <w:szCs w:val="20"/>
          <w:color w:val="auto"/>
        </w:rPr>
      </w:pPr>
      <w:r>
        <w:rPr>
          <w:rFonts w:ascii="Arial" w:cs="Arial" w:eastAsia="Arial" w:hAnsi="Arial"/>
          <w:sz w:val="16"/>
          <w:szCs w:val="16"/>
          <w:color w:val="auto"/>
        </w:rPr>
        <w:t>At year-end 2020, we had 2,149 company-operated properties (585,132 rooms), which included properties under long-term management or lease agreements with property owners (management and lease agreements together, the “Operating Agreements”), properties that we own, and home and condominium communities for which we manage the related owners’ associations.</w:t>
      </w:r>
    </w:p>
    <w:p>
      <w:pPr>
        <w:spacing w:after="0" w:line="102" w:lineRule="exact"/>
        <w:rPr>
          <w:sz w:val="20"/>
          <w:szCs w:val="20"/>
          <w:color w:val="auto"/>
        </w:rPr>
      </w:pPr>
    </w:p>
    <w:p>
      <w:pPr>
        <w:ind w:firstLine="434"/>
        <w:spacing w:after="0" w:line="281" w:lineRule="auto"/>
        <w:rPr>
          <w:sz w:val="20"/>
          <w:szCs w:val="20"/>
          <w:color w:val="auto"/>
        </w:rPr>
      </w:pPr>
      <w:r>
        <w:rPr>
          <w:rFonts w:ascii="Arial" w:cs="Arial" w:eastAsia="Arial" w:hAnsi="Arial"/>
          <w:sz w:val="16"/>
          <w:szCs w:val="16"/>
          <w:color w:val="auto"/>
        </w:rPr>
        <w:t>Terms of our management agreements vary, but we earn a management fee that is typically composed of a base management fee, which is a percentage of the revenues of the hotel, and an incentive management fee, which is based on the profits of the hotel. Our management agreements also typically include reimbursement of costs of operations (both direct and indirect). Such agreements are generally for initial periods of 15 to 30 years, with options for us to renew for up to 10 or more additional years. Our lease agreements also vary, but may include fixed annual rentals plus additional rentals based on a specified percentage of annual revenues that exceed a fixed amount. Many of our Operating Agreements are subordinated to mortgages or other liens securing indebtedness of the owners. Many of our Operating Agreements also permit the owners to terminate the agreement if we do not meet certain performance metrics, financial returns fail to meet defined levels for a period of time, and we have not cured those deficiencies. In certain circumstances, some of our management agreements allow owners to convert company-operated properties to franchised properties under our brands.</w:t>
      </w:r>
    </w:p>
    <w:p>
      <w:pPr>
        <w:spacing w:after="0" w:line="119" w:lineRule="exact"/>
        <w:rPr>
          <w:sz w:val="20"/>
          <w:szCs w:val="20"/>
          <w:color w:val="auto"/>
        </w:rPr>
      </w:pPr>
    </w:p>
    <w:p>
      <w:pPr>
        <w:ind w:right="40" w:firstLine="434"/>
        <w:spacing w:after="0" w:line="327" w:lineRule="auto"/>
        <w:rPr>
          <w:sz w:val="20"/>
          <w:szCs w:val="20"/>
          <w:color w:val="auto"/>
        </w:rPr>
      </w:pPr>
      <w:r>
        <w:rPr>
          <w:rFonts w:ascii="Arial" w:cs="Arial" w:eastAsia="Arial" w:hAnsi="Arial"/>
          <w:sz w:val="15"/>
          <w:szCs w:val="15"/>
          <w:color w:val="auto"/>
        </w:rPr>
        <w:t>For the lodging facilities we operate, we generally are responsible for hiring, training, and supervising the managers and employees needed to operate the facilities and for purchasing supplies, and owners are required to reimburse us for those costs. We provide centralized reservation services and advertising, marketing, and promotional services, as well as various accounting and data processing services, and owners are also required to reimburse us for those costs.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Franchised and Licensed Properties</w:t>
      </w:r>
    </w:p>
    <w:p>
      <w:pPr>
        <w:spacing w:after="0" w:line="161" w:lineRule="exact"/>
        <w:rPr>
          <w:sz w:val="20"/>
          <w:szCs w:val="20"/>
          <w:color w:val="auto"/>
        </w:rPr>
      </w:pPr>
    </w:p>
    <w:p>
      <w:pPr>
        <w:ind w:right="80" w:firstLine="434"/>
        <w:spacing w:after="0" w:line="291" w:lineRule="auto"/>
        <w:rPr>
          <w:sz w:val="20"/>
          <w:szCs w:val="20"/>
          <w:color w:val="auto"/>
        </w:rPr>
      </w:pPr>
      <w:r>
        <w:rPr>
          <w:rFonts w:ascii="Arial" w:cs="Arial" w:eastAsia="Arial" w:hAnsi="Arial"/>
          <w:sz w:val="16"/>
          <w:szCs w:val="16"/>
          <w:color w:val="auto"/>
        </w:rPr>
        <w:t>We have franchising and licensing arrangements that permit hotel owners and operators to use many of our lodging brand names and systems. Under our hotel franchising arrangements, we generally receive an initial application fee and continuing royalty fees, which typically range from four to seven percent of room revenues for all brands, plus two to three percent of food and beverage revenues for certain full-service brands. Franchisees contribute to our marketing and advertising programs and pay fees for use of our centralized reservation systems.</w:t>
      </w:r>
    </w:p>
    <w:p>
      <w:pPr>
        <w:spacing w:after="0" w:line="108" w:lineRule="exact"/>
        <w:rPr>
          <w:sz w:val="20"/>
          <w:szCs w:val="20"/>
          <w:color w:val="auto"/>
        </w:rPr>
      </w:pPr>
    </w:p>
    <w:p>
      <w:pPr>
        <w:ind w:right="40" w:firstLine="434"/>
        <w:spacing w:after="0" w:line="250" w:lineRule="auto"/>
        <w:rPr>
          <w:sz w:val="20"/>
          <w:szCs w:val="20"/>
          <w:color w:val="auto"/>
        </w:rPr>
      </w:pPr>
      <w:r>
        <w:rPr>
          <w:rFonts w:ascii="Arial" w:cs="Arial" w:eastAsia="Arial" w:hAnsi="Arial"/>
          <w:sz w:val="18"/>
          <w:szCs w:val="18"/>
          <w:color w:val="auto"/>
        </w:rPr>
        <w:t>We also receive royalty fees under license agreements with Marriott Vacations Worldwide Corporation (“MVW”), our former timeshare subsidiary that we spun off in 2011, and its affiliates for certain brands, including Marriott Vacation Club, Grand Residences by Marriott, The Ritz-Carlton Destination Club, Westin, Sheraton, and for certain existing properties, St. Regis and The Luxury Collection. We receive license fees from MVW consisting of a fixed annual fee, adjusted for inflation, plus certain variable fees based on sales volumes.</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At year-end 2020, we had 5,493 franchised and licensed properties (837,912 rooms).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w:t>
      </w:r>
    </w:p>
    <w:p>
      <w:pPr>
        <w:spacing w:after="0" w:line="161" w:lineRule="exact"/>
        <w:rPr>
          <w:sz w:val="20"/>
          <w:szCs w:val="20"/>
          <w:color w:val="auto"/>
        </w:rPr>
      </w:pPr>
    </w:p>
    <w:p>
      <w:pPr>
        <w:ind w:right="20" w:firstLine="434"/>
        <w:spacing w:after="0" w:line="291" w:lineRule="auto"/>
        <w:rPr>
          <w:sz w:val="20"/>
          <w:szCs w:val="20"/>
          <w:color w:val="auto"/>
        </w:rPr>
      </w:pPr>
      <w:r>
        <w:rPr>
          <w:rFonts w:ascii="Arial" w:cs="Arial" w:eastAsia="Arial" w:hAnsi="Arial"/>
          <w:sz w:val="16"/>
          <w:szCs w:val="16"/>
          <w:color w:val="auto"/>
        </w:rPr>
        <w:t>We use or license our trademarks for the sale of residential real estate, often in conjunction with hotel development, and receive branding fees for sales of such branded residential real estate by others. Third-party owners typically construct and sell residences with limited amounts, if any, of our capital at risk. We have used or licensed the JW Marriott, The Ritz-Carlton, Ritz-Carlton Reserve, W, The Luxury Collection, St. Regis, EDITION, Bulgari, Renaissance, Le Méridien, Marriott, Sheraton, Westin, Four Points, Delta and Autograph Collection brand names and trademarks for residential real estate sales.</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161" w:lineRule="exact"/>
        <w:rPr>
          <w:sz w:val="20"/>
          <w:szCs w:val="20"/>
          <w:color w:val="auto"/>
        </w:rPr>
      </w:pPr>
    </w:p>
    <w:p>
      <w:pPr>
        <w:ind w:right="20" w:firstLine="434"/>
        <w:spacing w:after="0" w:line="250" w:lineRule="auto"/>
        <w:rPr>
          <w:sz w:val="20"/>
          <w:szCs w:val="20"/>
          <w:color w:val="auto"/>
        </w:rPr>
      </w:pPr>
      <w:r>
        <w:rPr>
          <w:rFonts w:ascii="Arial" w:cs="Arial" w:eastAsia="Arial" w:hAnsi="Arial"/>
          <w:sz w:val="18"/>
          <w:szCs w:val="18"/>
          <w:color w:val="auto"/>
        </w:rPr>
        <w:t>We operate in a highly competitive industry and our brand names, trademarks, service marks, trade names, and logos are very important to the sales and marketing of our properties and services. We believe that our brand names and other intellectual property have come to represent the highest standards of quality, care, service, and value to our customers, guests, and the traveling public. Accordingly, we register and protect our intellectual property where we deem appropriate and otherwise protect against its unauthorized use.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Brand Portfolio</w:t>
      </w:r>
    </w:p>
    <w:p>
      <w:pPr>
        <w:spacing w:after="0" w:line="161" w:lineRule="exact"/>
        <w:rPr>
          <w:sz w:val="20"/>
          <w:szCs w:val="20"/>
          <w:color w:val="auto"/>
        </w:rPr>
      </w:pPr>
    </w:p>
    <w:p>
      <w:pPr>
        <w:ind w:firstLine="395"/>
        <w:spacing w:after="0" w:line="252" w:lineRule="auto"/>
        <w:rPr>
          <w:sz w:val="20"/>
          <w:szCs w:val="20"/>
          <w:color w:val="auto"/>
        </w:rPr>
      </w:pPr>
      <w:r>
        <w:rPr>
          <w:rFonts w:ascii="Arial" w:cs="Arial" w:eastAsia="Arial" w:hAnsi="Arial"/>
          <w:sz w:val="18"/>
          <w:szCs w:val="18"/>
          <w:color w:val="auto"/>
        </w:rPr>
        <w:t>We believe that our brand portfolio offers the most compelling range of brands and hotels in hospitality. Our brands are categorized by style of offering - Classic and Distinctive. Our Classic brands offer time-honored hospitality for the modern traveler, and our Distinctive brands offer memorable experiences with a unique perspective - each of which we group into three quality tiers: Luxury, Premium, and Select.</w:t>
      </w:r>
    </w:p>
    <w:p>
      <w:pPr>
        <w:spacing w:after="0" w:line="138" w:lineRule="exact"/>
        <w:rPr>
          <w:sz w:val="20"/>
          <w:szCs w:val="20"/>
          <w:color w:val="auto"/>
        </w:rPr>
      </w:pPr>
    </w:p>
    <w:p>
      <w:pPr>
        <w:ind w:right="300" w:firstLine="395"/>
        <w:spacing w:after="0" w:line="261" w:lineRule="auto"/>
        <w:rPr>
          <w:sz w:val="20"/>
          <w:szCs w:val="20"/>
          <w:color w:val="auto"/>
        </w:rPr>
      </w:pPr>
      <w:r>
        <w:rPr>
          <w:rFonts w:ascii="Arial" w:cs="Arial" w:eastAsia="Arial" w:hAnsi="Arial"/>
          <w:sz w:val="18"/>
          <w:szCs w:val="18"/>
          <w:b w:val="1"/>
          <w:bCs w:val="1"/>
          <w:i w:val="1"/>
          <w:iCs w:val="1"/>
          <w:color w:val="auto"/>
        </w:rPr>
        <w:t xml:space="preserve">Luxury </w:t>
      </w:r>
      <w:r>
        <w:rPr>
          <w:rFonts w:ascii="Arial" w:cs="Arial" w:eastAsia="Arial" w:hAnsi="Arial"/>
          <w:sz w:val="18"/>
          <w:szCs w:val="18"/>
          <w:color w:val="auto"/>
        </w:rPr>
        <w:t>offers bespoke and superb amenities and services. Our Classic Luxury hotel brands include JW Marriott, The Ritz-Carlton, and St. Regis.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Distinctive Luxury hotel brands include W Hotels, The Luxury Collection, EDITION, and Bulgari.</w:t>
      </w:r>
    </w:p>
    <w:p>
      <w:pPr>
        <w:spacing w:after="0" w:line="129" w:lineRule="exact"/>
        <w:rPr>
          <w:sz w:val="20"/>
          <w:szCs w:val="20"/>
          <w:color w:val="auto"/>
        </w:rPr>
      </w:pPr>
    </w:p>
    <w:p>
      <w:pPr>
        <w:ind w:right="140" w:firstLine="395"/>
        <w:spacing w:after="0" w:line="252" w:lineRule="auto"/>
        <w:rPr>
          <w:sz w:val="20"/>
          <w:szCs w:val="20"/>
          <w:color w:val="auto"/>
        </w:rPr>
      </w:pPr>
      <w:r>
        <w:rPr>
          <w:rFonts w:ascii="Arial" w:cs="Arial" w:eastAsia="Arial" w:hAnsi="Arial"/>
          <w:sz w:val="18"/>
          <w:szCs w:val="18"/>
          <w:b w:val="1"/>
          <w:bCs w:val="1"/>
          <w:i w:val="1"/>
          <w:iCs w:val="1"/>
          <w:color w:val="auto"/>
        </w:rPr>
        <w:t xml:space="preserve">Premium </w:t>
      </w:r>
      <w:r>
        <w:rPr>
          <w:rFonts w:ascii="Arial" w:cs="Arial" w:eastAsia="Arial" w:hAnsi="Arial"/>
          <w:sz w:val="18"/>
          <w:szCs w:val="18"/>
          <w:color w:val="auto"/>
        </w:rPr>
        <w:t>offers sophisticated and thoughtful amenities and services. Our Classic Premium hotel brands include Marriott Hotels, Sheraton, Delta Hotels,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Marriott Executive Apartments, and Marriott Vacation Club. Our Distinctive Premium hotel brands include Westin, Renaissance, Le Méridien, Autograph Collection, Gaylord Hotels, Tribute Portfolio, and Design Hotels.</w:t>
      </w:r>
    </w:p>
    <w:p>
      <w:pPr>
        <w:spacing w:after="0" w:line="138" w:lineRule="exact"/>
        <w:rPr>
          <w:sz w:val="20"/>
          <w:szCs w:val="20"/>
          <w:color w:val="auto"/>
        </w:rPr>
      </w:pPr>
    </w:p>
    <w:p>
      <w:pPr>
        <w:ind w:right="200" w:firstLine="395"/>
        <w:spacing w:after="0" w:line="252" w:lineRule="auto"/>
        <w:rPr>
          <w:sz w:val="20"/>
          <w:szCs w:val="20"/>
          <w:color w:val="auto"/>
        </w:rPr>
      </w:pPr>
      <w:r>
        <w:rPr>
          <w:rFonts w:ascii="Arial" w:cs="Arial" w:eastAsia="Arial" w:hAnsi="Arial"/>
          <w:sz w:val="18"/>
          <w:szCs w:val="18"/>
          <w:b w:val="1"/>
          <w:bCs w:val="1"/>
          <w:i w:val="1"/>
          <w:iCs w:val="1"/>
          <w:color w:val="auto"/>
        </w:rPr>
        <w:t xml:space="preserve">Select </w:t>
      </w:r>
      <w:r>
        <w:rPr>
          <w:rFonts w:ascii="Arial" w:cs="Arial" w:eastAsia="Arial" w:hAnsi="Arial"/>
          <w:sz w:val="18"/>
          <w:szCs w:val="18"/>
          <w:color w:val="auto"/>
        </w:rPr>
        <w:t>offers smart and easy amenities and services, with our longer stay brands offering amenities that mirror the comforts of home. Our Classic Select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hotel brands include Courtyard, Residence Inn, Fairfield by Marriott, SpringHill Suites, Four Points, TownePlace Suites, and Protea Hotels. Our Distinctive Select hotel brands include Aloft, AC Hotels by Marriott, Element, and Moxy.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shows the geographic distribution of our brands at year-end 2020:</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ind w:left="780"/>
              <w:spacing w:after="0"/>
              <w:rPr>
                <w:sz w:val="20"/>
                <w:szCs w:val="20"/>
                <w:color w:val="auto"/>
              </w:rPr>
            </w:pPr>
            <w:r>
              <w:rPr>
                <w:rFonts w:ascii="Arial" w:cs="Arial" w:eastAsia="Arial" w:hAnsi="Arial"/>
                <w:sz w:val="14"/>
                <w:szCs w:val="14"/>
                <w:b w:val="1"/>
                <w:bCs w:val="1"/>
                <w:color w:val="auto"/>
              </w:rPr>
              <w:t>U.S. &amp;</w:t>
            </w:r>
          </w:p>
        </w:tc>
        <w:tc>
          <w:tcPr>
            <w:tcW w:w="9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Europe</w:t>
            </w:r>
          </w:p>
        </w:tc>
        <w:tc>
          <w:tcPr>
            <w:tcW w:w="1280" w:type="dxa"/>
            <w:vAlign w:val="bottom"/>
          </w:tcPr>
          <w:p>
            <w:pPr>
              <w:jc w:val="center"/>
              <w:ind w:left="10"/>
              <w:spacing w:after="0"/>
              <w:rPr>
                <w:sz w:val="20"/>
                <w:szCs w:val="20"/>
                <w:color w:val="auto"/>
              </w:rPr>
            </w:pPr>
            <w:r>
              <w:rPr>
                <w:rFonts w:ascii="Arial" w:cs="Arial" w:eastAsia="Arial" w:hAnsi="Arial"/>
                <w:sz w:val="14"/>
                <w:szCs w:val="14"/>
                <w:b w:val="1"/>
                <w:bCs w:val="1"/>
                <w:color w:val="auto"/>
                <w:w w:val="95"/>
              </w:rPr>
              <w:t>Middle East &amp;</w:t>
            </w:r>
          </w:p>
        </w:tc>
        <w:tc>
          <w:tcPr>
            <w:tcW w:w="10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Asia Pacific</w:t>
            </w:r>
          </w:p>
        </w:tc>
        <w:tc>
          <w:tcPr>
            <w:tcW w:w="1280" w:type="dxa"/>
            <w:vAlign w:val="bottom"/>
          </w:tcPr>
          <w:p>
            <w:pPr>
              <w:jc w:val="center"/>
              <w:ind w:right="10"/>
              <w:spacing w:after="0"/>
              <w:rPr>
                <w:sz w:val="20"/>
                <w:szCs w:val="20"/>
                <w:color w:val="auto"/>
              </w:rPr>
            </w:pPr>
            <w:r>
              <w:rPr>
                <w:rFonts w:ascii="Arial" w:cs="Arial" w:eastAsia="Arial" w:hAnsi="Arial"/>
                <w:sz w:val="14"/>
                <w:szCs w:val="14"/>
                <w:b w:val="1"/>
                <w:bCs w:val="1"/>
                <w:color w:val="auto"/>
                <w:w w:val="96"/>
              </w:rPr>
              <w:t>Caribbean &amp;</w:t>
            </w:r>
          </w:p>
        </w:tc>
        <w:tc>
          <w:tcPr>
            <w:tcW w:w="10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4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Canada</w:t>
            </w:r>
          </w:p>
        </w:tc>
        <w:tc>
          <w:tcPr>
            <w:tcW w:w="96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Africa</w:t>
            </w:r>
          </w:p>
        </w:tc>
        <w:tc>
          <w:tcPr>
            <w:tcW w:w="106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tcPr>
          <w:p>
            <w:pPr>
              <w:jc w:val="center"/>
              <w:ind w:right="10"/>
              <w:spacing w:after="0"/>
              <w:rPr>
                <w:sz w:val="20"/>
                <w:szCs w:val="20"/>
                <w:color w:val="auto"/>
              </w:rPr>
            </w:pPr>
            <w:r>
              <w:rPr>
                <w:rFonts w:ascii="Arial" w:cs="Arial" w:eastAsia="Arial" w:hAnsi="Arial"/>
                <w:sz w:val="14"/>
                <w:szCs w:val="14"/>
                <w:b w:val="1"/>
                <w:bCs w:val="1"/>
                <w:color w:val="auto"/>
                <w:w w:val="94"/>
              </w:rPr>
              <w:t>Latin America</w:t>
            </w: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Luxury</w:t>
            </w:r>
          </w:p>
        </w:tc>
        <w:tc>
          <w:tcPr>
            <w:tcW w:w="1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40" w:type="dxa"/>
            <w:vAlign w:val="bottom"/>
            <w:vMerge w:val="restart"/>
          </w:tcPr>
          <w:p>
            <w:pPr>
              <w:ind w:left="20"/>
              <w:spacing w:after="0"/>
              <w:rPr>
                <w:sz w:val="20"/>
                <w:szCs w:val="20"/>
                <w:color w:val="auto"/>
              </w:rPr>
            </w:pPr>
            <w:r>
              <w:rPr>
                <w:rFonts w:ascii="Arial" w:cs="Arial" w:eastAsia="Arial" w:hAnsi="Arial"/>
                <w:sz w:val="14"/>
                <w:szCs w:val="14"/>
                <w:color w:val="auto"/>
              </w:rPr>
              <w:t>JW Marriott</w:t>
            </w:r>
            <w:r>
              <w:rPr>
                <w:rFonts w:ascii="Arial" w:cs="Arial" w:eastAsia="Arial" w:hAnsi="Arial"/>
                <w:sz w:val="18"/>
                <w:szCs w:val="18"/>
                <w:color w:val="auto"/>
                <w:vertAlign w:val="superscript"/>
              </w:rPr>
              <w:t>®</w:t>
            </w:r>
          </w:p>
        </w:tc>
        <w:tc>
          <w:tcPr>
            <w:tcW w:w="118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70"/>
              <w:spacing w:after="0"/>
              <w:rPr>
                <w:sz w:val="20"/>
                <w:szCs w:val="20"/>
                <w:color w:val="auto"/>
              </w:rPr>
            </w:pPr>
            <w:r>
              <w:rPr>
                <w:rFonts w:ascii="Arial" w:cs="Arial" w:eastAsia="Arial" w:hAnsi="Arial"/>
                <w:sz w:val="14"/>
                <w:szCs w:val="14"/>
                <w:color w:val="auto"/>
                <w:w w:val="89"/>
              </w:rPr>
              <w:t>34</w:t>
            </w: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7</w:t>
            </w:r>
          </w:p>
        </w:tc>
        <w:tc>
          <w:tcPr>
            <w:tcW w:w="1280" w:type="dxa"/>
            <w:vAlign w:val="bottom"/>
          </w:tcPr>
          <w:p>
            <w:pPr>
              <w:jc w:val="center"/>
              <w:ind w:left="10"/>
              <w:spacing w:after="0"/>
              <w:rPr>
                <w:sz w:val="20"/>
                <w:szCs w:val="20"/>
                <w:color w:val="auto"/>
              </w:rPr>
            </w:pPr>
            <w:r>
              <w:rPr>
                <w:rFonts w:ascii="Arial" w:cs="Arial" w:eastAsia="Arial" w:hAnsi="Arial"/>
                <w:sz w:val="14"/>
                <w:szCs w:val="14"/>
                <w:color w:val="auto"/>
              </w:rPr>
              <w:t>6</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42</w:t>
            </w:r>
          </w:p>
        </w:tc>
        <w:tc>
          <w:tcPr>
            <w:tcW w:w="1280" w:type="dxa"/>
            <w:vAlign w:val="bottom"/>
          </w:tcPr>
          <w:p>
            <w:pPr>
              <w:jc w:val="center"/>
              <w:ind w:right="30"/>
              <w:spacing w:after="0"/>
              <w:rPr>
                <w:sz w:val="20"/>
                <w:szCs w:val="20"/>
                <w:color w:val="auto"/>
              </w:rPr>
            </w:pPr>
            <w:r>
              <w:rPr>
                <w:rFonts w:ascii="Arial" w:cs="Arial" w:eastAsia="Arial" w:hAnsi="Arial"/>
                <w:sz w:val="14"/>
                <w:szCs w:val="14"/>
                <w:color w:val="auto"/>
                <w:w w:val="89"/>
              </w:rPr>
              <w:t>13</w:t>
            </w:r>
          </w:p>
        </w:tc>
        <w:tc>
          <w:tcPr>
            <w:tcW w:w="1040" w:type="dxa"/>
            <w:vAlign w:val="bottom"/>
          </w:tcPr>
          <w:p>
            <w:pPr>
              <w:jc w:val="center"/>
              <w:ind w:right="50"/>
              <w:spacing w:after="0"/>
              <w:rPr>
                <w:sz w:val="20"/>
                <w:szCs w:val="20"/>
                <w:color w:val="auto"/>
              </w:rPr>
            </w:pPr>
            <w:r>
              <w:rPr>
                <w:rFonts w:ascii="Arial" w:cs="Arial" w:eastAsia="Arial" w:hAnsi="Arial"/>
                <w:sz w:val="14"/>
                <w:szCs w:val="14"/>
                <w:color w:val="auto"/>
                <w:w w:val="85"/>
              </w:rPr>
              <w:t>102</w:t>
            </w:r>
          </w:p>
        </w:tc>
        <w:tc>
          <w:tcPr>
            <w:tcW w:w="0" w:type="dxa"/>
            <w:vAlign w:val="bottom"/>
          </w:tcPr>
          <w:p>
            <w:pPr>
              <w:spacing w:after="0"/>
              <w:rPr>
                <w:sz w:val="1"/>
                <w:szCs w:val="1"/>
                <w:color w:val="auto"/>
              </w:rPr>
            </w:pPr>
          </w:p>
        </w:tc>
      </w:tr>
      <w:tr>
        <w:trPr>
          <w:trHeight w:val="153"/>
        </w:trPr>
        <w:tc>
          <w:tcPr>
            <w:tcW w:w="2440" w:type="dxa"/>
            <w:vAlign w:val="bottom"/>
            <w:vMerge w:val="continue"/>
          </w:tcPr>
          <w:p>
            <w:pPr>
              <w:spacing w:after="0"/>
              <w:rPr>
                <w:sz w:val="13"/>
                <w:szCs w:val="13"/>
                <w:color w:val="auto"/>
              </w:rPr>
            </w:pPr>
          </w:p>
        </w:tc>
        <w:tc>
          <w:tcPr>
            <w:tcW w:w="1180" w:type="dxa"/>
            <w:vAlign w:val="bottom"/>
            <w:vMerge w:val="restart"/>
          </w:tcPr>
          <w:p>
            <w:pPr>
              <w:ind w:left="4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70"/>
              <w:spacing w:after="0"/>
              <w:rPr>
                <w:sz w:val="20"/>
                <w:szCs w:val="20"/>
                <w:color w:val="auto"/>
              </w:rPr>
            </w:pPr>
            <w:r>
              <w:rPr>
                <w:rFonts w:ascii="Arial" w:cs="Arial" w:eastAsia="Arial" w:hAnsi="Arial"/>
                <w:sz w:val="14"/>
                <w:szCs w:val="14"/>
                <w:color w:val="auto"/>
                <w:w w:val="88"/>
              </w:rPr>
              <w:t>18,658</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85"/>
              </w:rPr>
              <w:t>2,205</w:t>
            </w:r>
          </w:p>
        </w:tc>
        <w:tc>
          <w:tcPr>
            <w:tcW w:w="1280" w:type="dxa"/>
            <w:vAlign w:val="bottom"/>
            <w:vMerge w:val="restart"/>
          </w:tcPr>
          <w:p>
            <w:pPr>
              <w:jc w:val="center"/>
              <w:ind w:left="10"/>
              <w:spacing w:after="0"/>
              <w:rPr>
                <w:sz w:val="20"/>
                <w:szCs w:val="20"/>
                <w:color w:val="auto"/>
              </w:rPr>
            </w:pPr>
            <w:r>
              <w:rPr>
                <w:rFonts w:ascii="Arial" w:cs="Arial" w:eastAsia="Arial" w:hAnsi="Arial"/>
                <w:sz w:val="14"/>
                <w:szCs w:val="14"/>
                <w:color w:val="auto"/>
                <w:w w:val="91"/>
              </w:rPr>
              <w:t>3,325</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88"/>
              </w:rPr>
              <w:t>15,574</w:t>
            </w:r>
          </w:p>
        </w:tc>
        <w:tc>
          <w:tcPr>
            <w:tcW w:w="1280" w:type="dxa"/>
            <w:vAlign w:val="bottom"/>
            <w:vMerge w:val="restart"/>
          </w:tcPr>
          <w:p>
            <w:pPr>
              <w:jc w:val="center"/>
              <w:ind w:right="10"/>
              <w:spacing w:after="0"/>
              <w:rPr>
                <w:sz w:val="20"/>
                <w:szCs w:val="20"/>
                <w:color w:val="auto"/>
              </w:rPr>
            </w:pPr>
            <w:r>
              <w:rPr>
                <w:rFonts w:ascii="Arial" w:cs="Arial" w:eastAsia="Arial" w:hAnsi="Arial"/>
                <w:sz w:val="14"/>
                <w:szCs w:val="14"/>
                <w:color w:val="auto"/>
                <w:w w:val="91"/>
              </w:rPr>
              <w:t>3,597</w:t>
            </w:r>
          </w:p>
        </w:tc>
        <w:tc>
          <w:tcPr>
            <w:tcW w:w="1040" w:type="dxa"/>
            <w:vAlign w:val="bottom"/>
            <w:vMerge w:val="restart"/>
          </w:tcPr>
          <w:p>
            <w:pPr>
              <w:jc w:val="center"/>
              <w:ind w:right="30"/>
              <w:spacing w:after="0"/>
              <w:rPr>
                <w:sz w:val="20"/>
                <w:szCs w:val="20"/>
                <w:color w:val="auto"/>
              </w:rPr>
            </w:pPr>
            <w:r>
              <w:rPr>
                <w:rFonts w:ascii="Arial" w:cs="Arial" w:eastAsia="Arial" w:hAnsi="Arial"/>
                <w:sz w:val="14"/>
                <w:szCs w:val="14"/>
                <w:color w:val="auto"/>
                <w:w w:val="88"/>
              </w:rPr>
              <w:t>43,359</w:t>
            </w:r>
          </w:p>
        </w:tc>
        <w:tc>
          <w:tcPr>
            <w:tcW w:w="0" w:type="dxa"/>
            <w:vAlign w:val="bottom"/>
          </w:tcPr>
          <w:p>
            <w:pPr>
              <w:spacing w:after="0"/>
              <w:rPr>
                <w:sz w:val="1"/>
                <w:szCs w:val="1"/>
                <w:color w:val="auto"/>
              </w:rPr>
            </w:pPr>
          </w:p>
        </w:tc>
      </w:tr>
      <w:tr>
        <w:trPr>
          <w:trHeight w:val="52"/>
        </w:trPr>
        <w:tc>
          <w:tcPr>
            <w:tcW w:w="24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440" w:type="dxa"/>
            <w:vAlign w:val="bottom"/>
            <w:vMerge w:val="restart"/>
          </w:tcPr>
          <w:p>
            <w:pPr>
              <w:ind w:left="20"/>
              <w:spacing w:after="0"/>
              <w:rPr>
                <w:sz w:val="20"/>
                <w:szCs w:val="20"/>
                <w:color w:val="auto"/>
              </w:rPr>
            </w:pPr>
            <w:r>
              <w:rPr>
                <w:rFonts w:ascii="Arial" w:cs="Arial" w:eastAsia="Arial" w:hAnsi="Arial"/>
                <w:sz w:val="14"/>
                <w:szCs w:val="14"/>
                <w:color w:val="auto"/>
              </w:rPr>
              <w:t>The Ritz-Carlton</w:t>
            </w:r>
            <w:r>
              <w:rPr>
                <w:rFonts w:ascii="Arial" w:cs="Arial" w:eastAsia="Arial" w:hAnsi="Arial"/>
                <w:sz w:val="18"/>
                <w:szCs w:val="18"/>
                <w:color w:val="auto"/>
                <w:vertAlign w:val="superscript"/>
              </w:rPr>
              <w:t>®</w:t>
            </w:r>
          </w:p>
        </w:tc>
        <w:tc>
          <w:tcPr>
            <w:tcW w:w="118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70"/>
              <w:spacing w:after="0"/>
              <w:rPr>
                <w:sz w:val="20"/>
                <w:szCs w:val="20"/>
                <w:color w:val="auto"/>
              </w:rPr>
            </w:pPr>
            <w:r>
              <w:rPr>
                <w:rFonts w:ascii="Arial" w:cs="Arial" w:eastAsia="Arial" w:hAnsi="Arial"/>
                <w:sz w:val="14"/>
                <w:szCs w:val="14"/>
                <w:color w:val="auto"/>
                <w:w w:val="89"/>
              </w:rPr>
              <w:t>39</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13</w:t>
            </w:r>
          </w:p>
        </w:tc>
        <w:tc>
          <w:tcPr>
            <w:tcW w:w="1280" w:type="dxa"/>
            <w:vAlign w:val="bottom"/>
          </w:tcPr>
          <w:p>
            <w:pPr>
              <w:jc w:val="center"/>
              <w:spacing w:after="0"/>
              <w:rPr>
                <w:sz w:val="20"/>
                <w:szCs w:val="20"/>
                <w:color w:val="auto"/>
              </w:rPr>
            </w:pPr>
            <w:r>
              <w:rPr>
                <w:rFonts w:ascii="Arial" w:cs="Arial" w:eastAsia="Arial" w:hAnsi="Arial"/>
                <w:sz w:val="14"/>
                <w:szCs w:val="14"/>
                <w:color w:val="auto"/>
                <w:w w:val="89"/>
              </w:rPr>
              <w:t>13</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36</w:t>
            </w:r>
          </w:p>
        </w:tc>
        <w:tc>
          <w:tcPr>
            <w:tcW w:w="1280" w:type="dxa"/>
            <w:vAlign w:val="bottom"/>
          </w:tcPr>
          <w:p>
            <w:pPr>
              <w:jc w:val="center"/>
              <w:ind w:right="10"/>
              <w:spacing w:after="0"/>
              <w:rPr>
                <w:sz w:val="20"/>
                <w:szCs w:val="20"/>
                <w:color w:val="auto"/>
              </w:rPr>
            </w:pPr>
            <w:r>
              <w:rPr>
                <w:rFonts w:ascii="Arial" w:cs="Arial" w:eastAsia="Arial" w:hAnsi="Arial"/>
                <w:sz w:val="14"/>
                <w:szCs w:val="14"/>
                <w:color w:val="auto"/>
              </w:rPr>
              <w:t>8</w:t>
            </w:r>
          </w:p>
        </w:tc>
        <w:tc>
          <w:tcPr>
            <w:tcW w:w="1040" w:type="dxa"/>
            <w:vAlign w:val="bottom"/>
          </w:tcPr>
          <w:p>
            <w:pPr>
              <w:jc w:val="center"/>
              <w:ind w:right="50"/>
              <w:spacing w:after="0"/>
              <w:rPr>
                <w:sz w:val="20"/>
                <w:szCs w:val="20"/>
                <w:color w:val="auto"/>
              </w:rPr>
            </w:pPr>
            <w:r>
              <w:rPr>
                <w:rFonts w:ascii="Arial" w:cs="Arial" w:eastAsia="Arial" w:hAnsi="Arial"/>
                <w:sz w:val="14"/>
                <w:szCs w:val="14"/>
                <w:color w:val="auto"/>
                <w:w w:val="85"/>
              </w:rPr>
              <w:t>109</w:t>
            </w:r>
          </w:p>
        </w:tc>
        <w:tc>
          <w:tcPr>
            <w:tcW w:w="0" w:type="dxa"/>
            <w:vAlign w:val="bottom"/>
          </w:tcPr>
          <w:p>
            <w:pPr>
              <w:spacing w:after="0"/>
              <w:rPr>
                <w:sz w:val="1"/>
                <w:szCs w:val="1"/>
                <w:color w:val="auto"/>
              </w:rPr>
            </w:pPr>
          </w:p>
        </w:tc>
      </w:tr>
      <w:tr>
        <w:trPr>
          <w:trHeight w:val="153"/>
        </w:trPr>
        <w:tc>
          <w:tcPr>
            <w:tcW w:w="2440" w:type="dxa"/>
            <w:vAlign w:val="bottom"/>
            <w:vMerge w:val="continue"/>
          </w:tcPr>
          <w:p>
            <w:pPr>
              <w:spacing w:after="0"/>
              <w:rPr>
                <w:sz w:val="13"/>
                <w:szCs w:val="13"/>
                <w:color w:val="auto"/>
              </w:rPr>
            </w:pPr>
          </w:p>
        </w:tc>
        <w:tc>
          <w:tcPr>
            <w:tcW w:w="1180" w:type="dxa"/>
            <w:vAlign w:val="bottom"/>
            <w:vMerge w:val="restart"/>
          </w:tcPr>
          <w:p>
            <w:pPr>
              <w:ind w:left="4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70"/>
              <w:spacing w:after="0"/>
              <w:rPr>
                <w:sz w:val="20"/>
                <w:szCs w:val="20"/>
                <w:color w:val="auto"/>
              </w:rPr>
            </w:pPr>
            <w:r>
              <w:rPr>
                <w:rFonts w:ascii="Arial" w:cs="Arial" w:eastAsia="Arial" w:hAnsi="Arial"/>
                <w:sz w:val="14"/>
                <w:szCs w:val="14"/>
                <w:color w:val="auto"/>
                <w:w w:val="88"/>
              </w:rPr>
              <w:t>11,833</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85"/>
              </w:rPr>
              <w:t>3,080</w:t>
            </w:r>
          </w:p>
        </w:tc>
        <w:tc>
          <w:tcPr>
            <w:tcW w:w="1280" w:type="dxa"/>
            <w:vAlign w:val="bottom"/>
            <w:vMerge w:val="restart"/>
          </w:tcPr>
          <w:p>
            <w:pPr>
              <w:jc w:val="center"/>
              <w:ind w:left="10"/>
              <w:spacing w:after="0"/>
              <w:rPr>
                <w:sz w:val="20"/>
                <w:szCs w:val="20"/>
                <w:color w:val="auto"/>
              </w:rPr>
            </w:pPr>
            <w:r>
              <w:rPr>
                <w:rFonts w:ascii="Arial" w:cs="Arial" w:eastAsia="Arial" w:hAnsi="Arial"/>
                <w:sz w:val="14"/>
                <w:szCs w:val="14"/>
                <w:color w:val="auto"/>
                <w:w w:val="91"/>
              </w:rPr>
              <w:t>3,523</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85"/>
              </w:rPr>
              <w:t>8,754</w:t>
            </w:r>
          </w:p>
        </w:tc>
        <w:tc>
          <w:tcPr>
            <w:tcW w:w="1280" w:type="dxa"/>
            <w:vAlign w:val="bottom"/>
            <w:vMerge w:val="restart"/>
          </w:tcPr>
          <w:p>
            <w:pPr>
              <w:jc w:val="center"/>
              <w:ind w:right="10"/>
              <w:spacing w:after="0"/>
              <w:rPr>
                <w:sz w:val="20"/>
                <w:szCs w:val="20"/>
                <w:color w:val="auto"/>
              </w:rPr>
            </w:pPr>
            <w:r>
              <w:rPr>
                <w:rFonts w:ascii="Arial" w:cs="Arial" w:eastAsia="Arial" w:hAnsi="Arial"/>
                <w:sz w:val="14"/>
                <w:szCs w:val="14"/>
                <w:color w:val="auto"/>
                <w:w w:val="91"/>
              </w:rPr>
              <w:t>2,081</w:t>
            </w:r>
          </w:p>
        </w:tc>
        <w:tc>
          <w:tcPr>
            <w:tcW w:w="1040" w:type="dxa"/>
            <w:vAlign w:val="bottom"/>
            <w:vMerge w:val="restart"/>
          </w:tcPr>
          <w:p>
            <w:pPr>
              <w:jc w:val="center"/>
              <w:ind w:right="30"/>
              <w:spacing w:after="0"/>
              <w:rPr>
                <w:sz w:val="20"/>
                <w:szCs w:val="20"/>
                <w:color w:val="auto"/>
              </w:rPr>
            </w:pPr>
            <w:r>
              <w:rPr>
                <w:rFonts w:ascii="Arial" w:cs="Arial" w:eastAsia="Arial" w:hAnsi="Arial"/>
                <w:sz w:val="14"/>
                <w:szCs w:val="14"/>
                <w:color w:val="auto"/>
                <w:w w:val="88"/>
              </w:rPr>
              <w:t>29,271</w:t>
            </w:r>
          </w:p>
        </w:tc>
        <w:tc>
          <w:tcPr>
            <w:tcW w:w="0" w:type="dxa"/>
            <w:vAlign w:val="bottom"/>
          </w:tcPr>
          <w:p>
            <w:pPr>
              <w:spacing w:after="0"/>
              <w:rPr>
                <w:sz w:val="1"/>
                <w:szCs w:val="1"/>
                <w:color w:val="auto"/>
              </w:rPr>
            </w:pPr>
          </w:p>
        </w:tc>
      </w:tr>
      <w:tr>
        <w:trPr>
          <w:trHeight w:val="52"/>
        </w:trPr>
        <w:tc>
          <w:tcPr>
            <w:tcW w:w="24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440" w:type="dxa"/>
            <w:vAlign w:val="bottom"/>
            <w:vMerge w:val="restart"/>
          </w:tcPr>
          <w:p>
            <w:pPr>
              <w:ind w:left="20"/>
              <w:spacing w:after="0"/>
              <w:rPr>
                <w:sz w:val="20"/>
                <w:szCs w:val="20"/>
                <w:color w:val="auto"/>
              </w:rPr>
            </w:pPr>
            <w:r>
              <w:rPr>
                <w:rFonts w:ascii="Arial" w:cs="Arial" w:eastAsia="Arial" w:hAnsi="Arial"/>
                <w:sz w:val="14"/>
                <w:szCs w:val="14"/>
                <w:color w:val="auto"/>
              </w:rPr>
              <w:t>W</w:t>
            </w:r>
            <w:r>
              <w:rPr>
                <w:rFonts w:ascii="Arial" w:cs="Arial" w:eastAsia="Arial" w:hAnsi="Arial"/>
                <w:sz w:val="18"/>
                <w:szCs w:val="18"/>
                <w:color w:val="auto"/>
                <w:vertAlign w:val="superscript"/>
              </w:rPr>
              <w:t>®</w:t>
            </w:r>
            <w:r>
              <w:rPr>
                <w:rFonts w:ascii="Arial" w:cs="Arial" w:eastAsia="Arial" w:hAnsi="Arial"/>
                <w:sz w:val="14"/>
                <w:szCs w:val="14"/>
                <w:color w:val="auto"/>
              </w:rPr>
              <w:t xml:space="preserve"> Hotels</w:t>
            </w:r>
          </w:p>
        </w:tc>
        <w:tc>
          <w:tcPr>
            <w:tcW w:w="118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70"/>
              <w:spacing w:after="0"/>
              <w:rPr>
                <w:sz w:val="20"/>
                <w:szCs w:val="20"/>
                <w:color w:val="auto"/>
              </w:rPr>
            </w:pPr>
            <w:r>
              <w:rPr>
                <w:rFonts w:ascii="Arial" w:cs="Arial" w:eastAsia="Arial" w:hAnsi="Arial"/>
                <w:sz w:val="14"/>
                <w:szCs w:val="14"/>
                <w:color w:val="auto"/>
                <w:w w:val="89"/>
              </w:rPr>
              <w:t>24</w:t>
            </w: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7</w:t>
            </w:r>
          </w:p>
        </w:tc>
        <w:tc>
          <w:tcPr>
            <w:tcW w:w="1280" w:type="dxa"/>
            <w:vAlign w:val="bottom"/>
          </w:tcPr>
          <w:p>
            <w:pPr>
              <w:jc w:val="center"/>
              <w:ind w:left="10"/>
              <w:spacing w:after="0"/>
              <w:rPr>
                <w:sz w:val="20"/>
                <w:szCs w:val="20"/>
                <w:color w:val="auto"/>
              </w:rPr>
            </w:pPr>
            <w:r>
              <w:rPr>
                <w:rFonts w:ascii="Arial" w:cs="Arial" w:eastAsia="Arial" w:hAnsi="Arial"/>
                <w:sz w:val="14"/>
                <w:szCs w:val="14"/>
                <w:color w:val="auto"/>
              </w:rPr>
              <w:t>5</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16</w:t>
            </w:r>
          </w:p>
        </w:tc>
        <w:tc>
          <w:tcPr>
            <w:tcW w:w="1280" w:type="dxa"/>
            <w:vAlign w:val="bottom"/>
          </w:tcPr>
          <w:p>
            <w:pPr>
              <w:jc w:val="center"/>
              <w:ind w:right="10"/>
              <w:spacing w:after="0"/>
              <w:rPr>
                <w:sz w:val="20"/>
                <w:szCs w:val="20"/>
                <w:color w:val="auto"/>
              </w:rPr>
            </w:pPr>
            <w:r>
              <w:rPr>
                <w:rFonts w:ascii="Arial" w:cs="Arial" w:eastAsia="Arial" w:hAnsi="Arial"/>
                <w:sz w:val="14"/>
                <w:szCs w:val="14"/>
                <w:color w:val="auto"/>
              </w:rPr>
              <w:t>7</w:t>
            </w:r>
          </w:p>
        </w:tc>
        <w:tc>
          <w:tcPr>
            <w:tcW w:w="1040" w:type="dxa"/>
            <w:vAlign w:val="bottom"/>
          </w:tcPr>
          <w:p>
            <w:pPr>
              <w:jc w:val="center"/>
              <w:ind w:right="30"/>
              <w:spacing w:after="0"/>
              <w:rPr>
                <w:sz w:val="20"/>
                <w:szCs w:val="20"/>
                <w:color w:val="auto"/>
              </w:rPr>
            </w:pPr>
            <w:r>
              <w:rPr>
                <w:rFonts w:ascii="Arial" w:cs="Arial" w:eastAsia="Arial" w:hAnsi="Arial"/>
                <w:sz w:val="14"/>
                <w:szCs w:val="14"/>
                <w:color w:val="auto"/>
                <w:w w:val="89"/>
              </w:rPr>
              <w:t>59</w:t>
            </w:r>
          </w:p>
        </w:tc>
        <w:tc>
          <w:tcPr>
            <w:tcW w:w="0" w:type="dxa"/>
            <w:vAlign w:val="bottom"/>
          </w:tcPr>
          <w:p>
            <w:pPr>
              <w:spacing w:after="0"/>
              <w:rPr>
                <w:sz w:val="1"/>
                <w:szCs w:val="1"/>
                <w:color w:val="auto"/>
              </w:rPr>
            </w:pPr>
          </w:p>
        </w:tc>
      </w:tr>
      <w:tr>
        <w:trPr>
          <w:trHeight w:val="153"/>
        </w:trPr>
        <w:tc>
          <w:tcPr>
            <w:tcW w:w="2440" w:type="dxa"/>
            <w:vAlign w:val="bottom"/>
            <w:vMerge w:val="continue"/>
          </w:tcPr>
          <w:p>
            <w:pPr>
              <w:spacing w:after="0"/>
              <w:rPr>
                <w:sz w:val="13"/>
                <w:szCs w:val="13"/>
                <w:color w:val="auto"/>
              </w:rPr>
            </w:pPr>
          </w:p>
        </w:tc>
        <w:tc>
          <w:tcPr>
            <w:tcW w:w="1180" w:type="dxa"/>
            <w:vAlign w:val="bottom"/>
            <w:vMerge w:val="restart"/>
          </w:tcPr>
          <w:p>
            <w:pPr>
              <w:ind w:left="4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50"/>
              <w:spacing w:after="0"/>
              <w:rPr>
                <w:sz w:val="20"/>
                <w:szCs w:val="20"/>
                <w:color w:val="auto"/>
              </w:rPr>
            </w:pPr>
            <w:r>
              <w:rPr>
                <w:rFonts w:ascii="Arial" w:cs="Arial" w:eastAsia="Arial" w:hAnsi="Arial"/>
                <w:sz w:val="14"/>
                <w:szCs w:val="14"/>
                <w:color w:val="auto"/>
                <w:w w:val="91"/>
              </w:rPr>
              <w:t>7,182</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85"/>
              </w:rPr>
              <w:t>1,423</w:t>
            </w:r>
          </w:p>
        </w:tc>
        <w:tc>
          <w:tcPr>
            <w:tcW w:w="1280" w:type="dxa"/>
            <w:vAlign w:val="bottom"/>
            <w:vMerge w:val="restart"/>
          </w:tcPr>
          <w:p>
            <w:pPr>
              <w:jc w:val="center"/>
              <w:ind w:left="10"/>
              <w:spacing w:after="0"/>
              <w:rPr>
                <w:sz w:val="20"/>
                <w:szCs w:val="20"/>
                <w:color w:val="auto"/>
              </w:rPr>
            </w:pPr>
            <w:r>
              <w:rPr>
                <w:rFonts w:ascii="Arial" w:cs="Arial" w:eastAsia="Arial" w:hAnsi="Arial"/>
                <w:sz w:val="14"/>
                <w:szCs w:val="14"/>
                <w:color w:val="auto"/>
                <w:w w:val="91"/>
              </w:rPr>
              <w:t>1,850</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85"/>
              </w:rPr>
              <w:t>4,245</w:t>
            </w:r>
          </w:p>
        </w:tc>
        <w:tc>
          <w:tcPr>
            <w:tcW w:w="1280" w:type="dxa"/>
            <w:vAlign w:val="bottom"/>
            <w:vMerge w:val="restart"/>
          </w:tcPr>
          <w:p>
            <w:pPr>
              <w:jc w:val="center"/>
              <w:ind w:right="10"/>
              <w:spacing w:after="0"/>
              <w:rPr>
                <w:sz w:val="20"/>
                <w:szCs w:val="20"/>
                <w:color w:val="auto"/>
              </w:rPr>
            </w:pPr>
            <w:r>
              <w:rPr>
                <w:rFonts w:ascii="Arial" w:cs="Arial" w:eastAsia="Arial" w:hAnsi="Arial"/>
                <w:sz w:val="14"/>
                <w:szCs w:val="14"/>
                <w:color w:val="auto"/>
                <w:w w:val="91"/>
              </w:rPr>
              <w:t>1,752</w:t>
            </w:r>
          </w:p>
        </w:tc>
        <w:tc>
          <w:tcPr>
            <w:tcW w:w="1040" w:type="dxa"/>
            <w:vAlign w:val="bottom"/>
            <w:vMerge w:val="restart"/>
          </w:tcPr>
          <w:p>
            <w:pPr>
              <w:jc w:val="center"/>
              <w:ind w:right="30"/>
              <w:spacing w:after="0"/>
              <w:rPr>
                <w:sz w:val="20"/>
                <w:szCs w:val="20"/>
                <w:color w:val="auto"/>
              </w:rPr>
            </w:pPr>
            <w:r>
              <w:rPr>
                <w:rFonts w:ascii="Arial" w:cs="Arial" w:eastAsia="Arial" w:hAnsi="Arial"/>
                <w:sz w:val="14"/>
                <w:szCs w:val="14"/>
                <w:color w:val="auto"/>
                <w:w w:val="88"/>
              </w:rPr>
              <w:t>16,452</w:t>
            </w:r>
          </w:p>
        </w:tc>
        <w:tc>
          <w:tcPr>
            <w:tcW w:w="0" w:type="dxa"/>
            <w:vAlign w:val="bottom"/>
          </w:tcPr>
          <w:p>
            <w:pPr>
              <w:spacing w:after="0"/>
              <w:rPr>
                <w:sz w:val="1"/>
                <w:szCs w:val="1"/>
                <w:color w:val="auto"/>
              </w:rPr>
            </w:pPr>
          </w:p>
        </w:tc>
      </w:tr>
      <w:tr>
        <w:trPr>
          <w:trHeight w:val="52"/>
        </w:trPr>
        <w:tc>
          <w:tcPr>
            <w:tcW w:w="24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440" w:type="dxa"/>
            <w:vAlign w:val="bottom"/>
            <w:vMerge w:val="restart"/>
          </w:tcPr>
          <w:p>
            <w:pPr>
              <w:ind w:left="20"/>
              <w:spacing w:after="0"/>
              <w:rPr>
                <w:sz w:val="20"/>
                <w:szCs w:val="20"/>
                <w:color w:val="auto"/>
              </w:rPr>
            </w:pPr>
            <w:r>
              <w:rPr>
                <w:rFonts w:ascii="Arial" w:cs="Arial" w:eastAsia="Arial" w:hAnsi="Arial"/>
                <w:sz w:val="14"/>
                <w:szCs w:val="14"/>
                <w:color w:val="auto"/>
              </w:rPr>
              <w:t>The Luxury Collection</w:t>
            </w:r>
            <w:r>
              <w:rPr>
                <w:rFonts w:ascii="Arial" w:cs="Arial" w:eastAsia="Arial" w:hAnsi="Arial"/>
                <w:sz w:val="18"/>
                <w:szCs w:val="18"/>
                <w:color w:val="auto"/>
                <w:vertAlign w:val="superscript"/>
              </w:rPr>
              <w:t>® (1)</w:t>
            </w:r>
          </w:p>
        </w:tc>
        <w:tc>
          <w:tcPr>
            <w:tcW w:w="118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70"/>
              <w:spacing w:after="0"/>
              <w:rPr>
                <w:sz w:val="20"/>
                <w:szCs w:val="20"/>
                <w:color w:val="auto"/>
              </w:rPr>
            </w:pPr>
            <w:r>
              <w:rPr>
                <w:rFonts w:ascii="Arial" w:cs="Arial" w:eastAsia="Arial" w:hAnsi="Arial"/>
                <w:sz w:val="14"/>
                <w:szCs w:val="14"/>
                <w:color w:val="auto"/>
                <w:w w:val="89"/>
              </w:rPr>
              <w:t>17</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48</w:t>
            </w:r>
          </w:p>
        </w:tc>
        <w:tc>
          <w:tcPr>
            <w:tcW w:w="1280" w:type="dxa"/>
            <w:vAlign w:val="bottom"/>
          </w:tcPr>
          <w:p>
            <w:pPr>
              <w:jc w:val="center"/>
              <w:spacing w:after="0"/>
              <w:rPr>
                <w:sz w:val="20"/>
                <w:szCs w:val="20"/>
                <w:color w:val="auto"/>
              </w:rPr>
            </w:pPr>
            <w:r>
              <w:rPr>
                <w:rFonts w:ascii="Arial" w:cs="Arial" w:eastAsia="Arial" w:hAnsi="Arial"/>
                <w:sz w:val="14"/>
                <w:szCs w:val="14"/>
                <w:color w:val="auto"/>
                <w:w w:val="89"/>
              </w:rPr>
              <w:t>10</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30</w:t>
            </w:r>
          </w:p>
        </w:tc>
        <w:tc>
          <w:tcPr>
            <w:tcW w:w="1280" w:type="dxa"/>
            <w:vAlign w:val="bottom"/>
          </w:tcPr>
          <w:p>
            <w:pPr>
              <w:jc w:val="center"/>
              <w:ind w:right="30"/>
              <w:spacing w:after="0"/>
              <w:rPr>
                <w:sz w:val="20"/>
                <w:szCs w:val="20"/>
                <w:color w:val="auto"/>
              </w:rPr>
            </w:pPr>
            <w:r>
              <w:rPr>
                <w:rFonts w:ascii="Arial" w:cs="Arial" w:eastAsia="Arial" w:hAnsi="Arial"/>
                <w:sz w:val="14"/>
                <w:szCs w:val="14"/>
                <w:color w:val="auto"/>
                <w:w w:val="89"/>
              </w:rPr>
              <w:t>14</w:t>
            </w:r>
          </w:p>
        </w:tc>
        <w:tc>
          <w:tcPr>
            <w:tcW w:w="1040" w:type="dxa"/>
            <w:vAlign w:val="bottom"/>
          </w:tcPr>
          <w:p>
            <w:pPr>
              <w:jc w:val="center"/>
              <w:ind w:right="50"/>
              <w:spacing w:after="0"/>
              <w:rPr>
                <w:sz w:val="20"/>
                <w:szCs w:val="20"/>
                <w:color w:val="auto"/>
              </w:rPr>
            </w:pPr>
            <w:r>
              <w:rPr>
                <w:rFonts w:ascii="Arial" w:cs="Arial" w:eastAsia="Arial" w:hAnsi="Arial"/>
                <w:sz w:val="14"/>
                <w:szCs w:val="14"/>
                <w:color w:val="auto"/>
                <w:w w:val="85"/>
              </w:rPr>
              <w:t>119</w:t>
            </w:r>
          </w:p>
        </w:tc>
        <w:tc>
          <w:tcPr>
            <w:tcW w:w="0" w:type="dxa"/>
            <w:vAlign w:val="bottom"/>
          </w:tcPr>
          <w:p>
            <w:pPr>
              <w:spacing w:after="0"/>
              <w:rPr>
                <w:sz w:val="1"/>
                <w:szCs w:val="1"/>
                <w:color w:val="auto"/>
              </w:rPr>
            </w:pPr>
          </w:p>
        </w:tc>
      </w:tr>
      <w:tr>
        <w:trPr>
          <w:trHeight w:val="153"/>
        </w:trPr>
        <w:tc>
          <w:tcPr>
            <w:tcW w:w="2440" w:type="dxa"/>
            <w:vAlign w:val="bottom"/>
            <w:vMerge w:val="continue"/>
          </w:tcPr>
          <w:p>
            <w:pPr>
              <w:spacing w:after="0"/>
              <w:rPr>
                <w:sz w:val="13"/>
                <w:szCs w:val="13"/>
                <w:color w:val="auto"/>
              </w:rPr>
            </w:pPr>
          </w:p>
        </w:tc>
        <w:tc>
          <w:tcPr>
            <w:tcW w:w="1180" w:type="dxa"/>
            <w:vAlign w:val="bottom"/>
            <w:vMerge w:val="restart"/>
          </w:tcPr>
          <w:p>
            <w:pPr>
              <w:ind w:left="4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50"/>
              <w:spacing w:after="0"/>
              <w:rPr>
                <w:sz w:val="20"/>
                <w:szCs w:val="20"/>
                <w:color w:val="auto"/>
              </w:rPr>
            </w:pPr>
            <w:r>
              <w:rPr>
                <w:rFonts w:ascii="Arial" w:cs="Arial" w:eastAsia="Arial" w:hAnsi="Arial"/>
                <w:sz w:val="14"/>
                <w:szCs w:val="14"/>
                <w:color w:val="auto"/>
                <w:w w:val="91"/>
              </w:rPr>
              <w:t>5,090</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85"/>
              </w:rPr>
              <w:t>7,092</w:t>
            </w:r>
          </w:p>
        </w:tc>
        <w:tc>
          <w:tcPr>
            <w:tcW w:w="1280" w:type="dxa"/>
            <w:vAlign w:val="bottom"/>
            <w:vMerge w:val="restart"/>
          </w:tcPr>
          <w:p>
            <w:pPr>
              <w:jc w:val="center"/>
              <w:ind w:left="10"/>
              <w:spacing w:after="0"/>
              <w:rPr>
                <w:sz w:val="20"/>
                <w:szCs w:val="20"/>
                <w:color w:val="auto"/>
              </w:rPr>
            </w:pPr>
            <w:r>
              <w:rPr>
                <w:rFonts w:ascii="Arial" w:cs="Arial" w:eastAsia="Arial" w:hAnsi="Arial"/>
                <w:sz w:val="14"/>
                <w:szCs w:val="14"/>
                <w:color w:val="auto"/>
                <w:w w:val="91"/>
              </w:rPr>
              <w:t>2,369</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85"/>
              </w:rPr>
              <w:t>7,715</w:t>
            </w:r>
          </w:p>
        </w:tc>
        <w:tc>
          <w:tcPr>
            <w:tcW w:w="1280" w:type="dxa"/>
            <w:vAlign w:val="bottom"/>
            <w:vMerge w:val="restart"/>
          </w:tcPr>
          <w:p>
            <w:pPr>
              <w:jc w:val="center"/>
              <w:ind w:right="10"/>
              <w:spacing w:after="0"/>
              <w:rPr>
                <w:sz w:val="20"/>
                <w:szCs w:val="20"/>
                <w:color w:val="auto"/>
              </w:rPr>
            </w:pPr>
            <w:r>
              <w:rPr>
                <w:rFonts w:ascii="Arial" w:cs="Arial" w:eastAsia="Arial" w:hAnsi="Arial"/>
                <w:sz w:val="14"/>
                <w:szCs w:val="14"/>
                <w:color w:val="auto"/>
                <w:w w:val="91"/>
              </w:rPr>
              <w:t>1,188</w:t>
            </w:r>
          </w:p>
        </w:tc>
        <w:tc>
          <w:tcPr>
            <w:tcW w:w="1040" w:type="dxa"/>
            <w:vAlign w:val="bottom"/>
            <w:vMerge w:val="restart"/>
          </w:tcPr>
          <w:p>
            <w:pPr>
              <w:jc w:val="center"/>
              <w:ind w:right="30"/>
              <w:spacing w:after="0"/>
              <w:rPr>
                <w:sz w:val="20"/>
                <w:szCs w:val="20"/>
                <w:color w:val="auto"/>
              </w:rPr>
            </w:pPr>
            <w:r>
              <w:rPr>
                <w:rFonts w:ascii="Arial" w:cs="Arial" w:eastAsia="Arial" w:hAnsi="Arial"/>
                <w:sz w:val="14"/>
                <w:szCs w:val="14"/>
                <w:color w:val="auto"/>
                <w:w w:val="88"/>
              </w:rPr>
              <w:t>23,454</w:t>
            </w:r>
          </w:p>
        </w:tc>
        <w:tc>
          <w:tcPr>
            <w:tcW w:w="0" w:type="dxa"/>
            <w:vAlign w:val="bottom"/>
          </w:tcPr>
          <w:p>
            <w:pPr>
              <w:spacing w:after="0"/>
              <w:rPr>
                <w:sz w:val="1"/>
                <w:szCs w:val="1"/>
                <w:color w:val="auto"/>
              </w:rPr>
            </w:pPr>
          </w:p>
        </w:tc>
      </w:tr>
      <w:tr>
        <w:trPr>
          <w:trHeight w:val="52"/>
        </w:trPr>
        <w:tc>
          <w:tcPr>
            <w:tcW w:w="24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440" w:type="dxa"/>
            <w:vAlign w:val="bottom"/>
            <w:vMerge w:val="restart"/>
          </w:tcPr>
          <w:p>
            <w:pPr>
              <w:ind w:left="20"/>
              <w:spacing w:after="0"/>
              <w:rPr>
                <w:sz w:val="20"/>
                <w:szCs w:val="20"/>
                <w:color w:val="auto"/>
              </w:rPr>
            </w:pPr>
            <w:r>
              <w:rPr>
                <w:rFonts w:ascii="Arial" w:cs="Arial" w:eastAsia="Arial" w:hAnsi="Arial"/>
                <w:sz w:val="14"/>
                <w:szCs w:val="14"/>
                <w:color w:val="auto"/>
              </w:rPr>
              <w:t>St. Regis</w:t>
            </w:r>
            <w:r>
              <w:rPr>
                <w:rFonts w:ascii="Arial" w:cs="Arial" w:eastAsia="Arial" w:hAnsi="Arial"/>
                <w:sz w:val="18"/>
                <w:szCs w:val="18"/>
                <w:color w:val="auto"/>
                <w:vertAlign w:val="superscript"/>
              </w:rPr>
              <w:t>®</w:t>
            </w:r>
          </w:p>
        </w:tc>
        <w:tc>
          <w:tcPr>
            <w:tcW w:w="118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70"/>
              <w:spacing w:after="0"/>
              <w:rPr>
                <w:sz w:val="20"/>
                <w:szCs w:val="20"/>
                <w:color w:val="auto"/>
              </w:rPr>
            </w:pPr>
            <w:r>
              <w:rPr>
                <w:rFonts w:ascii="Arial" w:cs="Arial" w:eastAsia="Arial" w:hAnsi="Arial"/>
                <w:sz w:val="14"/>
                <w:szCs w:val="14"/>
                <w:color w:val="auto"/>
                <w:w w:val="89"/>
              </w:rPr>
              <w:t>10</w:t>
            </w: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7</w:t>
            </w:r>
          </w:p>
        </w:tc>
        <w:tc>
          <w:tcPr>
            <w:tcW w:w="1280" w:type="dxa"/>
            <w:vAlign w:val="bottom"/>
          </w:tcPr>
          <w:p>
            <w:pPr>
              <w:jc w:val="center"/>
              <w:ind w:left="10"/>
              <w:spacing w:after="0"/>
              <w:rPr>
                <w:sz w:val="20"/>
                <w:szCs w:val="20"/>
                <w:color w:val="auto"/>
              </w:rPr>
            </w:pPr>
            <w:r>
              <w:rPr>
                <w:rFonts w:ascii="Arial" w:cs="Arial" w:eastAsia="Arial" w:hAnsi="Arial"/>
                <w:sz w:val="14"/>
                <w:szCs w:val="14"/>
                <w:color w:val="auto"/>
              </w:rPr>
              <w:t>6</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w:t>
            </w:r>
          </w:p>
        </w:tc>
        <w:tc>
          <w:tcPr>
            <w:tcW w:w="1280" w:type="dxa"/>
            <w:vAlign w:val="bottom"/>
          </w:tcPr>
          <w:p>
            <w:pPr>
              <w:jc w:val="center"/>
              <w:ind w:right="10"/>
              <w:spacing w:after="0"/>
              <w:rPr>
                <w:sz w:val="20"/>
                <w:szCs w:val="20"/>
                <w:color w:val="auto"/>
              </w:rPr>
            </w:pPr>
            <w:r>
              <w:rPr>
                <w:rFonts w:ascii="Arial" w:cs="Arial" w:eastAsia="Arial" w:hAnsi="Arial"/>
                <w:sz w:val="14"/>
                <w:szCs w:val="14"/>
                <w:color w:val="auto"/>
              </w:rPr>
              <w:t>3</w:t>
            </w:r>
          </w:p>
        </w:tc>
        <w:tc>
          <w:tcPr>
            <w:tcW w:w="1040" w:type="dxa"/>
            <w:vAlign w:val="bottom"/>
          </w:tcPr>
          <w:p>
            <w:pPr>
              <w:jc w:val="center"/>
              <w:ind w:right="30"/>
              <w:spacing w:after="0"/>
              <w:rPr>
                <w:sz w:val="20"/>
                <w:szCs w:val="20"/>
                <w:color w:val="auto"/>
              </w:rPr>
            </w:pPr>
            <w:r>
              <w:rPr>
                <w:rFonts w:ascii="Arial" w:cs="Arial" w:eastAsia="Arial" w:hAnsi="Arial"/>
                <w:sz w:val="14"/>
                <w:szCs w:val="14"/>
                <w:color w:val="auto"/>
                <w:w w:val="89"/>
              </w:rPr>
              <w:t>46</w:t>
            </w:r>
          </w:p>
        </w:tc>
        <w:tc>
          <w:tcPr>
            <w:tcW w:w="0" w:type="dxa"/>
            <w:vAlign w:val="bottom"/>
          </w:tcPr>
          <w:p>
            <w:pPr>
              <w:spacing w:after="0"/>
              <w:rPr>
                <w:sz w:val="1"/>
                <w:szCs w:val="1"/>
                <w:color w:val="auto"/>
              </w:rPr>
            </w:pPr>
          </w:p>
        </w:tc>
      </w:tr>
      <w:tr>
        <w:trPr>
          <w:trHeight w:val="153"/>
        </w:trPr>
        <w:tc>
          <w:tcPr>
            <w:tcW w:w="2440" w:type="dxa"/>
            <w:vAlign w:val="bottom"/>
            <w:vMerge w:val="continue"/>
          </w:tcPr>
          <w:p>
            <w:pPr>
              <w:spacing w:after="0"/>
              <w:rPr>
                <w:sz w:val="13"/>
                <w:szCs w:val="13"/>
                <w:color w:val="auto"/>
              </w:rPr>
            </w:pPr>
          </w:p>
        </w:tc>
        <w:tc>
          <w:tcPr>
            <w:tcW w:w="1180" w:type="dxa"/>
            <w:vAlign w:val="bottom"/>
            <w:vMerge w:val="restart"/>
          </w:tcPr>
          <w:p>
            <w:pPr>
              <w:ind w:left="4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50"/>
              <w:spacing w:after="0"/>
              <w:rPr>
                <w:sz w:val="20"/>
                <w:szCs w:val="20"/>
                <w:color w:val="auto"/>
              </w:rPr>
            </w:pPr>
            <w:r>
              <w:rPr>
                <w:rFonts w:ascii="Arial" w:cs="Arial" w:eastAsia="Arial" w:hAnsi="Arial"/>
                <w:sz w:val="14"/>
                <w:szCs w:val="14"/>
                <w:color w:val="auto"/>
                <w:w w:val="91"/>
              </w:rPr>
              <w:t>1,968</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85"/>
              </w:rPr>
              <w:t>1,002</w:t>
            </w:r>
          </w:p>
        </w:tc>
        <w:tc>
          <w:tcPr>
            <w:tcW w:w="1280" w:type="dxa"/>
            <w:vAlign w:val="bottom"/>
            <w:vMerge w:val="restart"/>
          </w:tcPr>
          <w:p>
            <w:pPr>
              <w:jc w:val="center"/>
              <w:ind w:left="10"/>
              <w:spacing w:after="0"/>
              <w:rPr>
                <w:sz w:val="20"/>
                <w:szCs w:val="20"/>
                <w:color w:val="auto"/>
              </w:rPr>
            </w:pPr>
            <w:r>
              <w:rPr>
                <w:rFonts w:ascii="Arial" w:cs="Arial" w:eastAsia="Arial" w:hAnsi="Arial"/>
                <w:sz w:val="14"/>
                <w:szCs w:val="14"/>
                <w:color w:val="auto"/>
                <w:w w:val="91"/>
              </w:rPr>
              <w:t>1,788</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85"/>
              </w:rPr>
              <w:t>4,811</w:t>
            </w:r>
          </w:p>
        </w:tc>
        <w:tc>
          <w:tcPr>
            <w:tcW w:w="1280" w:type="dxa"/>
            <w:vAlign w:val="bottom"/>
            <w:vMerge w:val="restart"/>
          </w:tcPr>
          <w:p>
            <w:pPr>
              <w:jc w:val="center"/>
              <w:ind w:right="10"/>
              <w:spacing w:after="0"/>
              <w:rPr>
                <w:sz w:val="20"/>
                <w:szCs w:val="20"/>
                <w:color w:val="auto"/>
              </w:rPr>
            </w:pPr>
            <w:r>
              <w:rPr>
                <w:rFonts w:ascii="Arial" w:cs="Arial" w:eastAsia="Arial" w:hAnsi="Arial"/>
                <w:sz w:val="14"/>
                <w:szCs w:val="14"/>
                <w:color w:val="auto"/>
                <w:w w:val="85"/>
              </w:rPr>
              <w:t>448</w:t>
            </w:r>
          </w:p>
        </w:tc>
        <w:tc>
          <w:tcPr>
            <w:tcW w:w="1040" w:type="dxa"/>
            <w:vAlign w:val="bottom"/>
            <w:vMerge w:val="restart"/>
          </w:tcPr>
          <w:p>
            <w:pPr>
              <w:jc w:val="center"/>
              <w:ind w:right="30"/>
              <w:spacing w:after="0"/>
              <w:rPr>
                <w:sz w:val="20"/>
                <w:szCs w:val="20"/>
                <w:color w:val="auto"/>
              </w:rPr>
            </w:pPr>
            <w:r>
              <w:rPr>
                <w:rFonts w:ascii="Arial" w:cs="Arial" w:eastAsia="Arial" w:hAnsi="Arial"/>
                <w:sz w:val="14"/>
                <w:szCs w:val="14"/>
                <w:color w:val="auto"/>
                <w:w w:val="88"/>
              </w:rPr>
              <w:t>10,017</w:t>
            </w:r>
          </w:p>
        </w:tc>
        <w:tc>
          <w:tcPr>
            <w:tcW w:w="0" w:type="dxa"/>
            <w:vAlign w:val="bottom"/>
          </w:tcPr>
          <w:p>
            <w:pPr>
              <w:spacing w:after="0"/>
              <w:rPr>
                <w:sz w:val="1"/>
                <w:szCs w:val="1"/>
                <w:color w:val="auto"/>
              </w:rPr>
            </w:pPr>
          </w:p>
        </w:tc>
      </w:tr>
      <w:tr>
        <w:trPr>
          <w:trHeight w:val="52"/>
        </w:trPr>
        <w:tc>
          <w:tcPr>
            <w:tcW w:w="24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440" w:type="dxa"/>
            <w:vAlign w:val="bottom"/>
            <w:vMerge w:val="restart"/>
          </w:tcPr>
          <w:p>
            <w:pPr>
              <w:ind w:left="20"/>
              <w:spacing w:after="0"/>
              <w:rPr>
                <w:sz w:val="20"/>
                <w:szCs w:val="20"/>
                <w:color w:val="auto"/>
              </w:rPr>
            </w:pPr>
            <w:r>
              <w:rPr>
                <w:rFonts w:ascii="Arial" w:cs="Arial" w:eastAsia="Arial" w:hAnsi="Arial"/>
                <w:sz w:val="14"/>
                <w:szCs w:val="14"/>
                <w:color w:val="auto"/>
              </w:rPr>
              <w:t>EDITION</w:t>
            </w:r>
            <w:r>
              <w:rPr>
                <w:rFonts w:ascii="Arial" w:cs="Arial" w:eastAsia="Arial" w:hAnsi="Arial"/>
                <w:sz w:val="18"/>
                <w:szCs w:val="18"/>
                <w:color w:val="auto"/>
                <w:vertAlign w:val="superscript"/>
              </w:rPr>
              <w:t>®</w:t>
            </w:r>
          </w:p>
        </w:tc>
        <w:tc>
          <w:tcPr>
            <w:tcW w:w="118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70"/>
              <w:spacing w:after="0"/>
              <w:rPr>
                <w:sz w:val="20"/>
                <w:szCs w:val="20"/>
                <w:color w:val="auto"/>
              </w:rPr>
            </w:pPr>
            <w:r>
              <w:rPr>
                <w:rFonts w:ascii="Arial" w:cs="Arial" w:eastAsia="Arial" w:hAnsi="Arial"/>
                <w:sz w:val="14"/>
                <w:szCs w:val="14"/>
                <w:color w:val="auto"/>
                <w:w w:val="76"/>
              </w:rPr>
              <w:t>4</w:t>
            </w: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1280" w:type="dxa"/>
            <w:vAlign w:val="bottom"/>
          </w:tcPr>
          <w:p>
            <w:pPr>
              <w:jc w:val="center"/>
              <w:ind w:left="10"/>
              <w:spacing w:after="0"/>
              <w:rPr>
                <w:sz w:val="20"/>
                <w:szCs w:val="20"/>
                <w:color w:val="auto"/>
              </w:rPr>
            </w:pPr>
            <w:r>
              <w:rPr>
                <w:rFonts w:ascii="Arial" w:cs="Arial" w:eastAsia="Arial" w:hAnsi="Arial"/>
                <w:sz w:val="14"/>
                <w:szCs w:val="14"/>
                <w:color w:val="auto"/>
              </w:rPr>
              <w:t>1</w:t>
            </w:r>
          </w:p>
        </w:tc>
        <w:tc>
          <w:tcPr>
            <w:tcW w:w="106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1280" w:type="dxa"/>
            <w:vAlign w:val="bottom"/>
          </w:tcPr>
          <w:p>
            <w:pPr>
              <w:jc w:val="center"/>
              <w:ind w:right="30"/>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30"/>
              <w:spacing w:after="0"/>
              <w:rPr>
                <w:sz w:val="20"/>
                <w:szCs w:val="20"/>
                <w:color w:val="auto"/>
              </w:rPr>
            </w:pPr>
            <w:r>
              <w:rPr>
                <w:rFonts w:ascii="Arial" w:cs="Arial" w:eastAsia="Arial" w:hAnsi="Arial"/>
                <w:sz w:val="14"/>
                <w:szCs w:val="14"/>
                <w:color w:val="auto"/>
                <w:w w:val="89"/>
              </w:rPr>
              <w:t>11</w:t>
            </w:r>
          </w:p>
        </w:tc>
        <w:tc>
          <w:tcPr>
            <w:tcW w:w="0" w:type="dxa"/>
            <w:vAlign w:val="bottom"/>
          </w:tcPr>
          <w:p>
            <w:pPr>
              <w:spacing w:after="0"/>
              <w:rPr>
                <w:sz w:val="1"/>
                <w:szCs w:val="1"/>
                <w:color w:val="auto"/>
              </w:rPr>
            </w:pPr>
          </w:p>
        </w:tc>
      </w:tr>
      <w:tr>
        <w:trPr>
          <w:trHeight w:val="153"/>
        </w:trPr>
        <w:tc>
          <w:tcPr>
            <w:tcW w:w="2440" w:type="dxa"/>
            <w:vAlign w:val="bottom"/>
            <w:vMerge w:val="continue"/>
          </w:tcPr>
          <w:p>
            <w:pPr>
              <w:spacing w:after="0"/>
              <w:rPr>
                <w:sz w:val="13"/>
                <w:szCs w:val="13"/>
                <w:color w:val="auto"/>
              </w:rPr>
            </w:pPr>
          </w:p>
        </w:tc>
        <w:tc>
          <w:tcPr>
            <w:tcW w:w="1180" w:type="dxa"/>
            <w:vAlign w:val="bottom"/>
            <w:vMerge w:val="restart"/>
          </w:tcPr>
          <w:p>
            <w:pPr>
              <w:ind w:left="4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50"/>
              <w:spacing w:after="0"/>
              <w:rPr>
                <w:sz w:val="20"/>
                <w:szCs w:val="20"/>
                <w:color w:val="auto"/>
              </w:rPr>
            </w:pPr>
            <w:r>
              <w:rPr>
                <w:rFonts w:ascii="Arial" w:cs="Arial" w:eastAsia="Arial" w:hAnsi="Arial"/>
                <w:sz w:val="14"/>
                <w:szCs w:val="14"/>
                <w:color w:val="auto"/>
                <w:w w:val="91"/>
              </w:rPr>
              <w:t>1,209</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94"/>
              </w:rPr>
              <w:t>381</w:t>
            </w:r>
          </w:p>
        </w:tc>
        <w:tc>
          <w:tcPr>
            <w:tcW w:w="1280" w:type="dxa"/>
            <w:vAlign w:val="bottom"/>
            <w:vMerge w:val="restart"/>
          </w:tcPr>
          <w:p>
            <w:pPr>
              <w:jc w:val="center"/>
              <w:ind w:left="10"/>
              <w:spacing w:after="0"/>
              <w:rPr>
                <w:sz w:val="20"/>
                <w:szCs w:val="20"/>
                <w:color w:val="auto"/>
              </w:rPr>
            </w:pPr>
            <w:r>
              <w:rPr>
                <w:rFonts w:ascii="Arial" w:cs="Arial" w:eastAsia="Arial" w:hAnsi="Arial"/>
                <w:sz w:val="14"/>
                <w:szCs w:val="14"/>
                <w:color w:val="auto"/>
                <w:w w:val="85"/>
              </w:rPr>
              <w:t>255</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4"/>
              </w:rPr>
              <w:t>852</w:t>
            </w:r>
          </w:p>
        </w:tc>
        <w:tc>
          <w:tcPr>
            <w:tcW w:w="1280" w:type="dxa"/>
            <w:vAlign w:val="bottom"/>
            <w:vMerge w:val="restart"/>
          </w:tcPr>
          <w:p>
            <w:pPr>
              <w:jc w:val="center"/>
              <w:ind w:right="30"/>
              <w:spacing w:after="0"/>
              <w:rPr>
                <w:sz w:val="20"/>
                <w:szCs w:val="20"/>
                <w:color w:val="auto"/>
              </w:rPr>
            </w:pPr>
            <w:r>
              <w:rPr>
                <w:rFonts w:ascii="Arial" w:cs="Arial" w:eastAsia="Arial" w:hAnsi="Arial"/>
                <w:sz w:val="14"/>
                <w:szCs w:val="14"/>
                <w:color w:val="auto"/>
                <w:w w:val="99"/>
              </w:rPr>
              <w:t>—</w:t>
            </w:r>
          </w:p>
        </w:tc>
        <w:tc>
          <w:tcPr>
            <w:tcW w:w="1040" w:type="dxa"/>
            <w:vAlign w:val="bottom"/>
            <w:vMerge w:val="restart"/>
          </w:tcPr>
          <w:p>
            <w:pPr>
              <w:jc w:val="center"/>
              <w:ind w:right="50"/>
              <w:spacing w:after="0"/>
              <w:rPr>
                <w:sz w:val="20"/>
                <w:szCs w:val="20"/>
                <w:color w:val="auto"/>
              </w:rPr>
            </w:pPr>
            <w:r>
              <w:rPr>
                <w:rFonts w:ascii="Arial" w:cs="Arial" w:eastAsia="Arial" w:hAnsi="Arial"/>
                <w:sz w:val="14"/>
                <w:szCs w:val="14"/>
                <w:color w:val="auto"/>
                <w:w w:val="91"/>
              </w:rPr>
              <w:t>2,697</w:t>
            </w:r>
          </w:p>
        </w:tc>
        <w:tc>
          <w:tcPr>
            <w:tcW w:w="0" w:type="dxa"/>
            <w:vAlign w:val="bottom"/>
          </w:tcPr>
          <w:p>
            <w:pPr>
              <w:spacing w:after="0"/>
              <w:rPr>
                <w:sz w:val="1"/>
                <w:szCs w:val="1"/>
                <w:color w:val="auto"/>
              </w:rPr>
            </w:pPr>
          </w:p>
        </w:tc>
      </w:tr>
      <w:tr>
        <w:trPr>
          <w:trHeight w:val="52"/>
        </w:trPr>
        <w:tc>
          <w:tcPr>
            <w:tcW w:w="24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440" w:type="dxa"/>
            <w:vAlign w:val="bottom"/>
            <w:vMerge w:val="restart"/>
          </w:tcPr>
          <w:p>
            <w:pPr>
              <w:ind w:left="20"/>
              <w:spacing w:after="0"/>
              <w:rPr>
                <w:sz w:val="20"/>
                <w:szCs w:val="20"/>
                <w:color w:val="auto"/>
              </w:rPr>
            </w:pPr>
            <w:r>
              <w:rPr>
                <w:rFonts w:ascii="Arial" w:cs="Arial" w:eastAsia="Arial" w:hAnsi="Arial"/>
                <w:sz w:val="14"/>
                <w:szCs w:val="14"/>
                <w:color w:val="auto"/>
              </w:rPr>
              <w:t>Bulgari</w:t>
            </w:r>
            <w:r>
              <w:rPr>
                <w:rFonts w:ascii="Arial" w:cs="Arial" w:eastAsia="Arial" w:hAnsi="Arial"/>
                <w:sz w:val="18"/>
                <w:szCs w:val="18"/>
                <w:color w:val="auto"/>
                <w:vertAlign w:val="superscript"/>
              </w:rPr>
              <w:t>®</w:t>
            </w:r>
          </w:p>
        </w:tc>
        <w:tc>
          <w:tcPr>
            <w:tcW w:w="118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70"/>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280" w:type="dxa"/>
            <w:vAlign w:val="bottom"/>
          </w:tcPr>
          <w:p>
            <w:pPr>
              <w:jc w:val="center"/>
              <w:ind w:left="10"/>
              <w:spacing w:after="0"/>
              <w:rPr>
                <w:sz w:val="20"/>
                <w:szCs w:val="20"/>
                <w:color w:val="auto"/>
              </w:rPr>
            </w:pPr>
            <w:r>
              <w:rPr>
                <w:rFonts w:ascii="Arial" w:cs="Arial" w:eastAsia="Arial" w:hAnsi="Arial"/>
                <w:sz w:val="14"/>
                <w:szCs w:val="14"/>
                <w:color w:val="auto"/>
              </w:rPr>
              <w:t>1</w:t>
            </w:r>
          </w:p>
        </w:tc>
        <w:tc>
          <w:tcPr>
            <w:tcW w:w="106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1280" w:type="dxa"/>
            <w:vAlign w:val="bottom"/>
          </w:tcPr>
          <w:p>
            <w:pPr>
              <w:jc w:val="center"/>
              <w:ind w:right="30"/>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5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53"/>
        </w:trPr>
        <w:tc>
          <w:tcPr>
            <w:tcW w:w="2440" w:type="dxa"/>
            <w:vAlign w:val="bottom"/>
            <w:vMerge w:val="continue"/>
          </w:tcPr>
          <w:p>
            <w:pPr>
              <w:spacing w:after="0"/>
              <w:rPr>
                <w:sz w:val="13"/>
                <w:szCs w:val="13"/>
                <w:color w:val="auto"/>
              </w:rPr>
            </w:pPr>
          </w:p>
        </w:tc>
        <w:tc>
          <w:tcPr>
            <w:tcW w:w="1180" w:type="dxa"/>
            <w:vAlign w:val="bottom"/>
            <w:vMerge w:val="restart"/>
          </w:tcPr>
          <w:p>
            <w:pPr>
              <w:ind w:left="4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70"/>
              <w:spacing w:after="0"/>
              <w:rPr>
                <w:sz w:val="20"/>
                <w:szCs w:val="20"/>
                <w:color w:val="auto"/>
              </w:rPr>
            </w:pPr>
            <w:r>
              <w:rPr>
                <w:rFonts w:ascii="Arial" w:cs="Arial" w:eastAsia="Arial" w:hAnsi="Arial"/>
                <w:sz w:val="14"/>
                <w:szCs w:val="14"/>
                <w:color w:val="auto"/>
                <w:w w:val="99"/>
              </w:rPr>
              <w:t>—</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94"/>
              </w:rPr>
              <w:t>143</w:t>
            </w:r>
          </w:p>
        </w:tc>
        <w:tc>
          <w:tcPr>
            <w:tcW w:w="1280" w:type="dxa"/>
            <w:vAlign w:val="bottom"/>
            <w:vMerge w:val="restart"/>
          </w:tcPr>
          <w:p>
            <w:pPr>
              <w:jc w:val="center"/>
              <w:ind w:left="10"/>
              <w:spacing w:after="0"/>
              <w:rPr>
                <w:sz w:val="20"/>
                <w:szCs w:val="20"/>
                <w:color w:val="auto"/>
              </w:rPr>
            </w:pPr>
            <w:r>
              <w:rPr>
                <w:rFonts w:ascii="Arial" w:cs="Arial" w:eastAsia="Arial" w:hAnsi="Arial"/>
                <w:sz w:val="14"/>
                <w:szCs w:val="14"/>
                <w:color w:val="auto"/>
                <w:w w:val="85"/>
              </w:rPr>
              <w:t>120</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4"/>
              </w:rPr>
              <w:t>260</w:t>
            </w:r>
          </w:p>
        </w:tc>
        <w:tc>
          <w:tcPr>
            <w:tcW w:w="1280" w:type="dxa"/>
            <w:vAlign w:val="bottom"/>
            <w:vMerge w:val="restart"/>
          </w:tcPr>
          <w:p>
            <w:pPr>
              <w:jc w:val="center"/>
              <w:ind w:right="30"/>
              <w:spacing w:after="0"/>
              <w:rPr>
                <w:sz w:val="20"/>
                <w:szCs w:val="20"/>
                <w:color w:val="auto"/>
              </w:rPr>
            </w:pPr>
            <w:r>
              <w:rPr>
                <w:rFonts w:ascii="Arial" w:cs="Arial" w:eastAsia="Arial" w:hAnsi="Arial"/>
                <w:sz w:val="14"/>
                <w:szCs w:val="14"/>
                <w:color w:val="auto"/>
                <w:w w:val="99"/>
              </w:rPr>
              <w:t>—</w:t>
            </w:r>
          </w:p>
        </w:tc>
        <w:tc>
          <w:tcPr>
            <w:tcW w:w="1040" w:type="dxa"/>
            <w:vAlign w:val="bottom"/>
            <w:vMerge w:val="restart"/>
          </w:tcPr>
          <w:p>
            <w:pPr>
              <w:jc w:val="center"/>
              <w:ind w:right="50"/>
              <w:spacing w:after="0"/>
              <w:rPr>
                <w:sz w:val="20"/>
                <w:szCs w:val="20"/>
                <w:color w:val="auto"/>
              </w:rPr>
            </w:pPr>
            <w:r>
              <w:rPr>
                <w:rFonts w:ascii="Arial" w:cs="Arial" w:eastAsia="Arial" w:hAnsi="Arial"/>
                <w:sz w:val="14"/>
                <w:szCs w:val="14"/>
                <w:color w:val="auto"/>
                <w:w w:val="85"/>
              </w:rPr>
              <w:t>523</w:t>
            </w:r>
          </w:p>
        </w:tc>
        <w:tc>
          <w:tcPr>
            <w:tcW w:w="0" w:type="dxa"/>
            <w:vAlign w:val="bottom"/>
          </w:tcPr>
          <w:p>
            <w:pPr>
              <w:spacing w:after="0"/>
              <w:rPr>
                <w:sz w:val="1"/>
                <w:szCs w:val="1"/>
                <w:color w:val="auto"/>
              </w:rPr>
            </w:pPr>
          </w:p>
        </w:tc>
      </w:tr>
      <w:tr>
        <w:trPr>
          <w:trHeight w:val="52"/>
        </w:trPr>
        <w:tc>
          <w:tcPr>
            <w:tcW w:w="24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Premium</w:t>
            </w:r>
          </w:p>
        </w:tc>
        <w:tc>
          <w:tcPr>
            <w:tcW w:w="1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40" w:type="dxa"/>
            <w:vAlign w:val="bottom"/>
            <w:vMerge w:val="restart"/>
          </w:tcPr>
          <w:p>
            <w:pPr>
              <w:ind w:left="20"/>
              <w:spacing w:after="0"/>
              <w:rPr>
                <w:sz w:val="20"/>
                <w:szCs w:val="20"/>
                <w:color w:val="auto"/>
              </w:rPr>
            </w:pPr>
            <w:r>
              <w:rPr>
                <w:rFonts w:ascii="Arial" w:cs="Arial" w:eastAsia="Arial" w:hAnsi="Arial"/>
                <w:sz w:val="14"/>
                <w:szCs w:val="14"/>
                <w:color w:val="auto"/>
              </w:rPr>
              <w:t>Marriott Hotels</w:t>
            </w:r>
            <w:r>
              <w:rPr>
                <w:rFonts w:ascii="Arial" w:cs="Arial" w:eastAsia="Arial" w:hAnsi="Arial"/>
                <w:sz w:val="18"/>
                <w:szCs w:val="18"/>
                <w:color w:val="auto"/>
                <w:vertAlign w:val="superscript"/>
              </w:rPr>
              <w:t>®</w:t>
            </w:r>
          </w:p>
        </w:tc>
        <w:tc>
          <w:tcPr>
            <w:tcW w:w="118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70"/>
              <w:spacing w:after="0"/>
              <w:rPr>
                <w:sz w:val="20"/>
                <w:szCs w:val="20"/>
                <w:color w:val="auto"/>
              </w:rPr>
            </w:pPr>
            <w:r>
              <w:rPr>
                <w:rFonts w:ascii="Arial" w:cs="Arial" w:eastAsia="Arial" w:hAnsi="Arial"/>
                <w:sz w:val="14"/>
                <w:szCs w:val="14"/>
                <w:color w:val="auto"/>
                <w:w w:val="94"/>
              </w:rPr>
              <w:t>340</w:t>
            </w: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100</w:t>
            </w:r>
          </w:p>
        </w:tc>
        <w:tc>
          <w:tcPr>
            <w:tcW w:w="1280" w:type="dxa"/>
            <w:vAlign w:val="bottom"/>
          </w:tcPr>
          <w:p>
            <w:pPr>
              <w:jc w:val="center"/>
              <w:spacing w:after="0"/>
              <w:rPr>
                <w:sz w:val="20"/>
                <w:szCs w:val="20"/>
                <w:color w:val="auto"/>
              </w:rPr>
            </w:pPr>
            <w:r>
              <w:rPr>
                <w:rFonts w:ascii="Arial" w:cs="Arial" w:eastAsia="Arial" w:hAnsi="Arial"/>
                <w:sz w:val="14"/>
                <w:szCs w:val="14"/>
                <w:color w:val="auto"/>
                <w:w w:val="89"/>
              </w:rPr>
              <w:t>26</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90</w:t>
            </w:r>
          </w:p>
        </w:tc>
        <w:tc>
          <w:tcPr>
            <w:tcW w:w="1280" w:type="dxa"/>
            <w:vAlign w:val="bottom"/>
          </w:tcPr>
          <w:p>
            <w:pPr>
              <w:jc w:val="center"/>
              <w:ind w:right="30"/>
              <w:spacing w:after="0"/>
              <w:rPr>
                <w:sz w:val="20"/>
                <w:szCs w:val="20"/>
                <w:color w:val="auto"/>
              </w:rPr>
            </w:pPr>
            <w:r>
              <w:rPr>
                <w:rFonts w:ascii="Arial" w:cs="Arial" w:eastAsia="Arial" w:hAnsi="Arial"/>
                <w:sz w:val="14"/>
                <w:szCs w:val="14"/>
                <w:color w:val="auto"/>
                <w:w w:val="89"/>
              </w:rPr>
              <w:t>29</w:t>
            </w:r>
          </w:p>
        </w:tc>
        <w:tc>
          <w:tcPr>
            <w:tcW w:w="1040" w:type="dxa"/>
            <w:vAlign w:val="bottom"/>
          </w:tcPr>
          <w:p>
            <w:pPr>
              <w:jc w:val="center"/>
              <w:ind w:right="50"/>
              <w:spacing w:after="0"/>
              <w:rPr>
                <w:sz w:val="20"/>
                <w:szCs w:val="20"/>
                <w:color w:val="auto"/>
              </w:rPr>
            </w:pPr>
            <w:r>
              <w:rPr>
                <w:rFonts w:ascii="Arial" w:cs="Arial" w:eastAsia="Arial" w:hAnsi="Arial"/>
                <w:sz w:val="14"/>
                <w:szCs w:val="14"/>
                <w:color w:val="auto"/>
                <w:w w:val="85"/>
              </w:rPr>
              <w:t>585</w:t>
            </w:r>
          </w:p>
        </w:tc>
        <w:tc>
          <w:tcPr>
            <w:tcW w:w="0" w:type="dxa"/>
            <w:vAlign w:val="bottom"/>
          </w:tcPr>
          <w:p>
            <w:pPr>
              <w:spacing w:after="0"/>
              <w:rPr>
                <w:sz w:val="1"/>
                <w:szCs w:val="1"/>
                <w:color w:val="auto"/>
              </w:rPr>
            </w:pPr>
          </w:p>
        </w:tc>
      </w:tr>
      <w:tr>
        <w:trPr>
          <w:trHeight w:val="153"/>
        </w:trPr>
        <w:tc>
          <w:tcPr>
            <w:tcW w:w="2440" w:type="dxa"/>
            <w:vAlign w:val="bottom"/>
            <w:vMerge w:val="continue"/>
          </w:tcPr>
          <w:p>
            <w:pPr>
              <w:spacing w:after="0"/>
              <w:rPr>
                <w:sz w:val="13"/>
                <w:szCs w:val="13"/>
                <w:color w:val="auto"/>
              </w:rPr>
            </w:pPr>
          </w:p>
        </w:tc>
        <w:tc>
          <w:tcPr>
            <w:tcW w:w="1180" w:type="dxa"/>
            <w:vAlign w:val="bottom"/>
            <w:vMerge w:val="restart"/>
          </w:tcPr>
          <w:p>
            <w:pPr>
              <w:ind w:left="4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70"/>
              <w:spacing w:after="0"/>
              <w:rPr>
                <w:sz w:val="20"/>
                <w:szCs w:val="20"/>
                <w:color w:val="auto"/>
              </w:rPr>
            </w:pPr>
            <w:r>
              <w:rPr>
                <w:rFonts w:ascii="Arial" w:cs="Arial" w:eastAsia="Arial" w:hAnsi="Arial"/>
                <w:sz w:val="14"/>
                <w:szCs w:val="14"/>
                <w:color w:val="auto"/>
                <w:w w:val="90"/>
              </w:rPr>
              <w:t>133,972</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88"/>
              </w:rPr>
              <w:t>25,946</w:t>
            </w:r>
          </w:p>
        </w:tc>
        <w:tc>
          <w:tcPr>
            <w:tcW w:w="1280" w:type="dxa"/>
            <w:vAlign w:val="bottom"/>
            <w:vMerge w:val="restart"/>
          </w:tcPr>
          <w:p>
            <w:pPr>
              <w:jc w:val="center"/>
              <w:ind w:left="10"/>
              <w:spacing w:after="0"/>
              <w:rPr>
                <w:sz w:val="20"/>
                <w:szCs w:val="20"/>
                <w:color w:val="auto"/>
              </w:rPr>
            </w:pPr>
            <w:r>
              <w:rPr>
                <w:rFonts w:ascii="Arial" w:cs="Arial" w:eastAsia="Arial" w:hAnsi="Arial"/>
                <w:sz w:val="14"/>
                <w:szCs w:val="14"/>
                <w:color w:val="auto"/>
                <w:w w:val="91"/>
              </w:rPr>
              <w:t>8,110</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88"/>
              </w:rPr>
              <w:t>30,008</w:t>
            </w:r>
          </w:p>
        </w:tc>
        <w:tc>
          <w:tcPr>
            <w:tcW w:w="1280" w:type="dxa"/>
            <w:vAlign w:val="bottom"/>
            <w:vMerge w:val="restart"/>
          </w:tcPr>
          <w:p>
            <w:pPr>
              <w:jc w:val="center"/>
              <w:ind w:right="10"/>
              <w:spacing w:after="0"/>
              <w:rPr>
                <w:sz w:val="20"/>
                <w:szCs w:val="20"/>
                <w:color w:val="auto"/>
              </w:rPr>
            </w:pPr>
            <w:r>
              <w:rPr>
                <w:rFonts w:ascii="Arial" w:cs="Arial" w:eastAsia="Arial" w:hAnsi="Arial"/>
                <w:sz w:val="14"/>
                <w:szCs w:val="14"/>
                <w:color w:val="auto"/>
                <w:w w:val="91"/>
              </w:rPr>
              <w:t>7,789</w:t>
            </w:r>
          </w:p>
        </w:tc>
        <w:tc>
          <w:tcPr>
            <w:tcW w:w="1040" w:type="dxa"/>
            <w:vAlign w:val="bottom"/>
            <w:vMerge w:val="restart"/>
          </w:tcPr>
          <w:p>
            <w:pPr>
              <w:jc w:val="center"/>
              <w:ind w:right="30"/>
              <w:spacing w:after="0"/>
              <w:rPr>
                <w:sz w:val="20"/>
                <w:szCs w:val="20"/>
                <w:color w:val="auto"/>
              </w:rPr>
            </w:pPr>
            <w:r>
              <w:rPr>
                <w:rFonts w:ascii="Arial" w:cs="Arial" w:eastAsia="Arial" w:hAnsi="Arial"/>
                <w:sz w:val="14"/>
                <w:szCs w:val="14"/>
                <w:color w:val="auto"/>
                <w:w w:val="90"/>
              </w:rPr>
              <w:t>205,825</w:t>
            </w:r>
          </w:p>
        </w:tc>
        <w:tc>
          <w:tcPr>
            <w:tcW w:w="0" w:type="dxa"/>
            <w:vAlign w:val="bottom"/>
          </w:tcPr>
          <w:p>
            <w:pPr>
              <w:spacing w:after="0"/>
              <w:rPr>
                <w:sz w:val="1"/>
                <w:szCs w:val="1"/>
                <w:color w:val="auto"/>
              </w:rPr>
            </w:pPr>
          </w:p>
        </w:tc>
      </w:tr>
      <w:tr>
        <w:trPr>
          <w:trHeight w:val="52"/>
        </w:trPr>
        <w:tc>
          <w:tcPr>
            <w:tcW w:w="24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440" w:type="dxa"/>
            <w:vAlign w:val="bottom"/>
            <w:vMerge w:val="restart"/>
          </w:tcPr>
          <w:p>
            <w:pPr>
              <w:ind w:left="20"/>
              <w:spacing w:after="0"/>
              <w:rPr>
                <w:sz w:val="20"/>
                <w:szCs w:val="20"/>
                <w:color w:val="auto"/>
              </w:rPr>
            </w:pPr>
            <w:r>
              <w:rPr>
                <w:rFonts w:ascii="Arial" w:cs="Arial" w:eastAsia="Arial" w:hAnsi="Arial"/>
                <w:sz w:val="14"/>
                <w:szCs w:val="14"/>
                <w:color w:val="auto"/>
              </w:rPr>
              <w:t>Sheraton</w:t>
            </w:r>
            <w:r>
              <w:rPr>
                <w:rFonts w:ascii="Arial" w:cs="Arial" w:eastAsia="Arial" w:hAnsi="Arial"/>
                <w:sz w:val="18"/>
                <w:szCs w:val="18"/>
                <w:color w:val="auto"/>
                <w:vertAlign w:val="superscript"/>
              </w:rPr>
              <w:t>®</w:t>
            </w:r>
          </w:p>
        </w:tc>
        <w:tc>
          <w:tcPr>
            <w:tcW w:w="118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70"/>
              <w:spacing w:after="0"/>
              <w:rPr>
                <w:sz w:val="20"/>
                <w:szCs w:val="20"/>
                <w:color w:val="auto"/>
              </w:rPr>
            </w:pPr>
            <w:r>
              <w:rPr>
                <w:rFonts w:ascii="Arial" w:cs="Arial" w:eastAsia="Arial" w:hAnsi="Arial"/>
                <w:sz w:val="14"/>
                <w:szCs w:val="14"/>
                <w:color w:val="auto"/>
                <w:w w:val="94"/>
              </w:rPr>
              <w:t>183</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62</w:t>
            </w:r>
          </w:p>
        </w:tc>
        <w:tc>
          <w:tcPr>
            <w:tcW w:w="1280" w:type="dxa"/>
            <w:vAlign w:val="bottom"/>
          </w:tcPr>
          <w:p>
            <w:pPr>
              <w:jc w:val="center"/>
              <w:spacing w:after="0"/>
              <w:rPr>
                <w:sz w:val="20"/>
                <w:szCs w:val="20"/>
                <w:color w:val="auto"/>
              </w:rPr>
            </w:pPr>
            <w:r>
              <w:rPr>
                <w:rFonts w:ascii="Arial" w:cs="Arial" w:eastAsia="Arial" w:hAnsi="Arial"/>
                <w:sz w:val="14"/>
                <w:szCs w:val="14"/>
                <w:color w:val="auto"/>
                <w:w w:val="89"/>
              </w:rPr>
              <w:t>30</w:t>
            </w: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136</w:t>
            </w:r>
          </w:p>
        </w:tc>
        <w:tc>
          <w:tcPr>
            <w:tcW w:w="1280" w:type="dxa"/>
            <w:vAlign w:val="bottom"/>
          </w:tcPr>
          <w:p>
            <w:pPr>
              <w:jc w:val="center"/>
              <w:ind w:right="30"/>
              <w:spacing w:after="0"/>
              <w:rPr>
                <w:sz w:val="20"/>
                <w:szCs w:val="20"/>
                <w:color w:val="auto"/>
              </w:rPr>
            </w:pPr>
            <w:r>
              <w:rPr>
                <w:rFonts w:ascii="Arial" w:cs="Arial" w:eastAsia="Arial" w:hAnsi="Arial"/>
                <w:sz w:val="14"/>
                <w:szCs w:val="14"/>
                <w:color w:val="auto"/>
                <w:w w:val="89"/>
              </w:rPr>
              <w:t>31</w:t>
            </w:r>
          </w:p>
        </w:tc>
        <w:tc>
          <w:tcPr>
            <w:tcW w:w="1040" w:type="dxa"/>
            <w:vAlign w:val="bottom"/>
          </w:tcPr>
          <w:p>
            <w:pPr>
              <w:jc w:val="center"/>
              <w:ind w:right="50"/>
              <w:spacing w:after="0"/>
              <w:rPr>
                <w:sz w:val="20"/>
                <w:szCs w:val="20"/>
                <w:color w:val="auto"/>
              </w:rPr>
            </w:pPr>
            <w:r>
              <w:rPr>
                <w:rFonts w:ascii="Arial" w:cs="Arial" w:eastAsia="Arial" w:hAnsi="Arial"/>
                <w:sz w:val="14"/>
                <w:szCs w:val="14"/>
                <w:color w:val="auto"/>
                <w:w w:val="85"/>
              </w:rPr>
              <w:t>442</w:t>
            </w:r>
          </w:p>
        </w:tc>
        <w:tc>
          <w:tcPr>
            <w:tcW w:w="0" w:type="dxa"/>
            <w:vAlign w:val="bottom"/>
          </w:tcPr>
          <w:p>
            <w:pPr>
              <w:spacing w:after="0"/>
              <w:rPr>
                <w:sz w:val="1"/>
                <w:szCs w:val="1"/>
                <w:color w:val="auto"/>
              </w:rPr>
            </w:pPr>
          </w:p>
        </w:tc>
      </w:tr>
      <w:tr>
        <w:trPr>
          <w:trHeight w:val="153"/>
        </w:trPr>
        <w:tc>
          <w:tcPr>
            <w:tcW w:w="2440" w:type="dxa"/>
            <w:vAlign w:val="bottom"/>
            <w:vMerge w:val="continue"/>
          </w:tcPr>
          <w:p>
            <w:pPr>
              <w:spacing w:after="0"/>
              <w:rPr>
                <w:sz w:val="13"/>
                <w:szCs w:val="13"/>
                <w:color w:val="auto"/>
              </w:rPr>
            </w:pPr>
          </w:p>
        </w:tc>
        <w:tc>
          <w:tcPr>
            <w:tcW w:w="1180" w:type="dxa"/>
            <w:vAlign w:val="bottom"/>
            <w:vMerge w:val="restart"/>
          </w:tcPr>
          <w:p>
            <w:pPr>
              <w:ind w:left="4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70"/>
              <w:spacing w:after="0"/>
              <w:rPr>
                <w:sz w:val="20"/>
                <w:szCs w:val="20"/>
                <w:color w:val="auto"/>
              </w:rPr>
            </w:pPr>
            <w:r>
              <w:rPr>
                <w:rFonts w:ascii="Arial" w:cs="Arial" w:eastAsia="Arial" w:hAnsi="Arial"/>
                <w:sz w:val="14"/>
                <w:szCs w:val="14"/>
                <w:color w:val="auto"/>
                <w:w w:val="88"/>
              </w:rPr>
              <w:t>70,245</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88"/>
              </w:rPr>
              <w:t>16,900</w:t>
            </w:r>
          </w:p>
        </w:tc>
        <w:tc>
          <w:tcPr>
            <w:tcW w:w="1280" w:type="dxa"/>
            <w:vAlign w:val="bottom"/>
            <w:vMerge w:val="restart"/>
          </w:tcPr>
          <w:p>
            <w:pPr>
              <w:jc w:val="center"/>
              <w:ind w:left="10"/>
              <w:spacing w:after="0"/>
              <w:rPr>
                <w:sz w:val="20"/>
                <w:szCs w:val="20"/>
                <w:color w:val="auto"/>
              </w:rPr>
            </w:pPr>
            <w:r>
              <w:rPr>
                <w:rFonts w:ascii="Arial" w:cs="Arial" w:eastAsia="Arial" w:hAnsi="Arial"/>
                <w:sz w:val="14"/>
                <w:szCs w:val="14"/>
                <w:color w:val="auto"/>
                <w:w w:val="91"/>
              </w:rPr>
              <w:t>9,299</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88"/>
              </w:rPr>
              <w:t>49,399</w:t>
            </w:r>
          </w:p>
        </w:tc>
        <w:tc>
          <w:tcPr>
            <w:tcW w:w="1280" w:type="dxa"/>
            <w:vAlign w:val="bottom"/>
            <w:vMerge w:val="restart"/>
          </w:tcPr>
          <w:p>
            <w:pPr>
              <w:jc w:val="center"/>
              <w:ind w:right="10"/>
              <w:spacing w:after="0"/>
              <w:rPr>
                <w:sz w:val="20"/>
                <w:szCs w:val="20"/>
                <w:color w:val="auto"/>
              </w:rPr>
            </w:pPr>
            <w:r>
              <w:rPr>
                <w:rFonts w:ascii="Arial" w:cs="Arial" w:eastAsia="Arial" w:hAnsi="Arial"/>
                <w:sz w:val="14"/>
                <w:szCs w:val="14"/>
                <w:color w:val="auto"/>
                <w:w w:val="91"/>
              </w:rPr>
              <w:t>8,613</w:t>
            </w:r>
          </w:p>
        </w:tc>
        <w:tc>
          <w:tcPr>
            <w:tcW w:w="1040" w:type="dxa"/>
            <w:vAlign w:val="bottom"/>
            <w:vMerge w:val="restart"/>
          </w:tcPr>
          <w:p>
            <w:pPr>
              <w:jc w:val="center"/>
              <w:ind w:right="30"/>
              <w:spacing w:after="0"/>
              <w:rPr>
                <w:sz w:val="20"/>
                <w:szCs w:val="20"/>
                <w:color w:val="auto"/>
              </w:rPr>
            </w:pPr>
            <w:r>
              <w:rPr>
                <w:rFonts w:ascii="Arial" w:cs="Arial" w:eastAsia="Arial" w:hAnsi="Arial"/>
                <w:sz w:val="14"/>
                <w:szCs w:val="14"/>
                <w:color w:val="auto"/>
                <w:w w:val="90"/>
              </w:rPr>
              <w:t>154,456</w:t>
            </w:r>
          </w:p>
        </w:tc>
        <w:tc>
          <w:tcPr>
            <w:tcW w:w="0" w:type="dxa"/>
            <w:vAlign w:val="bottom"/>
          </w:tcPr>
          <w:p>
            <w:pPr>
              <w:spacing w:after="0"/>
              <w:rPr>
                <w:sz w:val="1"/>
                <w:szCs w:val="1"/>
                <w:color w:val="auto"/>
              </w:rPr>
            </w:pPr>
          </w:p>
        </w:tc>
      </w:tr>
      <w:tr>
        <w:trPr>
          <w:trHeight w:val="52"/>
        </w:trPr>
        <w:tc>
          <w:tcPr>
            <w:tcW w:w="24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440" w:type="dxa"/>
            <w:vAlign w:val="bottom"/>
            <w:vMerge w:val="restart"/>
          </w:tcPr>
          <w:p>
            <w:pPr>
              <w:ind w:left="20"/>
              <w:spacing w:after="0"/>
              <w:rPr>
                <w:sz w:val="20"/>
                <w:szCs w:val="20"/>
                <w:color w:val="auto"/>
              </w:rPr>
            </w:pPr>
            <w:r>
              <w:rPr>
                <w:rFonts w:ascii="Arial" w:cs="Arial" w:eastAsia="Arial" w:hAnsi="Arial"/>
                <w:sz w:val="14"/>
                <w:szCs w:val="14"/>
                <w:color w:val="auto"/>
              </w:rPr>
              <w:t>Westin</w:t>
            </w:r>
            <w:r>
              <w:rPr>
                <w:rFonts w:ascii="Arial" w:cs="Arial" w:eastAsia="Arial" w:hAnsi="Arial"/>
                <w:sz w:val="18"/>
                <w:szCs w:val="18"/>
                <w:color w:val="auto"/>
                <w:vertAlign w:val="superscript"/>
              </w:rPr>
              <w:t>®</w:t>
            </w:r>
          </w:p>
        </w:tc>
        <w:tc>
          <w:tcPr>
            <w:tcW w:w="118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70"/>
              <w:spacing w:after="0"/>
              <w:rPr>
                <w:sz w:val="20"/>
                <w:szCs w:val="20"/>
                <w:color w:val="auto"/>
              </w:rPr>
            </w:pPr>
            <w:r>
              <w:rPr>
                <w:rFonts w:ascii="Arial" w:cs="Arial" w:eastAsia="Arial" w:hAnsi="Arial"/>
                <w:sz w:val="14"/>
                <w:szCs w:val="14"/>
                <w:color w:val="auto"/>
                <w:w w:val="94"/>
              </w:rPr>
              <w:t>130</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17</w:t>
            </w:r>
          </w:p>
        </w:tc>
        <w:tc>
          <w:tcPr>
            <w:tcW w:w="1280" w:type="dxa"/>
            <w:vAlign w:val="bottom"/>
          </w:tcPr>
          <w:p>
            <w:pPr>
              <w:jc w:val="center"/>
              <w:ind w:left="10"/>
              <w:spacing w:after="0"/>
              <w:rPr>
                <w:sz w:val="20"/>
                <w:szCs w:val="20"/>
                <w:color w:val="auto"/>
              </w:rPr>
            </w:pPr>
            <w:r>
              <w:rPr>
                <w:rFonts w:ascii="Arial" w:cs="Arial" w:eastAsia="Arial" w:hAnsi="Arial"/>
                <w:sz w:val="14"/>
                <w:szCs w:val="14"/>
                <w:color w:val="auto"/>
              </w:rPr>
              <w:t>7</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58</w:t>
            </w:r>
          </w:p>
        </w:tc>
        <w:tc>
          <w:tcPr>
            <w:tcW w:w="1280" w:type="dxa"/>
            <w:vAlign w:val="bottom"/>
          </w:tcPr>
          <w:p>
            <w:pPr>
              <w:jc w:val="center"/>
              <w:ind w:right="30"/>
              <w:spacing w:after="0"/>
              <w:rPr>
                <w:sz w:val="20"/>
                <w:szCs w:val="20"/>
                <w:color w:val="auto"/>
              </w:rPr>
            </w:pPr>
            <w:r>
              <w:rPr>
                <w:rFonts w:ascii="Arial" w:cs="Arial" w:eastAsia="Arial" w:hAnsi="Arial"/>
                <w:sz w:val="14"/>
                <w:szCs w:val="14"/>
                <w:color w:val="auto"/>
                <w:w w:val="89"/>
              </w:rPr>
              <w:t>13</w:t>
            </w:r>
          </w:p>
        </w:tc>
        <w:tc>
          <w:tcPr>
            <w:tcW w:w="1040" w:type="dxa"/>
            <w:vAlign w:val="bottom"/>
          </w:tcPr>
          <w:p>
            <w:pPr>
              <w:jc w:val="center"/>
              <w:ind w:right="50"/>
              <w:spacing w:after="0"/>
              <w:rPr>
                <w:sz w:val="20"/>
                <w:szCs w:val="20"/>
                <w:color w:val="auto"/>
              </w:rPr>
            </w:pPr>
            <w:r>
              <w:rPr>
                <w:rFonts w:ascii="Arial" w:cs="Arial" w:eastAsia="Arial" w:hAnsi="Arial"/>
                <w:sz w:val="14"/>
                <w:szCs w:val="14"/>
                <w:color w:val="auto"/>
                <w:w w:val="85"/>
              </w:rPr>
              <w:t>225</w:t>
            </w:r>
          </w:p>
        </w:tc>
        <w:tc>
          <w:tcPr>
            <w:tcW w:w="0" w:type="dxa"/>
            <w:vAlign w:val="bottom"/>
          </w:tcPr>
          <w:p>
            <w:pPr>
              <w:spacing w:after="0"/>
              <w:rPr>
                <w:sz w:val="1"/>
                <w:szCs w:val="1"/>
                <w:color w:val="auto"/>
              </w:rPr>
            </w:pPr>
          </w:p>
        </w:tc>
      </w:tr>
      <w:tr>
        <w:trPr>
          <w:trHeight w:val="153"/>
        </w:trPr>
        <w:tc>
          <w:tcPr>
            <w:tcW w:w="2440" w:type="dxa"/>
            <w:vAlign w:val="bottom"/>
            <w:vMerge w:val="continue"/>
          </w:tcPr>
          <w:p>
            <w:pPr>
              <w:spacing w:after="0"/>
              <w:rPr>
                <w:sz w:val="13"/>
                <w:szCs w:val="13"/>
                <w:color w:val="auto"/>
              </w:rPr>
            </w:pPr>
          </w:p>
        </w:tc>
        <w:tc>
          <w:tcPr>
            <w:tcW w:w="1180" w:type="dxa"/>
            <w:vAlign w:val="bottom"/>
            <w:vMerge w:val="restart"/>
          </w:tcPr>
          <w:p>
            <w:pPr>
              <w:ind w:left="4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70"/>
              <w:spacing w:after="0"/>
              <w:rPr>
                <w:sz w:val="20"/>
                <w:szCs w:val="20"/>
                <w:color w:val="auto"/>
              </w:rPr>
            </w:pPr>
            <w:r>
              <w:rPr>
                <w:rFonts w:ascii="Arial" w:cs="Arial" w:eastAsia="Arial" w:hAnsi="Arial"/>
                <w:sz w:val="14"/>
                <w:szCs w:val="14"/>
                <w:color w:val="auto"/>
                <w:w w:val="88"/>
              </w:rPr>
              <w:t>52,705</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85"/>
              </w:rPr>
              <w:t>5,686</w:t>
            </w:r>
          </w:p>
        </w:tc>
        <w:tc>
          <w:tcPr>
            <w:tcW w:w="1280" w:type="dxa"/>
            <w:vAlign w:val="bottom"/>
            <w:vMerge w:val="restart"/>
          </w:tcPr>
          <w:p>
            <w:pPr>
              <w:jc w:val="center"/>
              <w:ind w:left="10"/>
              <w:spacing w:after="0"/>
              <w:rPr>
                <w:sz w:val="20"/>
                <w:szCs w:val="20"/>
                <w:color w:val="auto"/>
              </w:rPr>
            </w:pPr>
            <w:r>
              <w:rPr>
                <w:rFonts w:ascii="Arial" w:cs="Arial" w:eastAsia="Arial" w:hAnsi="Arial"/>
                <w:sz w:val="14"/>
                <w:szCs w:val="14"/>
                <w:color w:val="auto"/>
                <w:w w:val="91"/>
              </w:rPr>
              <w:t>1,839</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88"/>
              </w:rPr>
              <w:t>17,751</w:t>
            </w:r>
          </w:p>
        </w:tc>
        <w:tc>
          <w:tcPr>
            <w:tcW w:w="1280" w:type="dxa"/>
            <w:vAlign w:val="bottom"/>
            <w:vMerge w:val="restart"/>
          </w:tcPr>
          <w:p>
            <w:pPr>
              <w:jc w:val="center"/>
              <w:ind w:right="10"/>
              <w:spacing w:after="0"/>
              <w:rPr>
                <w:sz w:val="20"/>
                <w:szCs w:val="20"/>
                <w:color w:val="auto"/>
              </w:rPr>
            </w:pPr>
            <w:r>
              <w:rPr>
                <w:rFonts w:ascii="Arial" w:cs="Arial" w:eastAsia="Arial" w:hAnsi="Arial"/>
                <w:sz w:val="14"/>
                <w:szCs w:val="14"/>
                <w:color w:val="auto"/>
                <w:w w:val="91"/>
              </w:rPr>
              <w:t>3,819</w:t>
            </w:r>
          </w:p>
        </w:tc>
        <w:tc>
          <w:tcPr>
            <w:tcW w:w="1040" w:type="dxa"/>
            <w:vAlign w:val="bottom"/>
            <w:vMerge w:val="restart"/>
          </w:tcPr>
          <w:p>
            <w:pPr>
              <w:jc w:val="center"/>
              <w:ind w:right="30"/>
              <w:spacing w:after="0"/>
              <w:rPr>
                <w:sz w:val="20"/>
                <w:szCs w:val="20"/>
                <w:color w:val="auto"/>
              </w:rPr>
            </w:pPr>
            <w:r>
              <w:rPr>
                <w:rFonts w:ascii="Arial" w:cs="Arial" w:eastAsia="Arial" w:hAnsi="Arial"/>
                <w:sz w:val="14"/>
                <w:szCs w:val="14"/>
                <w:color w:val="auto"/>
                <w:w w:val="88"/>
              </w:rPr>
              <w:t>81,800</w:t>
            </w:r>
          </w:p>
        </w:tc>
        <w:tc>
          <w:tcPr>
            <w:tcW w:w="0" w:type="dxa"/>
            <w:vAlign w:val="bottom"/>
          </w:tcPr>
          <w:p>
            <w:pPr>
              <w:spacing w:after="0"/>
              <w:rPr>
                <w:sz w:val="1"/>
                <w:szCs w:val="1"/>
                <w:color w:val="auto"/>
              </w:rPr>
            </w:pPr>
          </w:p>
        </w:tc>
      </w:tr>
      <w:tr>
        <w:trPr>
          <w:trHeight w:val="52"/>
        </w:trPr>
        <w:tc>
          <w:tcPr>
            <w:tcW w:w="24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440" w:type="dxa"/>
            <w:vAlign w:val="bottom"/>
            <w:vMerge w:val="restart"/>
          </w:tcPr>
          <w:p>
            <w:pPr>
              <w:ind w:left="20"/>
              <w:spacing w:after="0"/>
              <w:rPr>
                <w:sz w:val="20"/>
                <w:szCs w:val="20"/>
                <w:color w:val="auto"/>
              </w:rPr>
            </w:pPr>
            <w:r>
              <w:rPr>
                <w:rFonts w:ascii="Arial" w:cs="Arial" w:eastAsia="Arial" w:hAnsi="Arial"/>
                <w:sz w:val="14"/>
                <w:szCs w:val="14"/>
                <w:color w:val="auto"/>
              </w:rPr>
              <w:t>Renaissance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Hotels</w:t>
            </w:r>
          </w:p>
        </w:tc>
        <w:tc>
          <w:tcPr>
            <w:tcW w:w="118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70"/>
              <w:spacing w:after="0"/>
              <w:rPr>
                <w:sz w:val="20"/>
                <w:szCs w:val="20"/>
                <w:color w:val="auto"/>
              </w:rPr>
            </w:pPr>
            <w:r>
              <w:rPr>
                <w:rFonts w:ascii="Arial" w:cs="Arial" w:eastAsia="Arial" w:hAnsi="Arial"/>
                <w:sz w:val="14"/>
                <w:szCs w:val="14"/>
                <w:color w:val="auto"/>
                <w:w w:val="89"/>
              </w:rPr>
              <w:t>87</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33</w:t>
            </w:r>
          </w:p>
        </w:tc>
        <w:tc>
          <w:tcPr>
            <w:tcW w:w="1280" w:type="dxa"/>
            <w:vAlign w:val="bottom"/>
          </w:tcPr>
          <w:p>
            <w:pPr>
              <w:jc w:val="center"/>
              <w:ind w:left="10"/>
              <w:spacing w:after="0"/>
              <w:rPr>
                <w:sz w:val="20"/>
                <w:szCs w:val="20"/>
                <w:color w:val="auto"/>
              </w:rPr>
            </w:pPr>
            <w:r>
              <w:rPr>
                <w:rFonts w:ascii="Arial" w:cs="Arial" w:eastAsia="Arial" w:hAnsi="Arial"/>
                <w:sz w:val="14"/>
                <w:szCs w:val="14"/>
                <w:color w:val="auto"/>
              </w:rPr>
              <w:t>4</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43</w:t>
            </w:r>
          </w:p>
        </w:tc>
        <w:tc>
          <w:tcPr>
            <w:tcW w:w="1280" w:type="dxa"/>
            <w:vAlign w:val="bottom"/>
          </w:tcPr>
          <w:p>
            <w:pPr>
              <w:jc w:val="center"/>
              <w:ind w:right="10"/>
              <w:spacing w:after="0"/>
              <w:rPr>
                <w:sz w:val="20"/>
                <w:szCs w:val="20"/>
                <w:color w:val="auto"/>
              </w:rPr>
            </w:pPr>
            <w:r>
              <w:rPr>
                <w:rFonts w:ascii="Arial" w:cs="Arial" w:eastAsia="Arial" w:hAnsi="Arial"/>
                <w:sz w:val="14"/>
                <w:szCs w:val="14"/>
                <w:color w:val="auto"/>
              </w:rPr>
              <w:t>9</w:t>
            </w:r>
          </w:p>
        </w:tc>
        <w:tc>
          <w:tcPr>
            <w:tcW w:w="1040" w:type="dxa"/>
            <w:vAlign w:val="bottom"/>
          </w:tcPr>
          <w:p>
            <w:pPr>
              <w:jc w:val="center"/>
              <w:ind w:right="50"/>
              <w:spacing w:after="0"/>
              <w:rPr>
                <w:sz w:val="20"/>
                <w:szCs w:val="20"/>
                <w:color w:val="auto"/>
              </w:rPr>
            </w:pPr>
            <w:r>
              <w:rPr>
                <w:rFonts w:ascii="Arial" w:cs="Arial" w:eastAsia="Arial" w:hAnsi="Arial"/>
                <w:sz w:val="14"/>
                <w:szCs w:val="14"/>
                <w:color w:val="auto"/>
                <w:w w:val="85"/>
              </w:rPr>
              <w:t>176</w:t>
            </w:r>
          </w:p>
        </w:tc>
        <w:tc>
          <w:tcPr>
            <w:tcW w:w="0" w:type="dxa"/>
            <w:vAlign w:val="bottom"/>
          </w:tcPr>
          <w:p>
            <w:pPr>
              <w:spacing w:after="0"/>
              <w:rPr>
                <w:sz w:val="1"/>
                <w:szCs w:val="1"/>
                <w:color w:val="auto"/>
              </w:rPr>
            </w:pPr>
          </w:p>
        </w:tc>
      </w:tr>
      <w:tr>
        <w:trPr>
          <w:trHeight w:val="153"/>
        </w:trPr>
        <w:tc>
          <w:tcPr>
            <w:tcW w:w="2440" w:type="dxa"/>
            <w:vAlign w:val="bottom"/>
            <w:vMerge w:val="continue"/>
          </w:tcPr>
          <w:p>
            <w:pPr>
              <w:spacing w:after="0"/>
              <w:rPr>
                <w:sz w:val="13"/>
                <w:szCs w:val="13"/>
                <w:color w:val="auto"/>
              </w:rPr>
            </w:pPr>
          </w:p>
        </w:tc>
        <w:tc>
          <w:tcPr>
            <w:tcW w:w="1180" w:type="dxa"/>
            <w:vAlign w:val="bottom"/>
            <w:vMerge w:val="restart"/>
          </w:tcPr>
          <w:p>
            <w:pPr>
              <w:ind w:left="4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70"/>
              <w:spacing w:after="0"/>
              <w:rPr>
                <w:sz w:val="20"/>
                <w:szCs w:val="20"/>
                <w:color w:val="auto"/>
              </w:rPr>
            </w:pPr>
            <w:r>
              <w:rPr>
                <w:rFonts w:ascii="Arial" w:cs="Arial" w:eastAsia="Arial" w:hAnsi="Arial"/>
                <w:sz w:val="14"/>
                <w:szCs w:val="14"/>
                <w:color w:val="auto"/>
                <w:w w:val="88"/>
              </w:rPr>
              <w:t>28,880</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85"/>
              </w:rPr>
              <w:t>7,846</w:t>
            </w:r>
          </w:p>
        </w:tc>
        <w:tc>
          <w:tcPr>
            <w:tcW w:w="1280" w:type="dxa"/>
            <w:vAlign w:val="bottom"/>
            <w:vMerge w:val="restart"/>
          </w:tcPr>
          <w:p>
            <w:pPr>
              <w:jc w:val="center"/>
              <w:ind w:left="10"/>
              <w:spacing w:after="0"/>
              <w:rPr>
                <w:sz w:val="20"/>
                <w:szCs w:val="20"/>
                <w:color w:val="auto"/>
              </w:rPr>
            </w:pPr>
            <w:r>
              <w:rPr>
                <w:rFonts w:ascii="Arial" w:cs="Arial" w:eastAsia="Arial" w:hAnsi="Arial"/>
                <w:sz w:val="14"/>
                <w:szCs w:val="14"/>
                <w:color w:val="auto"/>
                <w:w w:val="91"/>
              </w:rPr>
              <w:t>1,035</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88"/>
              </w:rPr>
              <w:t>14,972</w:t>
            </w:r>
          </w:p>
        </w:tc>
        <w:tc>
          <w:tcPr>
            <w:tcW w:w="1280" w:type="dxa"/>
            <w:vAlign w:val="bottom"/>
            <w:vMerge w:val="restart"/>
          </w:tcPr>
          <w:p>
            <w:pPr>
              <w:jc w:val="center"/>
              <w:ind w:right="10"/>
              <w:spacing w:after="0"/>
              <w:rPr>
                <w:sz w:val="20"/>
                <w:szCs w:val="20"/>
                <w:color w:val="auto"/>
              </w:rPr>
            </w:pPr>
            <w:r>
              <w:rPr>
                <w:rFonts w:ascii="Arial" w:cs="Arial" w:eastAsia="Arial" w:hAnsi="Arial"/>
                <w:sz w:val="14"/>
                <w:szCs w:val="14"/>
                <w:color w:val="auto"/>
                <w:w w:val="91"/>
              </w:rPr>
              <w:t>2,745</w:t>
            </w:r>
          </w:p>
        </w:tc>
        <w:tc>
          <w:tcPr>
            <w:tcW w:w="1040" w:type="dxa"/>
            <w:vAlign w:val="bottom"/>
            <w:vMerge w:val="restart"/>
          </w:tcPr>
          <w:p>
            <w:pPr>
              <w:jc w:val="center"/>
              <w:ind w:right="30"/>
              <w:spacing w:after="0"/>
              <w:rPr>
                <w:sz w:val="20"/>
                <w:szCs w:val="20"/>
                <w:color w:val="auto"/>
              </w:rPr>
            </w:pPr>
            <w:r>
              <w:rPr>
                <w:rFonts w:ascii="Arial" w:cs="Arial" w:eastAsia="Arial" w:hAnsi="Arial"/>
                <w:sz w:val="14"/>
                <w:szCs w:val="14"/>
                <w:color w:val="auto"/>
                <w:w w:val="88"/>
              </w:rPr>
              <w:t>55,478</w:t>
            </w:r>
          </w:p>
        </w:tc>
        <w:tc>
          <w:tcPr>
            <w:tcW w:w="0" w:type="dxa"/>
            <w:vAlign w:val="bottom"/>
          </w:tcPr>
          <w:p>
            <w:pPr>
              <w:spacing w:after="0"/>
              <w:rPr>
                <w:sz w:val="1"/>
                <w:szCs w:val="1"/>
                <w:color w:val="auto"/>
              </w:rPr>
            </w:pPr>
          </w:p>
        </w:tc>
      </w:tr>
      <w:tr>
        <w:trPr>
          <w:trHeight w:val="52"/>
        </w:trPr>
        <w:tc>
          <w:tcPr>
            <w:tcW w:w="24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440" w:type="dxa"/>
            <w:vAlign w:val="bottom"/>
            <w:vMerge w:val="restart"/>
          </w:tcPr>
          <w:p>
            <w:pPr>
              <w:ind w:left="20"/>
              <w:spacing w:after="0"/>
              <w:rPr>
                <w:sz w:val="20"/>
                <w:szCs w:val="20"/>
                <w:color w:val="auto"/>
              </w:rPr>
            </w:pPr>
            <w:r>
              <w:rPr>
                <w:rFonts w:ascii="Arial" w:cs="Arial" w:eastAsia="Arial" w:hAnsi="Arial"/>
                <w:sz w:val="14"/>
                <w:szCs w:val="14"/>
                <w:color w:val="auto"/>
              </w:rPr>
              <w:t>Le Méridien</w:t>
            </w:r>
            <w:r>
              <w:rPr>
                <w:rFonts w:ascii="Arial" w:cs="Arial" w:eastAsia="Arial" w:hAnsi="Arial"/>
                <w:sz w:val="18"/>
                <w:szCs w:val="18"/>
                <w:color w:val="auto"/>
                <w:vertAlign w:val="superscript"/>
              </w:rPr>
              <w:t>®</w:t>
            </w:r>
          </w:p>
        </w:tc>
        <w:tc>
          <w:tcPr>
            <w:tcW w:w="118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70"/>
              <w:spacing w:after="0"/>
              <w:rPr>
                <w:sz w:val="20"/>
                <w:szCs w:val="20"/>
                <w:color w:val="auto"/>
              </w:rPr>
            </w:pPr>
            <w:r>
              <w:rPr>
                <w:rFonts w:ascii="Arial" w:cs="Arial" w:eastAsia="Arial" w:hAnsi="Arial"/>
                <w:sz w:val="14"/>
                <w:szCs w:val="14"/>
                <w:color w:val="auto"/>
                <w:w w:val="89"/>
              </w:rPr>
              <w:t>22</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16</w:t>
            </w:r>
          </w:p>
        </w:tc>
        <w:tc>
          <w:tcPr>
            <w:tcW w:w="1280" w:type="dxa"/>
            <w:vAlign w:val="bottom"/>
          </w:tcPr>
          <w:p>
            <w:pPr>
              <w:jc w:val="center"/>
              <w:spacing w:after="0"/>
              <w:rPr>
                <w:sz w:val="20"/>
                <w:szCs w:val="20"/>
                <w:color w:val="auto"/>
              </w:rPr>
            </w:pPr>
            <w:r>
              <w:rPr>
                <w:rFonts w:ascii="Arial" w:cs="Arial" w:eastAsia="Arial" w:hAnsi="Arial"/>
                <w:sz w:val="14"/>
                <w:szCs w:val="14"/>
                <w:color w:val="auto"/>
                <w:w w:val="89"/>
              </w:rPr>
              <w:t>22</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47</w:t>
            </w:r>
          </w:p>
        </w:tc>
        <w:tc>
          <w:tcPr>
            <w:tcW w:w="1280" w:type="dxa"/>
            <w:vAlign w:val="bottom"/>
          </w:tcPr>
          <w:p>
            <w:pPr>
              <w:jc w:val="center"/>
              <w:ind w:right="10"/>
              <w:spacing w:after="0"/>
              <w:rPr>
                <w:sz w:val="20"/>
                <w:szCs w:val="20"/>
                <w:color w:val="auto"/>
              </w:rPr>
            </w:pPr>
            <w:r>
              <w:rPr>
                <w:rFonts w:ascii="Arial" w:cs="Arial" w:eastAsia="Arial" w:hAnsi="Arial"/>
                <w:sz w:val="14"/>
                <w:szCs w:val="14"/>
                <w:color w:val="auto"/>
              </w:rPr>
              <w:t>2</w:t>
            </w:r>
          </w:p>
        </w:tc>
        <w:tc>
          <w:tcPr>
            <w:tcW w:w="1040" w:type="dxa"/>
            <w:vAlign w:val="bottom"/>
          </w:tcPr>
          <w:p>
            <w:pPr>
              <w:jc w:val="center"/>
              <w:ind w:right="50"/>
              <w:spacing w:after="0"/>
              <w:rPr>
                <w:sz w:val="20"/>
                <w:szCs w:val="20"/>
                <w:color w:val="auto"/>
              </w:rPr>
            </w:pPr>
            <w:r>
              <w:rPr>
                <w:rFonts w:ascii="Arial" w:cs="Arial" w:eastAsia="Arial" w:hAnsi="Arial"/>
                <w:sz w:val="14"/>
                <w:szCs w:val="14"/>
                <w:color w:val="auto"/>
                <w:w w:val="85"/>
              </w:rPr>
              <w:t>109</w:t>
            </w:r>
          </w:p>
        </w:tc>
        <w:tc>
          <w:tcPr>
            <w:tcW w:w="0" w:type="dxa"/>
            <w:vAlign w:val="bottom"/>
          </w:tcPr>
          <w:p>
            <w:pPr>
              <w:spacing w:after="0"/>
              <w:rPr>
                <w:sz w:val="1"/>
                <w:szCs w:val="1"/>
                <w:color w:val="auto"/>
              </w:rPr>
            </w:pPr>
          </w:p>
        </w:tc>
      </w:tr>
      <w:tr>
        <w:trPr>
          <w:trHeight w:val="153"/>
        </w:trPr>
        <w:tc>
          <w:tcPr>
            <w:tcW w:w="2440" w:type="dxa"/>
            <w:vAlign w:val="bottom"/>
            <w:vMerge w:val="continue"/>
          </w:tcPr>
          <w:p>
            <w:pPr>
              <w:spacing w:after="0"/>
              <w:rPr>
                <w:sz w:val="13"/>
                <w:szCs w:val="13"/>
                <w:color w:val="auto"/>
              </w:rPr>
            </w:pPr>
          </w:p>
        </w:tc>
        <w:tc>
          <w:tcPr>
            <w:tcW w:w="1180" w:type="dxa"/>
            <w:vAlign w:val="bottom"/>
            <w:vMerge w:val="restart"/>
          </w:tcPr>
          <w:p>
            <w:pPr>
              <w:ind w:left="4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50"/>
              <w:spacing w:after="0"/>
              <w:rPr>
                <w:sz w:val="20"/>
                <w:szCs w:val="20"/>
                <w:color w:val="auto"/>
              </w:rPr>
            </w:pPr>
            <w:r>
              <w:rPr>
                <w:rFonts w:ascii="Arial" w:cs="Arial" w:eastAsia="Arial" w:hAnsi="Arial"/>
                <w:sz w:val="14"/>
                <w:szCs w:val="14"/>
                <w:color w:val="auto"/>
                <w:w w:val="91"/>
              </w:rPr>
              <w:t>4,748</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85"/>
              </w:rPr>
              <w:t>4,997</w:t>
            </w:r>
          </w:p>
        </w:tc>
        <w:tc>
          <w:tcPr>
            <w:tcW w:w="1280" w:type="dxa"/>
            <w:vAlign w:val="bottom"/>
            <w:vMerge w:val="restart"/>
          </w:tcPr>
          <w:p>
            <w:pPr>
              <w:jc w:val="center"/>
              <w:ind w:left="10"/>
              <w:spacing w:after="0"/>
              <w:rPr>
                <w:sz w:val="20"/>
                <w:szCs w:val="20"/>
                <w:color w:val="auto"/>
              </w:rPr>
            </w:pPr>
            <w:r>
              <w:rPr>
                <w:rFonts w:ascii="Arial" w:cs="Arial" w:eastAsia="Arial" w:hAnsi="Arial"/>
                <w:sz w:val="14"/>
                <w:szCs w:val="14"/>
                <w:color w:val="auto"/>
                <w:w w:val="91"/>
              </w:rPr>
              <w:t>6,588</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88"/>
              </w:rPr>
              <w:t>12,683</w:t>
            </w:r>
          </w:p>
        </w:tc>
        <w:tc>
          <w:tcPr>
            <w:tcW w:w="1280" w:type="dxa"/>
            <w:vAlign w:val="bottom"/>
            <w:vMerge w:val="restart"/>
          </w:tcPr>
          <w:p>
            <w:pPr>
              <w:jc w:val="center"/>
              <w:ind w:right="10"/>
              <w:spacing w:after="0"/>
              <w:rPr>
                <w:sz w:val="20"/>
                <w:szCs w:val="20"/>
                <w:color w:val="auto"/>
              </w:rPr>
            </w:pPr>
            <w:r>
              <w:rPr>
                <w:rFonts w:ascii="Arial" w:cs="Arial" w:eastAsia="Arial" w:hAnsi="Arial"/>
                <w:sz w:val="14"/>
                <w:szCs w:val="14"/>
                <w:color w:val="auto"/>
                <w:w w:val="85"/>
              </w:rPr>
              <w:t>271</w:t>
            </w:r>
          </w:p>
        </w:tc>
        <w:tc>
          <w:tcPr>
            <w:tcW w:w="1040" w:type="dxa"/>
            <w:vAlign w:val="bottom"/>
            <w:vMerge w:val="restart"/>
          </w:tcPr>
          <w:p>
            <w:pPr>
              <w:jc w:val="center"/>
              <w:ind w:right="30"/>
              <w:spacing w:after="0"/>
              <w:rPr>
                <w:sz w:val="20"/>
                <w:szCs w:val="20"/>
                <w:color w:val="auto"/>
              </w:rPr>
            </w:pPr>
            <w:r>
              <w:rPr>
                <w:rFonts w:ascii="Arial" w:cs="Arial" w:eastAsia="Arial" w:hAnsi="Arial"/>
                <w:sz w:val="14"/>
                <w:szCs w:val="14"/>
                <w:color w:val="auto"/>
                <w:w w:val="88"/>
              </w:rPr>
              <w:t>29,287</w:t>
            </w:r>
          </w:p>
        </w:tc>
        <w:tc>
          <w:tcPr>
            <w:tcW w:w="0" w:type="dxa"/>
            <w:vAlign w:val="bottom"/>
          </w:tcPr>
          <w:p>
            <w:pPr>
              <w:spacing w:after="0"/>
              <w:rPr>
                <w:sz w:val="1"/>
                <w:szCs w:val="1"/>
                <w:color w:val="auto"/>
              </w:rPr>
            </w:pPr>
          </w:p>
        </w:tc>
      </w:tr>
      <w:tr>
        <w:trPr>
          <w:trHeight w:val="52"/>
        </w:trPr>
        <w:tc>
          <w:tcPr>
            <w:tcW w:w="24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440" w:type="dxa"/>
            <w:vAlign w:val="bottom"/>
            <w:vMerge w:val="restart"/>
          </w:tcPr>
          <w:p>
            <w:pPr>
              <w:ind w:left="20"/>
              <w:spacing w:after="0"/>
              <w:rPr>
                <w:sz w:val="20"/>
                <w:szCs w:val="20"/>
                <w:color w:val="auto"/>
              </w:rPr>
            </w:pPr>
            <w:r>
              <w:rPr>
                <w:rFonts w:ascii="Arial" w:cs="Arial" w:eastAsia="Arial" w:hAnsi="Arial"/>
                <w:sz w:val="14"/>
                <w:szCs w:val="14"/>
                <w:color w:val="auto"/>
              </w:rPr>
              <w:t>Autograph Collection</w:t>
            </w:r>
            <w:r>
              <w:rPr>
                <w:rFonts w:ascii="Arial" w:cs="Arial" w:eastAsia="Arial" w:hAnsi="Arial"/>
                <w:sz w:val="18"/>
                <w:szCs w:val="18"/>
                <w:color w:val="auto"/>
                <w:vertAlign w:val="superscript"/>
              </w:rPr>
              <w:t>®</w:t>
            </w:r>
            <w:r>
              <w:rPr>
                <w:rFonts w:ascii="Arial" w:cs="Arial" w:eastAsia="Arial" w:hAnsi="Arial"/>
                <w:sz w:val="14"/>
                <w:szCs w:val="14"/>
                <w:color w:val="auto"/>
              </w:rPr>
              <w:t xml:space="preserve"> Hotels </w:t>
            </w:r>
            <w:r>
              <w:rPr>
                <w:rFonts w:ascii="Arial" w:cs="Arial" w:eastAsia="Arial" w:hAnsi="Arial"/>
                <w:sz w:val="18"/>
                <w:szCs w:val="18"/>
                <w:color w:val="auto"/>
                <w:vertAlign w:val="superscript"/>
              </w:rPr>
              <w:t>(2)</w:t>
            </w:r>
          </w:p>
        </w:tc>
        <w:tc>
          <w:tcPr>
            <w:tcW w:w="118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70"/>
              <w:spacing w:after="0"/>
              <w:rPr>
                <w:sz w:val="20"/>
                <w:szCs w:val="20"/>
                <w:color w:val="auto"/>
              </w:rPr>
            </w:pPr>
            <w:r>
              <w:rPr>
                <w:rFonts w:ascii="Arial" w:cs="Arial" w:eastAsia="Arial" w:hAnsi="Arial"/>
                <w:sz w:val="14"/>
                <w:szCs w:val="14"/>
                <w:color w:val="auto"/>
                <w:w w:val="94"/>
              </w:rPr>
              <w:t>123</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54</w:t>
            </w:r>
          </w:p>
        </w:tc>
        <w:tc>
          <w:tcPr>
            <w:tcW w:w="1280" w:type="dxa"/>
            <w:vAlign w:val="bottom"/>
          </w:tcPr>
          <w:p>
            <w:pPr>
              <w:jc w:val="center"/>
              <w:ind w:left="10"/>
              <w:spacing w:after="0"/>
              <w:rPr>
                <w:sz w:val="20"/>
                <w:szCs w:val="20"/>
                <w:color w:val="auto"/>
              </w:rPr>
            </w:pPr>
            <w:r>
              <w:rPr>
                <w:rFonts w:ascii="Arial" w:cs="Arial" w:eastAsia="Arial" w:hAnsi="Arial"/>
                <w:sz w:val="14"/>
                <w:szCs w:val="14"/>
                <w:color w:val="auto"/>
              </w:rPr>
              <w:t>7</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12</w:t>
            </w:r>
          </w:p>
        </w:tc>
        <w:tc>
          <w:tcPr>
            <w:tcW w:w="1280" w:type="dxa"/>
            <w:vAlign w:val="bottom"/>
          </w:tcPr>
          <w:p>
            <w:pPr>
              <w:jc w:val="center"/>
              <w:ind w:right="30"/>
              <w:spacing w:after="0"/>
              <w:rPr>
                <w:sz w:val="20"/>
                <w:szCs w:val="20"/>
                <w:color w:val="auto"/>
              </w:rPr>
            </w:pPr>
            <w:r>
              <w:rPr>
                <w:rFonts w:ascii="Arial" w:cs="Arial" w:eastAsia="Arial" w:hAnsi="Arial"/>
                <w:sz w:val="14"/>
                <w:szCs w:val="14"/>
                <w:color w:val="auto"/>
                <w:w w:val="89"/>
              </w:rPr>
              <w:t>13</w:t>
            </w:r>
          </w:p>
        </w:tc>
        <w:tc>
          <w:tcPr>
            <w:tcW w:w="1040" w:type="dxa"/>
            <w:vAlign w:val="bottom"/>
          </w:tcPr>
          <w:p>
            <w:pPr>
              <w:jc w:val="center"/>
              <w:ind w:right="50"/>
              <w:spacing w:after="0"/>
              <w:rPr>
                <w:sz w:val="20"/>
                <w:szCs w:val="20"/>
                <w:color w:val="auto"/>
              </w:rPr>
            </w:pPr>
            <w:r>
              <w:rPr>
                <w:rFonts w:ascii="Arial" w:cs="Arial" w:eastAsia="Arial" w:hAnsi="Arial"/>
                <w:sz w:val="14"/>
                <w:szCs w:val="14"/>
                <w:color w:val="auto"/>
                <w:w w:val="85"/>
              </w:rPr>
              <w:t>209</w:t>
            </w:r>
          </w:p>
        </w:tc>
        <w:tc>
          <w:tcPr>
            <w:tcW w:w="0" w:type="dxa"/>
            <w:vAlign w:val="bottom"/>
          </w:tcPr>
          <w:p>
            <w:pPr>
              <w:spacing w:after="0"/>
              <w:rPr>
                <w:sz w:val="1"/>
                <w:szCs w:val="1"/>
                <w:color w:val="auto"/>
              </w:rPr>
            </w:pPr>
          </w:p>
        </w:tc>
      </w:tr>
      <w:tr>
        <w:trPr>
          <w:trHeight w:val="153"/>
        </w:trPr>
        <w:tc>
          <w:tcPr>
            <w:tcW w:w="2440" w:type="dxa"/>
            <w:vAlign w:val="bottom"/>
            <w:vMerge w:val="continue"/>
          </w:tcPr>
          <w:p>
            <w:pPr>
              <w:spacing w:after="0"/>
              <w:rPr>
                <w:sz w:val="13"/>
                <w:szCs w:val="13"/>
                <w:color w:val="auto"/>
              </w:rPr>
            </w:pPr>
          </w:p>
        </w:tc>
        <w:tc>
          <w:tcPr>
            <w:tcW w:w="1180" w:type="dxa"/>
            <w:vAlign w:val="bottom"/>
            <w:vMerge w:val="restart"/>
          </w:tcPr>
          <w:p>
            <w:pPr>
              <w:ind w:left="4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70"/>
              <w:spacing w:after="0"/>
              <w:rPr>
                <w:sz w:val="20"/>
                <w:szCs w:val="20"/>
                <w:color w:val="auto"/>
              </w:rPr>
            </w:pPr>
            <w:r>
              <w:rPr>
                <w:rFonts w:ascii="Arial" w:cs="Arial" w:eastAsia="Arial" w:hAnsi="Arial"/>
                <w:sz w:val="14"/>
                <w:szCs w:val="14"/>
                <w:color w:val="auto"/>
                <w:w w:val="88"/>
              </w:rPr>
              <w:t>25,449</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85"/>
              </w:rPr>
              <w:t>6,468</w:t>
            </w:r>
          </w:p>
        </w:tc>
        <w:tc>
          <w:tcPr>
            <w:tcW w:w="1280" w:type="dxa"/>
            <w:vAlign w:val="bottom"/>
            <w:vMerge w:val="restart"/>
          </w:tcPr>
          <w:p>
            <w:pPr>
              <w:jc w:val="center"/>
              <w:ind w:left="10"/>
              <w:spacing w:after="0"/>
              <w:rPr>
                <w:sz w:val="20"/>
                <w:szCs w:val="20"/>
                <w:color w:val="auto"/>
              </w:rPr>
            </w:pPr>
            <w:r>
              <w:rPr>
                <w:rFonts w:ascii="Arial" w:cs="Arial" w:eastAsia="Arial" w:hAnsi="Arial"/>
                <w:sz w:val="14"/>
                <w:szCs w:val="14"/>
                <w:color w:val="auto"/>
                <w:w w:val="91"/>
              </w:rPr>
              <w:t>1,640</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85"/>
              </w:rPr>
              <w:t>3,245</w:t>
            </w:r>
          </w:p>
        </w:tc>
        <w:tc>
          <w:tcPr>
            <w:tcW w:w="1280" w:type="dxa"/>
            <w:vAlign w:val="bottom"/>
            <w:vMerge w:val="restart"/>
          </w:tcPr>
          <w:p>
            <w:pPr>
              <w:jc w:val="center"/>
              <w:ind w:right="10"/>
              <w:spacing w:after="0"/>
              <w:rPr>
                <w:sz w:val="20"/>
                <w:szCs w:val="20"/>
                <w:color w:val="auto"/>
              </w:rPr>
            </w:pPr>
            <w:r>
              <w:rPr>
                <w:rFonts w:ascii="Arial" w:cs="Arial" w:eastAsia="Arial" w:hAnsi="Arial"/>
                <w:sz w:val="14"/>
                <w:szCs w:val="14"/>
                <w:color w:val="auto"/>
                <w:w w:val="91"/>
              </w:rPr>
              <w:t>3,751</w:t>
            </w:r>
          </w:p>
        </w:tc>
        <w:tc>
          <w:tcPr>
            <w:tcW w:w="1040" w:type="dxa"/>
            <w:vAlign w:val="bottom"/>
            <w:vMerge w:val="restart"/>
          </w:tcPr>
          <w:p>
            <w:pPr>
              <w:jc w:val="center"/>
              <w:ind w:right="30"/>
              <w:spacing w:after="0"/>
              <w:rPr>
                <w:sz w:val="20"/>
                <w:szCs w:val="20"/>
                <w:color w:val="auto"/>
              </w:rPr>
            </w:pPr>
            <w:r>
              <w:rPr>
                <w:rFonts w:ascii="Arial" w:cs="Arial" w:eastAsia="Arial" w:hAnsi="Arial"/>
                <w:sz w:val="14"/>
                <w:szCs w:val="14"/>
                <w:color w:val="auto"/>
                <w:w w:val="88"/>
              </w:rPr>
              <w:t>40,553</w:t>
            </w:r>
          </w:p>
        </w:tc>
        <w:tc>
          <w:tcPr>
            <w:tcW w:w="0" w:type="dxa"/>
            <w:vAlign w:val="bottom"/>
          </w:tcPr>
          <w:p>
            <w:pPr>
              <w:spacing w:after="0"/>
              <w:rPr>
                <w:sz w:val="1"/>
                <w:szCs w:val="1"/>
                <w:color w:val="auto"/>
              </w:rPr>
            </w:pPr>
          </w:p>
        </w:tc>
      </w:tr>
      <w:tr>
        <w:trPr>
          <w:trHeight w:val="52"/>
        </w:trPr>
        <w:tc>
          <w:tcPr>
            <w:tcW w:w="24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440" w:type="dxa"/>
            <w:vAlign w:val="bottom"/>
            <w:vMerge w:val="restart"/>
          </w:tcPr>
          <w:p>
            <w:pPr>
              <w:ind w:left="20"/>
              <w:spacing w:after="0"/>
              <w:rPr>
                <w:sz w:val="20"/>
                <w:szCs w:val="20"/>
                <w:color w:val="auto"/>
              </w:rPr>
            </w:pPr>
            <w:r>
              <w:rPr>
                <w:rFonts w:ascii="Arial" w:cs="Arial" w:eastAsia="Arial" w:hAnsi="Arial"/>
                <w:sz w:val="14"/>
                <w:szCs w:val="14"/>
                <w:color w:val="auto"/>
                <w:w w:val="94"/>
              </w:rPr>
              <w:t>Delta Hotels by Marriott</w:t>
            </w:r>
            <w:r>
              <w:rPr>
                <w:rFonts w:ascii="Arial" w:cs="Arial" w:eastAsia="Arial" w:hAnsi="Arial"/>
                <w:sz w:val="18"/>
                <w:szCs w:val="18"/>
                <w:color w:val="auto"/>
                <w:w w:val="94"/>
                <w:vertAlign w:val="superscript"/>
              </w:rPr>
              <w:t>®</w:t>
            </w:r>
            <w:r>
              <w:rPr>
                <w:rFonts w:ascii="Arial" w:cs="Arial" w:eastAsia="Arial" w:hAnsi="Arial"/>
                <w:sz w:val="14"/>
                <w:szCs w:val="14"/>
                <w:color w:val="auto"/>
                <w:w w:val="94"/>
              </w:rPr>
              <w:t xml:space="preserve"> (Delta Hotels</w:t>
            </w:r>
            <w:r>
              <w:rPr>
                <w:rFonts w:ascii="Arial" w:cs="Arial" w:eastAsia="Arial" w:hAnsi="Arial"/>
                <w:sz w:val="18"/>
                <w:szCs w:val="18"/>
                <w:color w:val="auto"/>
                <w:w w:val="94"/>
                <w:vertAlign w:val="superscript"/>
              </w:rPr>
              <w:t>®</w:t>
            </w:r>
            <w:r>
              <w:rPr>
                <w:rFonts w:ascii="Arial" w:cs="Arial" w:eastAsia="Arial" w:hAnsi="Arial"/>
                <w:sz w:val="14"/>
                <w:szCs w:val="14"/>
                <w:color w:val="auto"/>
                <w:w w:val="94"/>
              </w:rPr>
              <w:t>)</w:t>
            </w:r>
          </w:p>
        </w:tc>
        <w:tc>
          <w:tcPr>
            <w:tcW w:w="118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70"/>
              <w:spacing w:after="0"/>
              <w:rPr>
                <w:sz w:val="20"/>
                <w:szCs w:val="20"/>
                <w:color w:val="auto"/>
              </w:rPr>
            </w:pPr>
            <w:r>
              <w:rPr>
                <w:rFonts w:ascii="Arial" w:cs="Arial" w:eastAsia="Arial" w:hAnsi="Arial"/>
                <w:sz w:val="14"/>
                <w:szCs w:val="14"/>
                <w:color w:val="auto"/>
                <w:w w:val="89"/>
              </w:rPr>
              <w:t>77</w:t>
            </w: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5</w:t>
            </w:r>
          </w:p>
        </w:tc>
        <w:tc>
          <w:tcPr>
            <w:tcW w:w="1280" w:type="dxa"/>
            <w:vAlign w:val="bottom"/>
          </w:tcPr>
          <w:p>
            <w:pPr>
              <w:jc w:val="center"/>
              <w:ind w:left="10"/>
              <w:spacing w:after="0"/>
              <w:rPr>
                <w:sz w:val="20"/>
                <w:szCs w:val="20"/>
                <w:color w:val="auto"/>
              </w:rPr>
            </w:pPr>
            <w:r>
              <w:rPr>
                <w:rFonts w:ascii="Arial" w:cs="Arial" w:eastAsia="Arial" w:hAnsi="Arial"/>
                <w:sz w:val="14"/>
                <w:szCs w:val="14"/>
                <w:color w:val="auto"/>
              </w:rPr>
              <w:t>1</w:t>
            </w:r>
          </w:p>
        </w:tc>
        <w:tc>
          <w:tcPr>
            <w:tcW w:w="106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280" w:type="dxa"/>
            <w:vAlign w:val="bottom"/>
          </w:tcPr>
          <w:p>
            <w:pPr>
              <w:jc w:val="center"/>
              <w:ind w:right="30"/>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30"/>
              <w:spacing w:after="0"/>
              <w:rPr>
                <w:sz w:val="20"/>
                <w:szCs w:val="20"/>
                <w:color w:val="auto"/>
              </w:rPr>
            </w:pPr>
            <w:r>
              <w:rPr>
                <w:rFonts w:ascii="Arial" w:cs="Arial" w:eastAsia="Arial" w:hAnsi="Arial"/>
                <w:sz w:val="14"/>
                <w:szCs w:val="14"/>
                <w:color w:val="auto"/>
                <w:w w:val="89"/>
              </w:rPr>
              <w:t>85</w:t>
            </w:r>
          </w:p>
        </w:tc>
        <w:tc>
          <w:tcPr>
            <w:tcW w:w="0" w:type="dxa"/>
            <w:vAlign w:val="bottom"/>
          </w:tcPr>
          <w:p>
            <w:pPr>
              <w:spacing w:after="0"/>
              <w:rPr>
                <w:sz w:val="1"/>
                <w:szCs w:val="1"/>
                <w:color w:val="auto"/>
              </w:rPr>
            </w:pPr>
          </w:p>
        </w:tc>
      </w:tr>
      <w:tr>
        <w:trPr>
          <w:trHeight w:val="205"/>
        </w:trPr>
        <w:tc>
          <w:tcPr>
            <w:tcW w:w="2440" w:type="dxa"/>
            <w:vAlign w:val="bottom"/>
            <w:vMerge w:val="continue"/>
          </w:tcPr>
          <w:p>
            <w:pPr>
              <w:spacing w:after="0"/>
              <w:rPr>
                <w:sz w:val="17"/>
                <w:szCs w:val="17"/>
                <w:color w:val="auto"/>
              </w:rPr>
            </w:pPr>
          </w:p>
        </w:tc>
        <w:tc>
          <w:tcPr>
            <w:tcW w:w="1180" w:type="dxa"/>
            <w:vAlign w:val="bottom"/>
          </w:tcPr>
          <w:p>
            <w:pPr>
              <w:ind w:left="40"/>
              <w:spacing w:after="0"/>
              <w:rPr>
                <w:sz w:val="20"/>
                <w:szCs w:val="20"/>
                <w:color w:val="auto"/>
              </w:rPr>
            </w:pPr>
            <w:r>
              <w:rPr>
                <w:rFonts w:ascii="Arial" w:cs="Arial" w:eastAsia="Arial" w:hAnsi="Arial"/>
                <w:sz w:val="14"/>
                <w:szCs w:val="14"/>
                <w:color w:val="auto"/>
              </w:rPr>
              <w:t>Rooms</w:t>
            </w:r>
          </w:p>
        </w:tc>
        <w:tc>
          <w:tcPr>
            <w:tcW w:w="1440" w:type="dxa"/>
            <w:vAlign w:val="bottom"/>
          </w:tcPr>
          <w:p>
            <w:pPr>
              <w:jc w:val="center"/>
              <w:ind w:left="70"/>
              <w:spacing w:after="0"/>
              <w:rPr>
                <w:sz w:val="20"/>
                <w:szCs w:val="20"/>
                <w:color w:val="auto"/>
              </w:rPr>
            </w:pPr>
            <w:r>
              <w:rPr>
                <w:rFonts w:ascii="Arial" w:cs="Arial" w:eastAsia="Arial" w:hAnsi="Arial"/>
                <w:sz w:val="14"/>
                <w:szCs w:val="14"/>
                <w:color w:val="auto"/>
                <w:w w:val="88"/>
              </w:rPr>
              <w:t>18,226</w:t>
            </w: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728</w:t>
            </w:r>
          </w:p>
        </w:tc>
        <w:tc>
          <w:tcPr>
            <w:tcW w:w="1280" w:type="dxa"/>
            <w:vAlign w:val="bottom"/>
          </w:tcPr>
          <w:p>
            <w:pPr>
              <w:jc w:val="center"/>
              <w:ind w:left="10"/>
              <w:spacing w:after="0"/>
              <w:rPr>
                <w:sz w:val="20"/>
                <w:szCs w:val="20"/>
                <w:color w:val="auto"/>
              </w:rPr>
            </w:pPr>
            <w:r>
              <w:rPr>
                <w:rFonts w:ascii="Arial" w:cs="Arial" w:eastAsia="Arial" w:hAnsi="Arial"/>
                <w:sz w:val="14"/>
                <w:szCs w:val="14"/>
                <w:color w:val="auto"/>
                <w:w w:val="85"/>
              </w:rPr>
              <w:t>360</w:t>
            </w: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978</w:t>
            </w:r>
          </w:p>
        </w:tc>
        <w:tc>
          <w:tcPr>
            <w:tcW w:w="1280" w:type="dxa"/>
            <w:vAlign w:val="bottom"/>
          </w:tcPr>
          <w:p>
            <w:pPr>
              <w:jc w:val="center"/>
              <w:ind w:right="30"/>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30"/>
              <w:spacing w:after="0"/>
              <w:rPr>
                <w:sz w:val="20"/>
                <w:szCs w:val="20"/>
                <w:color w:val="auto"/>
              </w:rPr>
            </w:pPr>
            <w:r>
              <w:rPr>
                <w:rFonts w:ascii="Arial" w:cs="Arial" w:eastAsia="Arial" w:hAnsi="Arial"/>
                <w:sz w:val="14"/>
                <w:szCs w:val="14"/>
                <w:color w:val="auto"/>
                <w:w w:val="88"/>
              </w:rPr>
              <w:t>20,292</w:t>
            </w:r>
          </w:p>
        </w:tc>
        <w:tc>
          <w:tcPr>
            <w:tcW w:w="0" w:type="dxa"/>
            <w:vAlign w:val="bottom"/>
          </w:tcPr>
          <w:p>
            <w:pPr>
              <w:spacing w:after="0"/>
              <w:rPr>
                <w:sz w:val="1"/>
                <w:szCs w:val="1"/>
                <w:color w:val="auto"/>
              </w:rPr>
            </w:pPr>
          </w:p>
        </w:tc>
      </w:tr>
      <w:tr>
        <w:trPr>
          <w:trHeight w:val="24"/>
        </w:trPr>
        <w:tc>
          <w:tcPr>
            <w:tcW w:w="2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440" w:type="dxa"/>
            <w:vAlign w:val="bottom"/>
            <w:vMerge w:val="restart"/>
          </w:tcPr>
          <w:p>
            <w:pPr>
              <w:ind w:left="20"/>
              <w:spacing w:after="0"/>
              <w:rPr>
                <w:sz w:val="20"/>
                <w:szCs w:val="20"/>
                <w:color w:val="auto"/>
              </w:rPr>
            </w:pPr>
            <w:r>
              <w:rPr>
                <w:rFonts w:ascii="Arial" w:cs="Arial" w:eastAsia="Arial" w:hAnsi="Arial"/>
                <w:sz w:val="14"/>
                <w:szCs w:val="14"/>
                <w:color w:val="auto"/>
              </w:rPr>
              <w:t>Gaylord Hotels</w:t>
            </w:r>
            <w:r>
              <w:rPr>
                <w:rFonts w:ascii="Arial" w:cs="Arial" w:eastAsia="Arial" w:hAnsi="Arial"/>
                <w:sz w:val="18"/>
                <w:szCs w:val="18"/>
                <w:color w:val="auto"/>
                <w:vertAlign w:val="superscript"/>
              </w:rPr>
              <w:t>®</w:t>
            </w:r>
          </w:p>
        </w:tc>
        <w:tc>
          <w:tcPr>
            <w:tcW w:w="118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70"/>
              <w:spacing w:after="0"/>
              <w:rPr>
                <w:sz w:val="20"/>
                <w:szCs w:val="20"/>
                <w:color w:val="auto"/>
              </w:rPr>
            </w:pPr>
            <w:r>
              <w:rPr>
                <w:rFonts w:ascii="Arial" w:cs="Arial" w:eastAsia="Arial" w:hAnsi="Arial"/>
                <w:sz w:val="14"/>
                <w:szCs w:val="14"/>
                <w:color w:val="auto"/>
                <w:w w:val="76"/>
              </w:rPr>
              <w:t>6</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ind w:right="30"/>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5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53"/>
        </w:trPr>
        <w:tc>
          <w:tcPr>
            <w:tcW w:w="2440" w:type="dxa"/>
            <w:vAlign w:val="bottom"/>
            <w:vMerge w:val="continue"/>
          </w:tcPr>
          <w:p>
            <w:pPr>
              <w:spacing w:after="0"/>
              <w:rPr>
                <w:sz w:val="13"/>
                <w:szCs w:val="13"/>
                <w:color w:val="auto"/>
              </w:rPr>
            </w:pPr>
          </w:p>
        </w:tc>
        <w:tc>
          <w:tcPr>
            <w:tcW w:w="1180" w:type="dxa"/>
            <w:vAlign w:val="bottom"/>
            <w:vMerge w:val="restart"/>
          </w:tcPr>
          <w:p>
            <w:pPr>
              <w:ind w:left="4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50"/>
              <w:spacing w:after="0"/>
              <w:rPr>
                <w:sz w:val="20"/>
                <w:szCs w:val="20"/>
                <w:color w:val="auto"/>
              </w:rPr>
            </w:pPr>
            <w:r>
              <w:rPr>
                <w:rFonts w:ascii="Arial" w:cs="Arial" w:eastAsia="Arial" w:hAnsi="Arial"/>
                <w:sz w:val="14"/>
                <w:szCs w:val="14"/>
                <w:color w:val="auto"/>
                <w:w w:val="91"/>
              </w:rPr>
              <w:t>9,918</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vMerge w:val="restart"/>
          </w:tcPr>
          <w:p>
            <w:pPr>
              <w:jc w:val="center"/>
              <w:ind w:right="30"/>
              <w:spacing w:after="0"/>
              <w:rPr>
                <w:sz w:val="20"/>
                <w:szCs w:val="20"/>
                <w:color w:val="auto"/>
              </w:rPr>
            </w:pPr>
            <w:r>
              <w:rPr>
                <w:rFonts w:ascii="Arial" w:cs="Arial" w:eastAsia="Arial" w:hAnsi="Arial"/>
                <w:sz w:val="14"/>
                <w:szCs w:val="14"/>
                <w:color w:val="auto"/>
                <w:w w:val="99"/>
              </w:rPr>
              <w:t>—</w:t>
            </w:r>
          </w:p>
        </w:tc>
        <w:tc>
          <w:tcPr>
            <w:tcW w:w="1040" w:type="dxa"/>
            <w:vAlign w:val="bottom"/>
            <w:vMerge w:val="restart"/>
          </w:tcPr>
          <w:p>
            <w:pPr>
              <w:jc w:val="center"/>
              <w:ind w:right="50"/>
              <w:spacing w:after="0"/>
              <w:rPr>
                <w:sz w:val="20"/>
                <w:szCs w:val="20"/>
                <w:color w:val="auto"/>
              </w:rPr>
            </w:pPr>
            <w:r>
              <w:rPr>
                <w:rFonts w:ascii="Arial" w:cs="Arial" w:eastAsia="Arial" w:hAnsi="Arial"/>
                <w:sz w:val="14"/>
                <w:szCs w:val="14"/>
                <w:color w:val="auto"/>
                <w:w w:val="91"/>
              </w:rPr>
              <w:t>9,918</w:t>
            </w:r>
          </w:p>
        </w:tc>
        <w:tc>
          <w:tcPr>
            <w:tcW w:w="0" w:type="dxa"/>
            <w:vAlign w:val="bottom"/>
          </w:tcPr>
          <w:p>
            <w:pPr>
              <w:spacing w:after="0"/>
              <w:rPr>
                <w:sz w:val="1"/>
                <w:szCs w:val="1"/>
                <w:color w:val="auto"/>
              </w:rPr>
            </w:pPr>
          </w:p>
        </w:tc>
      </w:tr>
      <w:tr>
        <w:trPr>
          <w:trHeight w:val="52"/>
        </w:trPr>
        <w:tc>
          <w:tcPr>
            <w:tcW w:w="24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440" w:type="dxa"/>
            <w:vAlign w:val="bottom"/>
            <w:vMerge w:val="restart"/>
          </w:tcPr>
          <w:p>
            <w:pPr>
              <w:ind w:left="20"/>
              <w:spacing w:after="0"/>
              <w:rPr>
                <w:sz w:val="20"/>
                <w:szCs w:val="20"/>
                <w:color w:val="auto"/>
              </w:rPr>
            </w:pPr>
            <w:r>
              <w:rPr>
                <w:rFonts w:ascii="Arial" w:cs="Arial" w:eastAsia="Arial" w:hAnsi="Arial"/>
                <w:sz w:val="14"/>
                <w:szCs w:val="14"/>
                <w:color w:val="auto"/>
              </w:rPr>
              <w:t>Marriott Executive Apartments</w:t>
            </w:r>
            <w:r>
              <w:rPr>
                <w:rFonts w:ascii="Arial" w:cs="Arial" w:eastAsia="Arial" w:hAnsi="Arial"/>
                <w:sz w:val="18"/>
                <w:szCs w:val="18"/>
                <w:color w:val="auto"/>
                <w:vertAlign w:val="superscript"/>
              </w:rPr>
              <w:t>®</w:t>
            </w:r>
          </w:p>
        </w:tc>
        <w:tc>
          <w:tcPr>
            <w:tcW w:w="118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70"/>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4</w:t>
            </w:r>
          </w:p>
        </w:tc>
        <w:tc>
          <w:tcPr>
            <w:tcW w:w="1280" w:type="dxa"/>
            <w:vAlign w:val="bottom"/>
          </w:tcPr>
          <w:p>
            <w:pPr>
              <w:jc w:val="center"/>
              <w:spacing w:after="0"/>
              <w:rPr>
                <w:sz w:val="20"/>
                <w:szCs w:val="20"/>
                <w:color w:val="auto"/>
              </w:rPr>
            </w:pPr>
            <w:r>
              <w:rPr>
                <w:rFonts w:ascii="Arial" w:cs="Arial" w:eastAsia="Arial" w:hAnsi="Arial"/>
                <w:sz w:val="14"/>
                <w:szCs w:val="14"/>
                <w:color w:val="auto"/>
                <w:w w:val="89"/>
              </w:rPr>
              <w:t>10</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18</w:t>
            </w:r>
          </w:p>
        </w:tc>
        <w:tc>
          <w:tcPr>
            <w:tcW w:w="1280" w:type="dxa"/>
            <w:vAlign w:val="bottom"/>
          </w:tcPr>
          <w:p>
            <w:pPr>
              <w:jc w:val="center"/>
              <w:ind w:right="10"/>
              <w:spacing w:after="0"/>
              <w:rPr>
                <w:sz w:val="20"/>
                <w:szCs w:val="20"/>
                <w:color w:val="auto"/>
              </w:rPr>
            </w:pPr>
            <w:r>
              <w:rPr>
                <w:rFonts w:ascii="Arial" w:cs="Arial" w:eastAsia="Arial" w:hAnsi="Arial"/>
                <w:sz w:val="14"/>
                <w:szCs w:val="14"/>
                <w:color w:val="auto"/>
              </w:rPr>
              <w:t>2</w:t>
            </w:r>
          </w:p>
        </w:tc>
        <w:tc>
          <w:tcPr>
            <w:tcW w:w="1040" w:type="dxa"/>
            <w:vAlign w:val="bottom"/>
          </w:tcPr>
          <w:p>
            <w:pPr>
              <w:jc w:val="center"/>
              <w:ind w:right="30"/>
              <w:spacing w:after="0"/>
              <w:rPr>
                <w:sz w:val="20"/>
                <w:szCs w:val="20"/>
                <w:color w:val="auto"/>
              </w:rPr>
            </w:pPr>
            <w:r>
              <w:rPr>
                <w:rFonts w:ascii="Arial" w:cs="Arial" w:eastAsia="Arial" w:hAnsi="Arial"/>
                <w:sz w:val="14"/>
                <w:szCs w:val="14"/>
                <w:color w:val="auto"/>
                <w:w w:val="89"/>
              </w:rPr>
              <w:t>34</w:t>
            </w:r>
          </w:p>
        </w:tc>
        <w:tc>
          <w:tcPr>
            <w:tcW w:w="0" w:type="dxa"/>
            <w:vAlign w:val="bottom"/>
          </w:tcPr>
          <w:p>
            <w:pPr>
              <w:spacing w:after="0"/>
              <w:rPr>
                <w:sz w:val="1"/>
                <w:szCs w:val="1"/>
                <w:color w:val="auto"/>
              </w:rPr>
            </w:pPr>
          </w:p>
        </w:tc>
      </w:tr>
      <w:tr>
        <w:trPr>
          <w:trHeight w:val="153"/>
        </w:trPr>
        <w:tc>
          <w:tcPr>
            <w:tcW w:w="2440" w:type="dxa"/>
            <w:vAlign w:val="bottom"/>
            <w:vMerge w:val="continue"/>
          </w:tcPr>
          <w:p>
            <w:pPr>
              <w:spacing w:after="0"/>
              <w:rPr>
                <w:sz w:val="13"/>
                <w:szCs w:val="13"/>
                <w:color w:val="auto"/>
              </w:rPr>
            </w:pPr>
          </w:p>
        </w:tc>
        <w:tc>
          <w:tcPr>
            <w:tcW w:w="1180" w:type="dxa"/>
            <w:vAlign w:val="bottom"/>
            <w:vMerge w:val="restart"/>
          </w:tcPr>
          <w:p>
            <w:pPr>
              <w:ind w:left="4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70"/>
              <w:spacing w:after="0"/>
              <w:rPr>
                <w:sz w:val="20"/>
                <w:szCs w:val="20"/>
                <w:color w:val="auto"/>
              </w:rPr>
            </w:pPr>
            <w:r>
              <w:rPr>
                <w:rFonts w:ascii="Arial" w:cs="Arial" w:eastAsia="Arial" w:hAnsi="Arial"/>
                <w:sz w:val="14"/>
                <w:szCs w:val="14"/>
                <w:color w:val="auto"/>
                <w:w w:val="99"/>
              </w:rPr>
              <w:t>—</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94"/>
              </w:rPr>
              <w:t>361</w:t>
            </w:r>
          </w:p>
        </w:tc>
        <w:tc>
          <w:tcPr>
            <w:tcW w:w="1280" w:type="dxa"/>
            <w:vAlign w:val="bottom"/>
            <w:vMerge w:val="restart"/>
          </w:tcPr>
          <w:p>
            <w:pPr>
              <w:jc w:val="center"/>
              <w:ind w:left="10"/>
              <w:spacing w:after="0"/>
              <w:rPr>
                <w:sz w:val="20"/>
                <w:szCs w:val="20"/>
                <w:color w:val="auto"/>
              </w:rPr>
            </w:pPr>
            <w:r>
              <w:rPr>
                <w:rFonts w:ascii="Arial" w:cs="Arial" w:eastAsia="Arial" w:hAnsi="Arial"/>
                <w:sz w:val="14"/>
                <w:szCs w:val="14"/>
                <w:color w:val="auto"/>
                <w:w w:val="91"/>
              </w:rPr>
              <w:t>1,116</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85"/>
              </w:rPr>
              <w:t>3,161</w:t>
            </w:r>
          </w:p>
        </w:tc>
        <w:tc>
          <w:tcPr>
            <w:tcW w:w="1280" w:type="dxa"/>
            <w:vAlign w:val="bottom"/>
            <w:vMerge w:val="restart"/>
          </w:tcPr>
          <w:p>
            <w:pPr>
              <w:jc w:val="center"/>
              <w:ind w:right="10"/>
              <w:spacing w:after="0"/>
              <w:rPr>
                <w:sz w:val="20"/>
                <w:szCs w:val="20"/>
                <w:color w:val="auto"/>
              </w:rPr>
            </w:pPr>
            <w:r>
              <w:rPr>
                <w:rFonts w:ascii="Arial" w:cs="Arial" w:eastAsia="Arial" w:hAnsi="Arial"/>
                <w:sz w:val="14"/>
                <w:szCs w:val="14"/>
                <w:color w:val="auto"/>
                <w:w w:val="85"/>
              </w:rPr>
              <w:t>240</w:t>
            </w:r>
          </w:p>
        </w:tc>
        <w:tc>
          <w:tcPr>
            <w:tcW w:w="1040" w:type="dxa"/>
            <w:vAlign w:val="bottom"/>
            <w:vMerge w:val="restart"/>
          </w:tcPr>
          <w:p>
            <w:pPr>
              <w:jc w:val="center"/>
              <w:ind w:right="50"/>
              <w:spacing w:after="0"/>
              <w:rPr>
                <w:sz w:val="20"/>
                <w:szCs w:val="20"/>
                <w:color w:val="auto"/>
              </w:rPr>
            </w:pPr>
            <w:r>
              <w:rPr>
                <w:rFonts w:ascii="Arial" w:cs="Arial" w:eastAsia="Arial" w:hAnsi="Arial"/>
                <w:sz w:val="14"/>
                <w:szCs w:val="14"/>
                <w:color w:val="auto"/>
                <w:w w:val="91"/>
              </w:rPr>
              <w:t>4,878</w:t>
            </w:r>
          </w:p>
        </w:tc>
        <w:tc>
          <w:tcPr>
            <w:tcW w:w="0" w:type="dxa"/>
            <w:vAlign w:val="bottom"/>
          </w:tcPr>
          <w:p>
            <w:pPr>
              <w:spacing w:after="0"/>
              <w:rPr>
                <w:sz w:val="1"/>
                <w:szCs w:val="1"/>
                <w:color w:val="auto"/>
              </w:rPr>
            </w:pPr>
          </w:p>
        </w:tc>
      </w:tr>
      <w:tr>
        <w:trPr>
          <w:trHeight w:val="52"/>
        </w:trPr>
        <w:tc>
          <w:tcPr>
            <w:tcW w:w="24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440" w:type="dxa"/>
            <w:vAlign w:val="bottom"/>
            <w:vMerge w:val="restart"/>
          </w:tcPr>
          <w:p>
            <w:pPr>
              <w:ind w:left="20"/>
              <w:spacing w:after="0"/>
              <w:rPr>
                <w:sz w:val="20"/>
                <w:szCs w:val="20"/>
                <w:color w:val="auto"/>
              </w:rPr>
            </w:pPr>
            <w:r>
              <w:rPr>
                <w:rFonts w:ascii="Arial" w:cs="Arial" w:eastAsia="Arial" w:hAnsi="Arial"/>
                <w:sz w:val="14"/>
                <w:szCs w:val="14"/>
                <w:color w:val="auto"/>
              </w:rPr>
              <w:t>Tribute Portfolio</w:t>
            </w:r>
            <w:r>
              <w:rPr>
                <w:rFonts w:ascii="Arial" w:cs="Arial" w:eastAsia="Arial" w:hAnsi="Arial"/>
                <w:sz w:val="18"/>
                <w:szCs w:val="18"/>
                <w:color w:val="auto"/>
                <w:vertAlign w:val="superscript"/>
              </w:rPr>
              <w:t>®</w:t>
            </w:r>
          </w:p>
        </w:tc>
        <w:tc>
          <w:tcPr>
            <w:tcW w:w="118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70"/>
              <w:spacing w:after="0"/>
              <w:rPr>
                <w:sz w:val="20"/>
                <w:szCs w:val="20"/>
                <w:color w:val="auto"/>
              </w:rPr>
            </w:pPr>
            <w:r>
              <w:rPr>
                <w:rFonts w:ascii="Arial" w:cs="Arial" w:eastAsia="Arial" w:hAnsi="Arial"/>
                <w:sz w:val="14"/>
                <w:szCs w:val="14"/>
                <w:color w:val="auto"/>
                <w:w w:val="89"/>
              </w:rPr>
              <w:t>26</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11</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76"/>
              </w:rPr>
              <w:t>8</w:t>
            </w:r>
          </w:p>
        </w:tc>
        <w:tc>
          <w:tcPr>
            <w:tcW w:w="1280" w:type="dxa"/>
            <w:vAlign w:val="bottom"/>
          </w:tcPr>
          <w:p>
            <w:pPr>
              <w:jc w:val="center"/>
              <w:ind w:right="10"/>
              <w:spacing w:after="0"/>
              <w:rPr>
                <w:sz w:val="20"/>
                <w:szCs w:val="20"/>
                <w:color w:val="auto"/>
              </w:rPr>
            </w:pPr>
            <w:r>
              <w:rPr>
                <w:rFonts w:ascii="Arial" w:cs="Arial" w:eastAsia="Arial" w:hAnsi="Arial"/>
                <w:sz w:val="14"/>
                <w:szCs w:val="14"/>
                <w:color w:val="auto"/>
              </w:rPr>
              <w:t>3</w:t>
            </w:r>
          </w:p>
        </w:tc>
        <w:tc>
          <w:tcPr>
            <w:tcW w:w="1040" w:type="dxa"/>
            <w:vAlign w:val="bottom"/>
          </w:tcPr>
          <w:p>
            <w:pPr>
              <w:jc w:val="center"/>
              <w:ind w:right="30"/>
              <w:spacing w:after="0"/>
              <w:rPr>
                <w:sz w:val="20"/>
                <w:szCs w:val="20"/>
                <w:color w:val="auto"/>
              </w:rPr>
            </w:pPr>
            <w:r>
              <w:rPr>
                <w:rFonts w:ascii="Arial" w:cs="Arial" w:eastAsia="Arial" w:hAnsi="Arial"/>
                <w:sz w:val="14"/>
                <w:szCs w:val="14"/>
                <w:color w:val="auto"/>
                <w:w w:val="89"/>
              </w:rPr>
              <w:t>48</w:t>
            </w:r>
          </w:p>
        </w:tc>
        <w:tc>
          <w:tcPr>
            <w:tcW w:w="0" w:type="dxa"/>
            <w:vAlign w:val="bottom"/>
          </w:tcPr>
          <w:p>
            <w:pPr>
              <w:spacing w:after="0"/>
              <w:rPr>
                <w:sz w:val="1"/>
                <w:szCs w:val="1"/>
                <w:color w:val="auto"/>
              </w:rPr>
            </w:pPr>
          </w:p>
        </w:tc>
      </w:tr>
      <w:tr>
        <w:trPr>
          <w:trHeight w:val="153"/>
        </w:trPr>
        <w:tc>
          <w:tcPr>
            <w:tcW w:w="2440" w:type="dxa"/>
            <w:vAlign w:val="bottom"/>
            <w:vMerge w:val="continue"/>
          </w:tcPr>
          <w:p>
            <w:pPr>
              <w:spacing w:after="0"/>
              <w:rPr>
                <w:sz w:val="13"/>
                <w:szCs w:val="13"/>
                <w:color w:val="auto"/>
              </w:rPr>
            </w:pPr>
          </w:p>
        </w:tc>
        <w:tc>
          <w:tcPr>
            <w:tcW w:w="1180" w:type="dxa"/>
            <w:vAlign w:val="bottom"/>
            <w:vMerge w:val="restart"/>
          </w:tcPr>
          <w:p>
            <w:pPr>
              <w:ind w:left="4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50"/>
              <w:spacing w:after="0"/>
              <w:rPr>
                <w:sz w:val="20"/>
                <w:szCs w:val="20"/>
                <w:color w:val="auto"/>
              </w:rPr>
            </w:pPr>
            <w:r>
              <w:rPr>
                <w:rFonts w:ascii="Arial" w:cs="Arial" w:eastAsia="Arial" w:hAnsi="Arial"/>
                <w:sz w:val="14"/>
                <w:szCs w:val="14"/>
                <w:color w:val="auto"/>
                <w:w w:val="91"/>
              </w:rPr>
              <w:t>4,571</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85"/>
              </w:rPr>
              <w:t>1,139</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85"/>
              </w:rPr>
              <w:t>1,106</w:t>
            </w:r>
          </w:p>
        </w:tc>
        <w:tc>
          <w:tcPr>
            <w:tcW w:w="1280" w:type="dxa"/>
            <w:vAlign w:val="bottom"/>
            <w:vMerge w:val="restart"/>
          </w:tcPr>
          <w:p>
            <w:pPr>
              <w:jc w:val="center"/>
              <w:ind w:right="10"/>
              <w:spacing w:after="0"/>
              <w:rPr>
                <w:sz w:val="20"/>
                <w:szCs w:val="20"/>
                <w:color w:val="auto"/>
              </w:rPr>
            </w:pPr>
            <w:r>
              <w:rPr>
                <w:rFonts w:ascii="Arial" w:cs="Arial" w:eastAsia="Arial" w:hAnsi="Arial"/>
                <w:sz w:val="14"/>
                <w:szCs w:val="14"/>
                <w:color w:val="auto"/>
                <w:w w:val="85"/>
              </w:rPr>
              <w:t>155</w:t>
            </w:r>
          </w:p>
        </w:tc>
        <w:tc>
          <w:tcPr>
            <w:tcW w:w="1040" w:type="dxa"/>
            <w:vAlign w:val="bottom"/>
            <w:vMerge w:val="restart"/>
          </w:tcPr>
          <w:p>
            <w:pPr>
              <w:jc w:val="center"/>
              <w:ind w:right="50"/>
              <w:spacing w:after="0"/>
              <w:rPr>
                <w:sz w:val="20"/>
                <w:szCs w:val="20"/>
                <w:color w:val="auto"/>
              </w:rPr>
            </w:pPr>
            <w:r>
              <w:rPr>
                <w:rFonts w:ascii="Arial" w:cs="Arial" w:eastAsia="Arial" w:hAnsi="Arial"/>
                <w:sz w:val="14"/>
                <w:szCs w:val="14"/>
                <w:color w:val="auto"/>
                <w:w w:val="91"/>
              </w:rPr>
              <w:t>6,971</w:t>
            </w:r>
          </w:p>
        </w:tc>
        <w:tc>
          <w:tcPr>
            <w:tcW w:w="0" w:type="dxa"/>
            <w:vAlign w:val="bottom"/>
          </w:tcPr>
          <w:p>
            <w:pPr>
              <w:spacing w:after="0"/>
              <w:rPr>
                <w:sz w:val="1"/>
                <w:szCs w:val="1"/>
                <w:color w:val="auto"/>
              </w:rPr>
            </w:pPr>
          </w:p>
        </w:tc>
      </w:tr>
      <w:tr>
        <w:trPr>
          <w:trHeight w:val="52"/>
        </w:trPr>
        <w:tc>
          <w:tcPr>
            <w:tcW w:w="24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440" w:type="dxa"/>
            <w:vAlign w:val="bottom"/>
            <w:vMerge w:val="restart"/>
          </w:tcPr>
          <w:p>
            <w:pPr>
              <w:ind w:left="20"/>
              <w:spacing w:after="0"/>
              <w:rPr>
                <w:sz w:val="20"/>
                <w:szCs w:val="20"/>
                <w:color w:val="auto"/>
              </w:rPr>
            </w:pPr>
            <w:r>
              <w:rPr>
                <w:rFonts w:ascii="Arial" w:cs="Arial" w:eastAsia="Arial" w:hAnsi="Arial"/>
                <w:sz w:val="14"/>
                <w:szCs w:val="14"/>
                <w:color w:val="auto"/>
              </w:rPr>
              <w:t>Design Hotels</w:t>
            </w:r>
            <w:r>
              <w:rPr>
                <w:rFonts w:ascii="Arial" w:cs="Arial" w:eastAsia="Arial" w:hAnsi="Arial"/>
                <w:sz w:val="18"/>
                <w:szCs w:val="18"/>
                <w:color w:val="auto"/>
                <w:vertAlign w:val="superscript"/>
              </w:rPr>
              <w:t>TM</w:t>
            </w:r>
          </w:p>
        </w:tc>
        <w:tc>
          <w:tcPr>
            <w:tcW w:w="118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70"/>
              <w:spacing w:after="0"/>
              <w:rPr>
                <w:sz w:val="20"/>
                <w:szCs w:val="20"/>
                <w:color w:val="auto"/>
              </w:rPr>
            </w:pPr>
            <w:r>
              <w:rPr>
                <w:rFonts w:ascii="Arial" w:cs="Arial" w:eastAsia="Arial" w:hAnsi="Arial"/>
                <w:sz w:val="14"/>
                <w:szCs w:val="14"/>
                <w:color w:val="auto"/>
                <w:w w:val="76"/>
              </w:rPr>
              <w:t>5</w:t>
            </w:r>
          </w:p>
        </w:tc>
        <w:tc>
          <w:tcPr>
            <w:tcW w:w="960" w:type="dxa"/>
            <w:vAlign w:val="bottom"/>
          </w:tcPr>
          <w:p>
            <w:pPr>
              <w:jc w:val="center"/>
              <w:spacing w:after="0"/>
              <w:rPr>
                <w:sz w:val="20"/>
                <w:szCs w:val="20"/>
                <w:color w:val="auto"/>
              </w:rPr>
            </w:pPr>
            <w:r>
              <w:rPr>
                <w:rFonts w:ascii="Arial" w:cs="Arial" w:eastAsia="Arial" w:hAnsi="Arial"/>
                <w:sz w:val="14"/>
                <w:szCs w:val="14"/>
                <w:color w:val="auto"/>
                <w:w w:val="76"/>
              </w:rPr>
              <w:t>7</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ind w:right="30"/>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30"/>
              <w:spacing w:after="0"/>
              <w:rPr>
                <w:sz w:val="20"/>
                <w:szCs w:val="20"/>
                <w:color w:val="auto"/>
              </w:rPr>
            </w:pPr>
            <w:r>
              <w:rPr>
                <w:rFonts w:ascii="Arial" w:cs="Arial" w:eastAsia="Arial" w:hAnsi="Arial"/>
                <w:sz w:val="14"/>
                <w:szCs w:val="14"/>
                <w:color w:val="auto"/>
                <w:w w:val="89"/>
              </w:rPr>
              <w:t>12</w:t>
            </w:r>
          </w:p>
        </w:tc>
        <w:tc>
          <w:tcPr>
            <w:tcW w:w="0" w:type="dxa"/>
            <w:vAlign w:val="bottom"/>
          </w:tcPr>
          <w:p>
            <w:pPr>
              <w:spacing w:after="0"/>
              <w:rPr>
                <w:sz w:val="1"/>
                <w:szCs w:val="1"/>
                <w:color w:val="auto"/>
              </w:rPr>
            </w:pPr>
          </w:p>
        </w:tc>
      </w:tr>
      <w:tr>
        <w:trPr>
          <w:trHeight w:val="153"/>
        </w:trPr>
        <w:tc>
          <w:tcPr>
            <w:tcW w:w="2440" w:type="dxa"/>
            <w:vAlign w:val="bottom"/>
            <w:vMerge w:val="continue"/>
          </w:tcPr>
          <w:p>
            <w:pPr>
              <w:spacing w:after="0"/>
              <w:rPr>
                <w:sz w:val="13"/>
                <w:szCs w:val="13"/>
                <w:color w:val="auto"/>
              </w:rPr>
            </w:pPr>
          </w:p>
        </w:tc>
        <w:tc>
          <w:tcPr>
            <w:tcW w:w="1180" w:type="dxa"/>
            <w:vAlign w:val="bottom"/>
            <w:vMerge w:val="restart"/>
          </w:tcPr>
          <w:p>
            <w:pPr>
              <w:ind w:left="4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70"/>
              <w:spacing w:after="0"/>
              <w:rPr>
                <w:sz w:val="20"/>
                <w:szCs w:val="20"/>
                <w:color w:val="auto"/>
              </w:rPr>
            </w:pPr>
            <w:r>
              <w:rPr>
                <w:rFonts w:ascii="Arial" w:cs="Arial" w:eastAsia="Arial" w:hAnsi="Arial"/>
                <w:sz w:val="14"/>
                <w:szCs w:val="14"/>
                <w:color w:val="auto"/>
                <w:w w:val="94"/>
              </w:rPr>
              <w:t>853</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94"/>
              </w:rPr>
              <w:t>799</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vMerge w:val="restart"/>
          </w:tcPr>
          <w:p>
            <w:pPr>
              <w:jc w:val="center"/>
              <w:ind w:right="30"/>
              <w:spacing w:after="0"/>
              <w:rPr>
                <w:sz w:val="20"/>
                <w:szCs w:val="20"/>
                <w:color w:val="auto"/>
              </w:rPr>
            </w:pPr>
            <w:r>
              <w:rPr>
                <w:rFonts w:ascii="Arial" w:cs="Arial" w:eastAsia="Arial" w:hAnsi="Arial"/>
                <w:sz w:val="14"/>
                <w:szCs w:val="14"/>
                <w:color w:val="auto"/>
                <w:w w:val="99"/>
              </w:rPr>
              <w:t>—</w:t>
            </w:r>
          </w:p>
        </w:tc>
        <w:tc>
          <w:tcPr>
            <w:tcW w:w="1040" w:type="dxa"/>
            <w:vAlign w:val="bottom"/>
            <w:vMerge w:val="restart"/>
          </w:tcPr>
          <w:p>
            <w:pPr>
              <w:jc w:val="center"/>
              <w:ind w:right="50"/>
              <w:spacing w:after="0"/>
              <w:rPr>
                <w:sz w:val="20"/>
                <w:szCs w:val="20"/>
                <w:color w:val="auto"/>
              </w:rPr>
            </w:pPr>
            <w:r>
              <w:rPr>
                <w:rFonts w:ascii="Arial" w:cs="Arial" w:eastAsia="Arial" w:hAnsi="Arial"/>
                <w:sz w:val="14"/>
                <w:szCs w:val="14"/>
                <w:color w:val="auto"/>
                <w:w w:val="91"/>
              </w:rPr>
              <w:t>1,652</w:t>
            </w:r>
          </w:p>
        </w:tc>
        <w:tc>
          <w:tcPr>
            <w:tcW w:w="0" w:type="dxa"/>
            <w:vAlign w:val="bottom"/>
          </w:tcPr>
          <w:p>
            <w:pPr>
              <w:spacing w:after="0"/>
              <w:rPr>
                <w:sz w:val="1"/>
                <w:szCs w:val="1"/>
                <w:color w:val="auto"/>
              </w:rPr>
            </w:pPr>
          </w:p>
        </w:tc>
      </w:tr>
      <w:tr>
        <w:trPr>
          <w:trHeight w:val="52"/>
        </w:trPr>
        <w:tc>
          <w:tcPr>
            <w:tcW w:w="24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Select</w:t>
            </w:r>
          </w:p>
        </w:tc>
        <w:tc>
          <w:tcPr>
            <w:tcW w:w="1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40" w:type="dxa"/>
            <w:vAlign w:val="bottom"/>
            <w:vMerge w:val="restart"/>
          </w:tcPr>
          <w:p>
            <w:pPr>
              <w:ind w:left="20"/>
              <w:spacing w:after="0"/>
              <w:rPr>
                <w:sz w:val="20"/>
                <w:szCs w:val="20"/>
                <w:color w:val="auto"/>
              </w:rPr>
            </w:pPr>
            <w:r>
              <w:rPr>
                <w:rFonts w:ascii="Arial" w:cs="Arial" w:eastAsia="Arial" w:hAnsi="Arial"/>
                <w:sz w:val="14"/>
                <w:szCs w:val="14"/>
                <w:color w:val="auto"/>
              </w:rPr>
              <w:t>Courtyard by Marriott</w:t>
            </w:r>
            <w:r>
              <w:rPr>
                <w:rFonts w:ascii="Arial" w:cs="Arial" w:eastAsia="Arial" w:hAnsi="Arial"/>
                <w:sz w:val="18"/>
                <w:szCs w:val="18"/>
                <w:color w:val="auto"/>
                <w:vertAlign w:val="superscript"/>
              </w:rPr>
              <w:t>®</w:t>
            </w:r>
            <w:r>
              <w:rPr>
                <w:rFonts w:ascii="Arial" w:cs="Arial" w:eastAsia="Arial" w:hAnsi="Arial"/>
                <w:sz w:val="14"/>
                <w:szCs w:val="14"/>
                <w:color w:val="auto"/>
              </w:rPr>
              <w:t xml:space="preserve"> (Courtyard</w:t>
            </w:r>
            <w:r>
              <w:rPr>
                <w:rFonts w:ascii="Arial" w:cs="Arial" w:eastAsia="Arial" w:hAnsi="Arial"/>
                <w:sz w:val="18"/>
                <w:szCs w:val="18"/>
                <w:color w:val="auto"/>
                <w:vertAlign w:val="superscript"/>
              </w:rPr>
              <w:t>®</w:t>
            </w:r>
            <w:r>
              <w:rPr>
                <w:rFonts w:ascii="Arial" w:cs="Arial" w:eastAsia="Arial" w:hAnsi="Arial"/>
                <w:sz w:val="14"/>
                <w:szCs w:val="14"/>
                <w:color w:val="auto"/>
              </w:rPr>
              <w:t>)</w:t>
            </w:r>
          </w:p>
        </w:tc>
        <w:tc>
          <w:tcPr>
            <w:tcW w:w="118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50"/>
              <w:spacing w:after="0"/>
              <w:rPr>
                <w:sz w:val="20"/>
                <w:szCs w:val="20"/>
                <w:color w:val="auto"/>
              </w:rPr>
            </w:pPr>
            <w:r>
              <w:rPr>
                <w:rFonts w:ascii="Arial" w:cs="Arial" w:eastAsia="Arial" w:hAnsi="Arial"/>
                <w:sz w:val="14"/>
                <w:szCs w:val="14"/>
                <w:color w:val="auto"/>
                <w:w w:val="91"/>
              </w:rPr>
              <w:t>1,058</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72</w:t>
            </w:r>
          </w:p>
        </w:tc>
        <w:tc>
          <w:tcPr>
            <w:tcW w:w="1280" w:type="dxa"/>
            <w:vAlign w:val="bottom"/>
          </w:tcPr>
          <w:p>
            <w:pPr>
              <w:jc w:val="center"/>
              <w:ind w:left="10"/>
              <w:spacing w:after="0"/>
              <w:rPr>
                <w:sz w:val="20"/>
                <w:szCs w:val="20"/>
                <w:color w:val="auto"/>
              </w:rPr>
            </w:pPr>
            <w:r>
              <w:rPr>
                <w:rFonts w:ascii="Arial" w:cs="Arial" w:eastAsia="Arial" w:hAnsi="Arial"/>
                <w:sz w:val="14"/>
                <w:szCs w:val="14"/>
                <w:color w:val="auto"/>
              </w:rPr>
              <w:t>8</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79</w:t>
            </w:r>
          </w:p>
        </w:tc>
        <w:tc>
          <w:tcPr>
            <w:tcW w:w="1280" w:type="dxa"/>
            <w:vAlign w:val="bottom"/>
          </w:tcPr>
          <w:p>
            <w:pPr>
              <w:jc w:val="center"/>
              <w:ind w:right="30"/>
              <w:spacing w:after="0"/>
              <w:rPr>
                <w:sz w:val="20"/>
                <w:szCs w:val="20"/>
                <w:color w:val="auto"/>
              </w:rPr>
            </w:pPr>
            <w:r>
              <w:rPr>
                <w:rFonts w:ascii="Arial" w:cs="Arial" w:eastAsia="Arial" w:hAnsi="Arial"/>
                <w:sz w:val="14"/>
                <w:szCs w:val="14"/>
                <w:color w:val="auto"/>
                <w:w w:val="89"/>
              </w:rPr>
              <w:t>41</w:t>
            </w:r>
          </w:p>
        </w:tc>
        <w:tc>
          <w:tcPr>
            <w:tcW w:w="1040" w:type="dxa"/>
            <w:vAlign w:val="bottom"/>
          </w:tcPr>
          <w:p>
            <w:pPr>
              <w:jc w:val="center"/>
              <w:ind w:right="50"/>
              <w:spacing w:after="0"/>
              <w:rPr>
                <w:sz w:val="20"/>
                <w:szCs w:val="20"/>
                <w:color w:val="auto"/>
              </w:rPr>
            </w:pPr>
            <w:r>
              <w:rPr>
                <w:rFonts w:ascii="Arial" w:cs="Arial" w:eastAsia="Arial" w:hAnsi="Arial"/>
                <w:sz w:val="14"/>
                <w:szCs w:val="14"/>
                <w:color w:val="auto"/>
                <w:w w:val="91"/>
              </w:rPr>
              <w:t>1,258</w:t>
            </w:r>
          </w:p>
        </w:tc>
        <w:tc>
          <w:tcPr>
            <w:tcW w:w="0" w:type="dxa"/>
            <w:vAlign w:val="bottom"/>
          </w:tcPr>
          <w:p>
            <w:pPr>
              <w:spacing w:after="0"/>
              <w:rPr>
                <w:sz w:val="1"/>
                <w:szCs w:val="1"/>
                <w:color w:val="auto"/>
              </w:rPr>
            </w:pPr>
          </w:p>
        </w:tc>
      </w:tr>
      <w:tr>
        <w:trPr>
          <w:trHeight w:val="153"/>
        </w:trPr>
        <w:tc>
          <w:tcPr>
            <w:tcW w:w="2440" w:type="dxa"/>
            <w:vAlign w:val="bottom"/>
            <w:vMerge w:val="continue"/>
          </w:tcPr>
          <w:p>
            <w:pPr>
              <w:spacing w:after="0"/>
              <w:rPr>
                <w:sz w:val="13"/>
                <w:szCs w:val="13"/>
                <w:color w:val="auto"/>
              </w:rPr>
            </w:pPr>
          </w:p>
        </w:tc>
        <w:tc>
          <w:tcPr>
            <w:tcW w:w="1180" w:type="dxa"/>
            <w:vAlign w:val="bottom"/>
            <w:vMerge w:val="restart"/>
          </w:tcPr>
          <w:p>
            <w:pPr>
              <w:ind w:left="4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70"/>
              <w:spacing w:after="0"/>
              <w:rPr>
                <w:sz w:val="20"/>
                <w:szCs w:val="20"/>
                <w:color w:val="auto"/>
              </w:rPr>
            </w:pPr>
            <w:r>
              <w:rPr>
                <w:rFonts w:ascii="Arial" w:cs="Arial" w:eastAsia="Arial" w:hAnsi="Arial"/>
                <w:sz w:val="14"/>
                <w:szCs w:val="14"/>
                <w:color w:val="auto"/>
                <w:w w:val="90"/>
              </w:rPr>
              <w:t>146,913</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88"/>
              </w:rPr>
              <w:t>13,551</w:t>
            </w:r>
          </w:p>
        </w:tc>
        <w:tc>
          <w:tcPr>
            <w:tcW w:w="1280" w:type="dxa"/>
            <w:vAlign w:val="bottom"/>
            <w:vMerge w:val="restart"/>
          </w:tcPr>
          <w:p>
            <w:pPr>
              <w:jc w:val="center"/>
              <w:ind w:left="10"/>
              <w:spacing w:after="0"/>
              <w:rPr>
                <w:sz w:val="20"/>
                <w:szCs w:val="20"/>
                <w:color w:val="auto"/>
              </w:rPr>
            </w:pPr>
            <w:r>
              <w:rPr>
                <w:rFonts w:ascii="Arial" w:cs="Arial" w:eastAsia="Arial" w:hAnsi="Arial"/>
                <w:sz w:val="14"/>
                <w:szCs w:val="14"/>
                <w:color w:val="auto"/>
                <w:w w:val="91"/>
              </w:rPr>
              <w:t>1,684</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88"/>
              </w:rPr>
              <w:t>18,454</w:t>
            </w:r>
          </w:p>
        </w:tc>
        <w:tc>
          <w:tcPr>
            <w:tcW w:w="1280" w:type="dxa"/>
            <w:vAlign w:val="bottom"/>
            <w:vMerge w:val="restart"/>
          </w:tcPr>
          <w:p>
            <w:pPr>
              <w:jc w:val="center"/>
              <w:ind w:right="10"/>
              <w:spacing w:after="0"/>
              <w:rPr>
                <w:sz w:val="20"/>
                <w:szCs w:val="20"/>
                <w:color w:val="auto"/>
              </w:rPr>
            </w:pPr>
            <w:r>
              <w:rPr>
                <w:rFonts w:ascii="Arial" w:cs="Arial" w:eastAsia="Arial" w:hAnsi="Arial"/>
                <w:sz w:val="14"/>
                <w:szCs w:val="14"/>
                <w:color w:val="auto"/>
                <w:w w:val="91"/>
              </w:rPr>
              <w:t>6,717</w:t>
            </w:r>
          </w:p>
        </w:tc>
        <w:tc>
          <w:tcPr>
            <w:tcW w:w="1040" w:type="dxa"/>
            <w:vAlign w:val="bottom"/>
            <w:vMerge w:val="restart"/>
          </w:tcPr>
          <w:p>
            <w:pPr>
              <w:jc w:val="center"/>
              <w:ind w:right="30"/>
              <w:spacing w:after="0"/>
              <w:rPr>
                <w:sz w:val="20"/>
                <w:szCs w:val="20"/>
                <w:color w:val="auto"/>
              </w:rPr>
            </w:pPr>
            <w:r>
              <w:rPr>
                <w:rFonts w:ascii="Arial" w:cs="Arial" w:eastAsia="Arial" w:hAnsi="Arial"/>
                <w:sz w:val="14"/>
                <w:szCs w:val="14"/>
                <w:color w:val="auto"/>
                <w:w w:val="90"/>
              </w:rPr>
              <w:t>187,319</w:t>
            </w:r>
          </w:p>
        </w:tc>
        <w:tc>
          <w:tcPr>
            <w:tcW w:w="0" w:type="dxa"/>
            <w:vAlign w:val="bottom"/>
          </w:tcPr>
          <w:p>
            <w:pPr>
              <w:spacing w:after="0"/>
              <w:rPr>
                <w:sz w:val="1"/>
                <w:szCs w:val="1"/>
                <w:color w:val="auto"/>
              </w:rPr>
            </w:pPr>
          </w:p>
        </w:tc>
      </w:tr>
      <w:tr>
        <w:trPr>
          <w:trHeight w:val="52"/>
        </w:trPr>
        <w:tc>
          <w:tcPr>
            <w:tcW w:w="24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440" w:type="dxa"/>
            <w:vAlign w:val="bottom"/>
          </w:tcPr>
          <w:p>
            <w:pPr>
              <w:ind w:left="20"/>
              <w:spacing w:after="0" w:line="164" w:lineRule="exact"/>
              <w:rPr>
                <w:sz w:val="20"/>
                <w:szCs w:val="20"/>
                <w:color w:val="auto"/>
              </w:rPr>
            </w:pPr>
            <w:r>
              <w:rPr>
                <w:rFonts w:ascii="Arial" w:cs="Arial" w:eastAsia="Arial" w:hAnsi="Arial"/>
                <w:sz w:val="14"/>
                <w:szCs w:val="14"/>
                <w:color w:val="auto"/>
                <w:w w:val="98"/>
              </w:rPr>
              <w:t>Residence Inn by Marriott</w:t>
            </w:r>
            <w:r>
              <w:rPr>
                <w:rFonts w:ascii="Arial" w:cs="Arial" w:eastAsia="Arial" w:hAnsi="Arial"/>
                <w:sz w:val="18"/>
                <w:szCs w:val="18"/>
                <w:color w:val="auto"/>
                <w:w w:val="98"/>
                <w:vertAlign w:val="superscript"/>
              </w:rPr>
              <w:t>®</w:t>
            </w:r>
            <w:r>
              <w:rPr>
                <w:rFonts w:ascii="Arial" w:cs="Arial" w:eastAsia="Arial" w:hAnsi="Arial"/>
                <w:sz w:val="14"/>
                <w:szCs w:val="14"/>
                <w:color w:val="auto"/>
                <w:w w:val="98"/>
              </w:rPr>
              <w:t xml:space="preserve"> (Residence</w:t>
            </w:r>
          </w:p>
        </w:tc>
        <w:tc>
          <w:tcPr>
            <w:tcW w:w="118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70"/>
              <w:spacing w:after="0"/>
              <w:rPr>
                <w:sz w:val="20"/>
                <w:szCs w:val="20"/>
                <w:color w:val="auto"/>
              </w:rPr>
            </w:pPr>
            <w:r>
              <w:rPr>
                <w:rFonts w:ascii="Arial" w:cs="Arial" w:eastAsia="Arial" w:hAnsi="Arial"/>
                <w:sz w:val="14"/>
                <w:szCs w:val="14"/>
                <w:color w:val="auto"/>
                <w:w w:val="94"/>
              </w:rPr>
              <w:t>854</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13</w:t>
            </w:r>
          </w:p>
        </w:tc>
        <w:tc>
          <w:tcPr>
            <w:tcW w:w="1280" w:type="dxa"/>
            <w:vAlign w:val="bottom"/>
          </w:tcPr>
          <w:p>
            <w:pPr>
              <w:jc w:val="center"/>
              <w:ind w:left="10"/>
              <w:spacing w:after="0"/>
              <w:rPr>
                <w:sz w:val="20"/>
                <w:szCs w:val="20"/>
                <w:color w:val="auto"/>
              </w:rPr>
            </w:pPr>
            <w:r>
              <w:rPr>
                <w:rFonts w:ascii="Arial" w:cs="Arial" w:eastAsia="Arial" w:hAnsi="Arial"/>
                <w:sz w:val="14"/>
                <w:szCs w:val="14"/>
                <w:color w:val="auto"/>
              </w:rPr>
              <w:t>3</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ind w:right="10"/>
              <w:spacing w:after="0"/>
              <w:rPr>
                <w:sz w:val="20"/>
                <w:szCs w:val="20"/>
                <w:color w:val="auto"/>
              </w:rPr>
            </w:pPr>
            <w:r>
              <w:rPr>
                <w:rFonts w:ascii="Arial" w:cs="Arial" w:eastAsia="Arial" w:hAnsi="Arial"/>
                <w:sz w:val="14"/>
                <w:szCs w:val="14"/>
                <w:color w:val="auto"/>
              </w:rPr>
              <w:t>4</w:t>
            </w:r>
          </w:p>
        </w:tc>
        <w:tc>
          <w:tcPr>
            <w:tcW w:w="1040" w:type="dxa"/>
            <w:vAlign w:val="bottom"/>
          </w:tcPr>
          <w:p>
            <w:pPr>
              <w:jc w:val="center"/>
              <w:ind w:right="50"/>
              <w:spacing w:after="0"/>
              <w:rPr>
                <w:sz w:val="20"/>
                <w:szCs w:val="20"/>
                <w:color w:val="auto"/>
              </w:rPr>
            </w:pPr>
            <w:r>
              <w:rPr>
                <w:rFonts w:ascii="Arial" w:cs="Arial" w:eastAsia="Arial" w:hAnsi="Arial"/>
                <w:sz w:val="14"/>
                <w:szCs w:val="14"/>
                <w:color w:val="auto"/>
                <w:w w:val="85"/>
              </w:rPr>
              <w:t>874</w:t>
            </w:r>
          </w:p>
        </w:tc>
        <w:tc>
          <w:tcPr>
            <w:tcW w:w="0" w:type="dxa"/>
            <w:vAlign w:val="bottom"/>
          </w:tcPr>
          <w:p>
            <w:pPr>
              <w:spacing w:after="0"/>
              <w:rPr>
                <w:sz w:val="1"/>
                <w:szCs w:val="1"/>
                <w:color w:val="auto"/>
              </w:rPr>
            </w:pPr>
          </w:p>
        </w:tc>
      </w:tr>
      <w:tr>
        <w:trPr>
          <w:trHeight w:val="237"/>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Inn</w:t>
            </w:r>
            <w:r>
              <w:rPr>
                <w:rFonts w:ascii="Arial" w:cs="Arial" w:eastAsia="Arial" w:hAnsi="Arial"/>
                <w:sz w:val="18"/>
                <w:szCs w:val="18"/>
                <w:color w:val="auto"/>
                <w:vertAlign w:val="superscript"/>
              </w:rPr>
              <w:t>®</w:t>
            </w:r>
            <w:r>
              <w:rPr>
                <w:rFonts w:ascii="Arial" w:cs="Arial" w:eastAsia="Arial" w:hAnsi="Arial"/>
                <w:sz w:val="14"/>
                <w:szCs w:val="14"/>
                <w:color w:val="auto"/>
              </w:rPr>
              <w:t>)</w:t>
            </w:r>
          </w:p>
        </w:tc>
        <w:tc>
          <w:tcPr>
            <w:tcW w:w="1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Rooms</w:t>
            </w:r>
          </w:p>
        </w:tc>
        <w:tc>
          <w:tcPr>
            <w:tcW w:w="1440" w:type="dxa"/>
            <w:vAlign w:val="bottom"/>
            <w:tcBorders>
              <w:bottom w:val="single" w:sz="8" w:color="auto"/>
            </w:tcBorders>
          </w:tcPr>
          <w:p>
            <w:pPr>
              <w:jc w:val="center"/>
              <w:ind w:left="70"/>
              <w:spacing w:after="0"/>
              <w:rPr>
                <w:sz w:val="20"/>
                <w:szCs w:val="20"/>
                <w:color w:val="auto"/>
              </w:rPr>
            </w:pPr>
            <w:r>
              <w:rPr>
                <w:rFonts w:ascii="Arial" w:cs="Arial" w:eastAsia="Arial" w:hAnsi="Arial"/>
                <w:sz w:val="14"/>
                <w:szCs w:val="14"/>
                <w:color w:val="auto"/>
                <w:w w:val="90"/>
              </w:rPr>
              <w:t>105,273</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1,569</w:t>
            </w:r>
          </w:p>
        </w:tc>
        <w:tc>
          <w:tcPr>
            <w:tcW w:w="1280" w:type="dxa"/>
            <w:vAlign w:val="bottom"/>
            <w:tcBorders>
              <w:bottom w:val="single" w:sz="8" w:color="auto"/>
            </w:tcBorders>
          </w:tcPr>
          <w:p>
            <w:pPr>
              <w:jc w:val="center"/>
              <w:ind w:left="10"/>
              <w:spacing w:after="0"/>
              <w:rPr>
                <w:sz w:val="20"/>
                <w:szCs w:val="20"/>
                <w:color w:val="auto"/>
              </w:rPr>
            </w:pPr>
            <w:r>
              <w:rPr>
                <w:rFonts w:ascii="Arial" w:cs="Arial" w:eastAsia="Arial" w:hAnsi="Arial"/>
                <w:sz w:val="14"/>
                <w:szCs w:val="14"/>
                <w:color w:val="auto"/>
                <w:w w:val="85"/>
              </w:rPr>
              <w:t>294</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Borders>
              <w:bottom w:val="single" w:sz="8" w:color="auto"/>
            </w:tcBorders>
          </w:tcPr>
          <w:p>
            <w:pPr>
              <w:jc w:val="center"/>
              <w:ind w:right="10"/>
              <w:spacing w:after="0"/>
              <w:rPr>
                <w:sz w:val="20"/>
                <w:szCs w:val="20"/>
                <w:color w:val="auto"/>
              </w:rPr>
            </w:pPr>
            <w:r>
              <w:rPr>
                <w:rFonts w:ascii="Arial" w:cs="Arial" w:eastAsia="Arial" w:hAnsi="Arial"/>
                <w:sz w:val="14"/>
                <w:szCs w:val="14"/>
                <w:color w:val="auto"/>
                <w:w w:val="85"/>
              </w:rPr>
              <w:t>544</w:t>
            </w: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color w:val="auto"/>
                <w:w w:val="90"/>
              </w:rPr>
              <w:t>107,680</w:t>
            </w:r>
          </w:p>
        </w:tc>
        <w:tc>
          <w:tcPr>
            <w:tcW w:w="0" w:type="dxa"/>
            <w:vAlign w:val="bottom"/>
          </w:tcPr>
          <w:p>
            <w:pPr>
              <w:spacing w:after="0"/>
              <w:rPr>
                <w:sz w:val="1"/>
                <w:szCs w:val="1"/>
                <w:color w:val="auto"/>
              </w:rPr>
            </w:pPr>
          </w:p>
        </w:tc>
      </w:tr>
      <w:tr>
        <w:trPr>
          <w:trHeight w:val="172"/>
        </w:trPr>
        <w:tc>
          <w:tcPr>
            <w:tcW w:w="2440" w:type="dxa"/>
            <w:vAlign w:val="bottom"/>
            <w:vMerge w:val="restart"/>
          </w:tcPr>
          <w:p>
            <w:pPr>
              <w:ind w:left="20"/>
              <w:spacing w:after="0"/>
              <w:rPr>
                <w:sz w:val="20"/>
                <w:szCs w:val="20"/>
                <w:color w:val="auto"/>
              </w:rPr>
            </w:pPr>
            <w:r>
              <w:rPr>
                <w:rFonts w:ascii="Arial" w:cs="Arial" w:eastAsia="Arial" w:hAnsi="Arial"/>
                <w:sz w:val="14"/>
                <w:szCs w:val="14"/>
                <w:color w:val="auto"/>
              </w:rPr>
              <w:t>Fairfield by Marriott</w:t>
            </w:r>
            <w:r>
              <w:rPr>
                <w:rFonts w:ascii="Arial" w:cs="Arial" w:eastAsia="Arial" w:hAnsi="Arial"/>
                <w:sz w:val="18"/>
                <w:szCs w:val="18"/>
                <w:color w:val="auto"/>
                <w:vertAlign w:val="superscript"/>
              </w:rPr>
              <w:t>®</w:t>
            </w:r>
          </w:p>
        </w:tc>
        <w:tc>
          <w:tcPr>
            <w:tcW w:w="118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50"/>
              <w:spacing w:after="0"/>
              <w:rPr>
                <w:sz w:val="20"/>
                <w:szCs w:val="20"/>
                <w:color w:val="auto"/>
              </w:rPr>
            </w:pPr>
            <w:r>
              <w:rPr>
                <w:rFonts w:ascii="Arial" w:cs="Arial" w:eastAsia="Arial" w:hAnsi="Arial"/>
                <w:sz w:val="14"/>
                <w:szCs w:val="14"/>
                <w:color w:val="auto"/>
                <w:w w:val="91"/>
              </w:rPr>
              <w:t>1,061</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58</w:t>
            </w:r>
          </w:p>
        </w:tc>
        <w:tc>
          <w:tcPr>
            <w:tcW w:w="1280" w:type="dxa"/>
            <w:vAlign w:val="bottom"/>
          </w:tcPr>
          <w:p>
            <w:pPr>
              <w:jc w:val="center"/>
              <w:ind w:right="30"/>
              <w:spacing w:after="0"/>
              <w:rPr>
                <w:sz w:val="20"/>
                <w:szCs w:val="20"/>
                <w:color w:val="auto"/>
              </w:rPr>
            </w:pPr>
            <w:r>
              <w:rPr>
                <w:rFonts w:ascii="Arial" w:cs="Arial" w:eastAsia="Arial" w:hAnsi="Arial"/>
                <w:sz w:val="14"/>
                <w:szCs w:val="14"/>
                <w:color w:val="auto"/>
                <w:w w:val="89"/>
              </w:rPr>
              <w:t>13</w:t>
            </w:r>
          </w:p>
        </w:tc>
        <w:tc>
          <w:tcPr>
            <w:tcW w:w="1040" w:type="dxa"/>
            <w:vAlign w:val="bottom"/>
          </w:tcPr>
          <w:p>
            <w:pPr>
              <w:jc w:val="center"/>
              <w:ind w:right="50"/>
              <w:spacing w:after="0"/>
              <w:rPr>
                <w:sz w:val="20"/>
                <w:szCs w:val="20"/>
                <w:color w:val="auto"/>
              </w:rPr>
            </w:pPr>
            <w:r>
              <w:rPr>
                <w:rFonts w:ascii="Arial" w:cs="Arial" w:eastAsia="Arial" w:hAnsi="Arial"/>
                <w:sz w:val="14"/>
                <w:szCs w:val="14"/>
                <w:color w:val="auto"/>
                <w:w w:val="91"/>
              </w:rPr>
              <w:t>1,132</w:t>
            </w:r>
          </w:p>
        </w:tc>
        <w:tc>
          <w:tcPr>
            <w:tcW w:w="0" w:type="dxa"/>
            <w:vAlign w:val="bottom"/>
          </w:tcPr>
          <w:p>
            <w:pPr>
              <w:spacing w:after="0"/>
              <w:rPr>
                <w:sz w:val="1"/>
                <w:szCs w:val="1"/>
                <w:color w:val="auto"/>
              </w:rPr>
            </w:pPr>
          </w:p>
        </w:tc>
      </w:tr>
      <w:tr>
        <w:trPr>
          <w:trHeight w:val="153"/>
        </w:trPr>
        <w:tc>
          <w:tcPr>
            <w:tcW w:w="2440" w:type="dxa"/>
            <w:vAlign w:val="bottom"/>
            <w:vMerge w:val="continue"/>
          </w:tcPr>
          <w:p>
            <w:pPr>
              <w:spacing w:after="0"/>
              <w:rPr>
                <w:sz w:val="13"/>
                <w:szCs w:val="13"/>
                <w:color w:val="auto"/>
              </w:rPr>
            </w:pPr>
          </w:p>
        </w:tc>
        <w:tc>
          <w:tcPr>
            <w:tcW w:w="1180" w:type="dxa"/>
            <w:vAlign w:val="bottom"/>
            <w:vMerge w:val="restart"/>
          </w:tcPr>
          <w:p>
            <w:pPr>
              <w:ind w:left="4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70"/>
              <w:spacing w:after="0"/>
              <w:rPr>
                <w:sz w:val="20"/>
                <w:szCs w:val="20"/>
                <w:color w:val="auto"/>
              </w:rPr>
            </w:pPr>
            <w:r>
              <w:rPr>
                <w:rFonts w:ascii="Arial" w:cs="Arial" w:eastAsia="Arial" w:hAnsi="Arial"/>
                <w:sz w:val="14"/>
                <w:szCs w:val="14"/>
                <w:color w:val="auto"/>
                <w:w w:val="88"/>
              </w:rPr>
              <w:t>99,901</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85"/>
              </w:rPr>
              <w:t>9,300</w:t>
            </w:r>
          </w:p>
        </w:tc>
        <w:tc>
          <w:tcPr>
            <w:tcW w:w="1280" w:type="dxa"/>
            <w:vAlign w:val="bottom"/>
            <w:vMerge w:val="restart"/>
          </w:tcPr>
          <w:p>
            <w:pPr>
              <w:jc w:val="center"/>
              <w:ind w:right="10"/>
              <w:spacing w:after="0"/>
              <w:rPr>
                <w:sz w:val="20"/>
                <w:szCs w:val="20"/>
                <w:color w:val="auto"/>
              </w:rPr>
            </w:pPr>
            <w:r>
              <w:rPr>
                <w:rFonts w:ascii="Arial" w:cs="Arial" w:eastAsia="Arial" w:hAnsi="Arial"/>
                <w:sz w:val="14"/>
                <w:szCs w:val="14"/>
                <w:color w:val="auto"/>
                <w:w w:val="91"/>
              </w:rPr>
              <w:t>1,863</w:t>
            </w:r>
          </w:p>
        </w:tc>
        <w:tc>
          <w:tcPr>
            <w:tcW w:w="1040" w:type="dxa"/>
            <w:vAlign w:val="bottom"/>
            <w:vMerge w:val="restart"/>
          </w:tcPr>
          <w:p>
            <w:pPr>
              <w:jc w:val="center"/>
              <w:ind w:right="50"/>
              <w:spacing w:after="0"/>
              <w:rPr>
                <w:sz w:val="20"/>
                <w:szCs w:val="20"/>
                <w:color w:val="auto"/>
              </w:rPr>
            </w:pPr>
            <w:r>
              <w:rPr>
                <w:rFonts w:ascii="Arial" w:cs="Arial" w:eastAsia="Arial" w:hAnsi="Arial"/>
                <w:sz w:val="14"/>
                <w:szCs w:val="14"/>
                <w:color w:val="auto"/>
                <w:w w:val="86"/>
              </w:rPr>
              <w:t>111,064</w:t>
            </w:r>
          </w:p>
        </w:tc>
        <w:tc>
          <w:tcPr>
            <w:tcW w:w="0" w:type="dxa"/>
            <w:vAlign w:val="bottom"/>
          </w:tcPr>
          <w:p>
            <w:pPr>
              <w:spacing w:after="0"/>
              <w:rPr>
                <w:sz w:val="1"/>
                <w:szCs w:val="1"/>
                <w:color w:val="auto"/>
              </w:rPr>
            </w:pPr>
          </w:p>
        </w:tc>
      </w:tr>
      <w:tr>
        <w:trPr>
          <w:trHeight w:val="52"/>
        </w:trPr>
        <w:tc>
          <w:tcPr>
            <w:tcW w:w="24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440" w:type="dxa"/>
            <w:vAlign w:val="bottom"/>
          </w:tcPr>
          <w:p>
            <w:pPr>
              <w:ind w:left="20"/>
              <w:spacing w:after="0" w:line="164" w:lineRule="exact"/>
              <w:rPr>
                <w:sz w:val="20"/>
                <w:szCs w:val="20"/>
                <w:color w:val="auto"/>
              </w:rPr>
            </w:pPr>
            <w:r>
              <w:rPr>
                <w:rFonts w:ascii="Arial" w:cs="Arial" w:eastAsia="Arial" w:hAnsi="Arial"/>
                <w:sz w:val="14"/>
                <w:szCs w:val="14"/>
                <w:color w:val="auto"/>
                <w:w w:val="95"/>
              </w:rPr>
              <w:t>SpringHill Suites by Marriott</w:t>
            </w:r>
            <w:r>
              <w:rPr>
                <w:rFonts w:ascii="Arial" w:cs="Arial" w:eastAsia="Arial" w:hAnsi="Arial"/>
                <w:sz w:val="18"/>
                <w:szCs w:val="18"/>
                <w:color w:val="auto"/>
                <w:w w:val="95"/>
                <w:vertAlign w:val="superscript"/>
              </w:rPr>
              <w:t>®</w:t>
            </w:r>
            <w:r>
              <w:rPr>
                <w:rFonts w:ascii="Arial" w:cs="Arial" w:eastAsia="Arial" w:hAnsi="Arial"/>
                <w:sz w:val="14"/>
                <w:szCs w:val="14"/>
                <w:color w:val="auto"/>
                <w:w w:val="95"/>
              </w:rPr>
              <w:t xml:space="preserve"> (SpringHill</w:t>
            </w:r>
          </w:p>
        </w:tc>
        <w:tc>
          <w:tcPr>
            <w:tcW w:w="118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70"/>
              <w:spacing w:after="0"/>
              <w:rPr>
                <w:sz w:val="20"/>
                <w:szCs w:val="20"/>
                <w:color w:val="auto"/>
              </w:rPr>
            </w:pPr>
            <w:r>
              <w:rPr>
                <w:rFonts w:ascii="Arial" w:cs="Arial" w:eastAsia="Arial" w:hAnsi="Arial"/>
                <w:sz w:val="14"/>
                <w:szCs w:val="14"/>
                <w:color w:val="auto"/>
                <w:w w:val="94"/>
              </w:rPr>
              <w:t>488</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ind w:right="30"/>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50"/>
              <w:spacing w:after="0"/>
              <w:rPr>
                <w:sz w:val="20"/>
                <w:szCs w:val="20"/>
                <w:color w:val="auto"/>
              </w:rPr>
            </w:pPr>
            <w:r>
              <w:rPr>
                <w:rFonts w:ascii="Arial" w:cs="Arial" w:eastAsia="Arial" w:hAnsi="Arial"/>
                <w:sz w:val="14"/>
                <w:szCs w:val="14"/>
                <w:color w:val="auto"/>
                <w:w w:val="85"/>
              </w:rPr>
              <w:t>488</w:t>
            </w:r>
          </w:p>
        </w:tc>
        <w:tc>
          <w:tcPr>
            <w:tcW w:w="0" w:type="dxa"/>
            <w:vAlign w:val="bottom"/>
          </w:tcPr>
          <w:p>
            <w:pPr>
              <w:spacing w:after="0"/>
              <w:rPr>
                <w:sz w:val="1"/>
                <w:szCs w:val="1"/>
                <w:color w:val="auto"/>
              </w:rPr>
            </w:pPr>
          </w:p>
        </w:tc>
      </w:tr>
      <w:tr>
        <w:trPr>
          <w:trHeight w:val="237"/>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Suites</w:t>
            </w:r>
            <w:r>
              <w:rPr>
                <w:rFonts w:ascii="Arial" w:cs="Arial" w:eastAsia="Arial" w:hAnsi="Arial"/>
                <w:sz w:val="18"/>
                <w:szCs w:val="18"/>
                <w:color w:val="auto"/>
                <w:vertAlign w:val="superscript"/>
              </w:rPr>
              <w:t>®</w:t>
            </w:r>
            <w:r>
              <w:rPr>
                <w:rFonts w:ascii="Arial" w:cs="Arial" w:eastAsia="Arial" w:hAnsi="Arial"/>
                <w:sz w:val="14"/>
                <w:szCs w:val="14"/>
                <w:color w:val="auto"/>
              </w:rPr>
              <w:t>)</w:t>
            </w:r>
          </w:p>
        </w:tc>
        <w:tc>
          <w:tcPr>
            <w:tcW w:w="1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Rooms</w:t>
            </w:r>
          </w:p>
        </w:tc>
        <w:tc>
          <w:tcPr>
            <w:tcW w:w="1440" w:type="dxa"/>
            <w:vAlign w:val="bottom"/>
            <w:tcBorders>
              <w:bottom w:val="single" w:sz="8" w:color="auto"/>
            </w:tcBorders>
          </w:tcPr>
          <w:p>
            <w:pPr>
              <w:jc w:val="center"/>
              <w:ind w:left="70"/>
              <w:spacing w:after="0"/>
              <w:rPr>
                <w:sz w:val="20"/>
                <w:szCs w:val="20"/>
                <w:color w:val="auto"/>
              </w:rPr>
            </w:pPr>
            <w:r>
              <w:rPr>
                <w:rFonts w:ascii="Arial" w:cs="Arial" w:eastAsia="Arial" w:hAnsi="Arial"/>
                <w:sz w:val="14"/>
                <w:szCs w:val="14"/>
                <w:color w:val="auto"/>
                <w:w w:val="88"/>
              </w:rPr>
              <w:t>57,590</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color w:val="auto"/>
                <w:w w:val="88"/>
              </w:rPr>
              <w:t>57,590</w:t>
            </w:r>
          </w:p>
        </w:tc>
        <w:tc>
          <w:tcPr>
            <w:tcW w:w="0" w:type="dxa"/>
            <w:vAlign w:val="bottom"/>
          </w:tcPr>
          <w:p>
            <w:pPr>
              <w:spacing w:after="0"/>
              <w:rPr>
                <w:sz w:val="1"/>
                <w:szCs w:val="1"/>
                <w:color w:val="auto"/>
              </w:rPr>
            </w:pPr>
          </w:p>
        </w:tc>
      </w:tr>
      <w:tr>
        <w:trPr>
          <w:trHeight w:val="172"/>
        </w:trPr>
        <w:tc>
          <w:tcPr>
            <w:tcW w:w="2440" w:type="dxa"/>
            <w:vAlign w:val="bottom"/>
            <w:vMerge w:val="restart"/>
          </w:tcPr>
          <w:p>
            <w:pPr>
              <w:ind w:left="20"/>
              <w:spacing w:after="0"/>
              <w:rPr>
                <w:sz w:val="20"/>
                <w:szCs w:val="20"/>
                <w:color w:val="auto"/>
              </w:rPr>
            </w:pPr>
            <w:r>
              <w:rPr>
                <w:rFonts w:ascii="Arial" w:cs="Arial" w:eastAsia="Arial" w:hAnsi="Arial"/>
                <w:sz w:val="14"/>
                <w:szCs w:val="14"/>
                <w:color w:val="auto"/>
                <w:w w:val="94"/>
              </w:rPr>
              <w:t>Four Points</w:t>
            </w:r>
            <w:r>
              <w:rPr>
                <w:rFonts w:ascii="Arial" w:cs="Arial" w:eastAsia="Arial" w:hAnsi="Arial"/>
                <w:sz w:val="18"/>
                <w:szCs w:val="18"/>
                <w:color w:val="auto"/>
                <w:w w:val="94"/>
                <w:vertAlign w:val="superscript"/>
              </w:rPr>
              <w:t>®</w:t>
            </w:r>
            <w:r>
              <w:rPr>
                <w:rFonts w:ascii="Arial" w:cs="Arial" w:eastAsia="Arial" w:hAnsi="Arial"/>
                <w:sz w:val="14"/>
                <w:szCs w:val="14"/>
                <w:color w:val="auto"/>
                <w:w w:val="94"/>
              </w:rPr>
              <w:t xml:space="preserve"> by Sheraton (Four Points</w:t>
            </w:r>
            <w:r>
              <w:rPr>
                <w:rFonts w:ascii="Arial" w:cs="Arial" w:eastAsia="Arial" w:hAnsi="Arial"/>
                <w:sz w:val="18"/>
                <w:szCs w:val="18"/>
                <w:color w:val="auto"/>
                <w:w w:val="94"/>
                <w:vertAlign w:val="superscript"/>
              </w:rPr>
              <w:t>®</w:t>
            </w:r>
            <w:r>
              <w:rPr>
                <w:rFonts w:ascii="Arial" w:cs="Arial" w:eastAsia="Arial" w:hAnsi="Arial"/>
                <w:sz w:val="14"/>
                <w:szCs w:val="14"/>
                <w:color w:val="auto"/>
                <w:w w:val="94"/>
              </w:rPr>
              <w:t>)</w:t>
            </w:r>
          </w:p>
        </w:tc>
        <w:tc>
          <w:tcPr>
            <w:tcW w:w="118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70"/>
              <w:spacing w:after="0"/>
              <w:rPr>
                <w:sz w:val="20"/>
                <w:szCs w:val="20"/>
                <w:color w:val="auto"/>
              </w:rPr>
            </w:pPr>
            <w:r>
              <w:rPr>
                <w:rFonts w:ascii="Arial" w:cs="Arial" w:eastAsia="Arial" w:hAnsi="Arial"/>
                <w:sz w:val="14"/>
                <w:szCs w:val="14"/>
                <w:color w:val="auto"/>
                <w:w w:val="94"/>
              </w:rPr>
              <w:t>158</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19</w:t>
            </w:r>
          </w:p>
        </w:tc>
        <w:tc>
          <w:tcPr>
            <w:tcW w:w="1280" w:type="dxa"/>
            <w:vAlign w:val="bottom"/>
          </w:tcPr>
          <w:p>
            <w:pPr>
              <w:jc w:val="center"/>
              <w:spacing w:after="0"/>
              <w:rPr>
                <w:sz w:val="20"/>
                <w:szCs w:val="20"/>
                <w:color w:val="auto"/>
              </w:rPr>
            </w:pPr>
            <w:r>
              <w:rPr>
                <w:rFonts w:ascii="Arial" w:cs="Arial" w:eastAsia="Arial" w:hAnsi="Arial"/>
                <w:sz w:val="14"/>
                <w:szCs w:val="14"/>
                <w:color w:val="auto"/>
                <w:w w:val="89"/>
              </w:rPr>
              <w:t>16</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83</w:t>
            </w:r>
          </w:p>
        </w:tc>
        <w:tc>
          <w:tcPr>
            <w:tcW w:w="1280" w:type="dxa"/>
            <w:vAlign w:val="bottom"/>
          </w:tcPr>
          <w:p>
            <w:pPr>
              <w:jc w:val="center"/>
              <w:ind w:right="30"/>
              <w:spacing w:after="0"/>
              <w:rPr>
                <w:sz w:val="20"/>
                <w:szCs w:val="20"/>
                <w:color w:val="auto"/>
              </w:rPr>
            </w:pPr>
            <w:r>
              <w:rPr>
                <w:rFonts w:ascii="Arial" w:cs="Arial" w:eastAsia="Arial" w:hAnsi="Arial"/>
                <w:sz w:val="14"/>
                <w:szCs w:val="14"/>
                <w:color w:val="auto"/>
                <w:w w:val="89"/>
              </w:rPr>
              <w:t>19</w:t>
            </w:r>
          </w:p>
        </w:tc>
        <w:tc>
          <w:tcPr>
            <w:tcW w:w="1040" w:type="dxa"/>
            <w:vAlign w:val="bottom"/>
          </w:tcPr>
          <w:p>
            <w:pPr>
              <w:jc w:val="center"/>
              <w:ind w:right="50"/>
              <w:spacing w:after="0"/>
              <w:rPr>
                <w:sz w:val="20"/>
                <w:szCs w:val="20"/>
                <w:color w:val="auto"/>
              </w:rPr>
            </w:pPr>
            <w:r>
              <w:rPr>
                <w:rFonts w:ascii="Arial" w:cs="Arial" w:eastAsia="Arial" w:hAnsi="Arial"/>
                <w:sz w:val="14"/>
                <w:szCs w:val="14"/>
                <w:color w:val="auto"/>
                <w:w w:val="85"/>
              </w:rPr>
              <w:t>295</w:t>
            </w:r>
          </w:p>
        </w:tc>
        <w:tc>
          <w:tcPr>
            <w:tcW w:w="0" w:type="dxa"/>
            <w:vAlign w:val="bottom"/>
          </w:tcPr>
          <w:p>
            <w:pPr>
              <w:spacing w:after="0"/>
              <w:rPr>
                <w:sz w:val="1"/>
                <w:szCs w:val="1"/>
                <w:color w:val="auto"/>
              </w:rPr>
            </w:pPr>
          </w:p>
        </w:tc>
      </w:tr>
      <w:tr>
        <w:trPr>
          <w:trHeight w:val="153"/>
        </w:trPr>
        <w:tc>
          <w:tcPr>
            <w:tcW w:w="2440" w:type="dxa"/>
            <w:vAlign w:val="bottom"/>
            <w:vMerge w:val="continue"/>
          </w:tcPr>
          <w:p>
            <w:pPr>
              <w:spacing w:after="0"/>
              <w:rPr>
                <w:sz w:val="13"/>
                <w:szCs w:val="13"/>
                <w:color w:val="auto"/>
              </w:rPr>
            </w:pPr>
          </w:p>
        </w:tc>
        <w:tc>
          <w:tcPr>
            <w:tcW w:w="1180" w:type="dxa"/>
            <w:vAlign w:val="bottom"/>
            <w:vMerge w:val="restart"/>
          </w:tcPr>
          <w:p>
            <w:pPr>
              <w:ind w:left="40"/>
              <w:spacing w:after="0"/>
              <w:rPr>
                <w:sz w:val="20"/>
                <w:szCs w:val="20"/>
                <w:color w:val="auto"/>
              </w:rPr>
            </w:pPr>
            <w:r>
              <w:rPr>
                <w:rFonts w:ascii="Arial" w:cs="Arial" w:eastAsia="Arial" w:hAnsi="Arial"/>
                <w:sz w:val="14"/>
                <w:szCs w:val="14"/>
                <w:color w:val="auto"/>
              </w:rPr>
              <w:t>Rooms</w:t>
            </w:r>
          </w:p>
        </w:tc>
        <w:tc>
          <w:tcPr>
            <w:tcW w:w="1440" w:type="dxa"/>
            <w:vAlign w:val="bottom"/>
            <w:vMerge w:val="restart"/>
          </w:tcPr>
          <w:p>
            <w:pPr>
              <w:jc w:val="center"/>
              <w:ind w:left="70"/>
              <w:spacing w:after="0"/>
              <w:rPr>
                <w:sz w:val="20"/>
                <w:szCs w:val="20"/>
                <w:color w:val="auto"/>
              </w:rPr>
            </w:pPr>
            <w:r>
              <w:rPr>
                <w:rFonts w:ascii="Arial" w:cs="Arial" w:eastAsia="Arial" w:hAnsi="Arial"/>
                <w:sz w:val="14"/>
                <w:szCs w:val="14"/>
                <w:color w:val="auto"/>
                <w:w w:val="88"/>
              </w:rPr>
              <w:t>23,836</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85"/>
              </w:rPr>
              <w:t>2,913</w:t>
            </w:r>
          </w:p>
        </w:tc>
        <w:tc>
          <w:tcPr>
            <w:tcW w:w="1280" w:type="dxa"/>
            <w:vAlign w:val="bottom"/>
            <w:vMerge w:val="restart"/>
          </w:tcPr>
          <w:p>
            <w:pPr>
              <w:jc w:val="center"/>
              <w:ind w:left="10"/>
              <w:spacing w:after="0"/>
              <w:rPr>
                <w:sz w:val="20"/>
                <w:szCs w:val="20"/>
                <w:color w:val="auto"/>
              </w:rPr>
            </w:pPr>
            <w:r>
              <w:rPr>
                <w:rFonts w:ascii="Arial" w:cs="Arial" w:eastAsia="Arial" w:hAnsi="Arial"/>
                <w:sz w:val="14"/>
                <w:szCs w:val="14"/>
                <w:color w:val="auto"/>
                <w:w w:val="91"/>
              </w:rPr>
              <w:t>4,058</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88"/>
              </w:rPr>
              <w:t>21,636</w:t>
            </w:r>
          </w:p>
        </w:tc>
        <w:tc>
          <w:tcPr>
            <w:tcW w:w="1280" w:type="dxa"/>
            <w:vAlign w:val="bottom"/>
            <w:vMerge w:val="restart"/>
          </w:tcPr>
          <w:p>
            <w:pPr>
              <w:jc w:val="center"/>
              <w:ind w:right="10"/>
              <w:spacing w:after="0"/>
              <w:rPr>
                <w:sz w:val="20"/>
                <w:szCs w:val="20"/>
                <w:color w:val="auto"/>
              </w:rPr>
            </w:pPr>
            <w:r>
              <w:rPr>
                <w:rFonts w:ascii="Arial" w:cs="Arial" w:eastAsia="Arial" w:hAnsi="Arial"/>
                <w:sz w:val="14"/>
                <w:szCs w:val="14"/>
                <w:color w:val="auto"/>
                <w:w w:val="91"/>
              </w:rPr>
              <w:t>2,500</w:t>
            </w:r>
          </w:p>
        </w:tc>
        <w:tc>
          <w:tcPr>
            <w:tcW w:w="1040" w:type="dxa"/>
            <w:vAlign w:val="bottom"/>
            <w:vMerge w:val="restart"/>
          </w:tcPr>
          <w:p>
            <w:pPr>
              <w:jc w:val="center"/>
              <w:ind w:right="30"/>
              <w:spacing w:after="0"/>
              <w:rPr>
                <w:sz w:val="20"/>
                <w:szCs w:val="20"/>
                <w:color w:val="auto"/>
              </w:rPr>
            </w:pPr>
            <w:r>
              <w:rPr>
                <w:rFonts w:ascii="Arial" w:cs="Arial" w:eastAsia="Arial" w:hAnsi="Arial"/>
                <w:sz w:val="14"/>
                <w:szCs w:val="14"/>
                <w:color w:val="auto"/>
                <w:w w:val="88"/>
              </w:rPr>
              <w:t>54,943</w:t>
            </w:r>
          </w:p>
        </w:tc>
        <w:tc>
          <w:tcPr>
            <w:tcW w:w="0" w:type="dxa"/>
            <w:vAlign w:val="bottom"/>
          </w:tcPr>
          <w:p>
            <w:pPr>
              <w:spacing w:after="0"/>
              <w:rPr>
                <w:sz w:val="1"/>
                <w:szCs w:val="1"/>
                <w:color w:val="auto"/>
              </w:rPr>
            </w:pPr>
          </w:p>
        </w:tc>
      </w:tr>
      <w:tr>
        <w:trPr>
          <w:trHeight w:val="52"/>
        </w:trPr>
        <w:tc>
          <w:tcPr>
            <w:tcW w:w="24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440" w:type="dxa"/>
            <w:vAlign w:val="bottom"/>
          </w:tcPr>
          <w:p>
            <w:pPr>
              <w:ind w:left="20"/>
              <w:spacing w:after="0" w:line="164" w:lineRule="exact"/>
              <w:rPr>
                <w:sz w:val="20"/>
                <w:szCs w:val="20"/>
                <w:color w:val="auto"/>
              </w:rPr>
            </w:pPr>
            <w:r>
              <w:rPr>
                <w:rFonts w:ascii="Arial" w:cs="Arial" w:eastAsia="Arial" w:hAnsi="Arial"/>
                <w:sz w:val="14"/>
                <w:szCs w:val="14"/>
                <w:color w:val="auto"/>
              </w:rPr>
              <w:t>TownePlace Suites by Marriott</w:t>
            </w:r>
            <w:r>
              <w:rPr>
                <w:rFonts w:ascii="Arial" w:cs="Arial" w:eastAsia="Arial" w:hAnsi="Arial"/>
                <w:sz w:val="18"/>
                <w:szCs w:val="18"/>
                <w:color w:val="auto"/>
                <w:vertAlign w:val="superscript"/>
              </w:rPr>
              <w:t>®</w:t>
            </w:r>
          </w:p>
        </w:tc>
        <w:tc>
          <w:tcPr>
            <w:tcW w:w="1180" w:type="dxa"/>
            <w:vAlign w:val="bottom"/>
          </w:tcPr>
          <w:p>
            <w:pPr>
              <w:ind w:left="40"/>
              <w:spacing w:after="0"/>
              <w:rPr>
                <w:sz w:val="20"/>
                <w:szCs w:val="20"/>
                <w:color w:val="auto"/>
              </w:rPr>
            </w:pPr>
            <w:r>
              <w:rPr>
                <w:rFonts w:ascii="Arial" w:cs="Arial" w:eastAsia="Arial" w:hAnsi="Arial"/>
                <w:sz w:val="14"/>
                <w:szCs w:val="14"/>
                <w:color w:val="auto"/>
              </w:rPr>
              <w:t>Properties</w:t>
            </w:r>
          </w:p>
        </w:tc>
        <w:tc>
          <w:tcPr>
            <w:tcW w:w="1440" w:type="dxa"/>
            <w:vAlign w:val="bottom"/>
          </w:tcPr>
          <w:p>
            <w:pPr>
              <w:jc w:val="center"/>
              <w:ind w:left="70"/>
              <w:spacing w:after="0"/>
              <w:rPr>
                <w:sz w:val="20"/>
                <w:szCs w:val="20"/>
                <w:color w:val="auto"/>
              </w:rPr>
            </w:pPr>
            <w:r>
              <w:rPr>
                <w:rFonts w:ascii="Arial" w:cs="Arial" w:eastAsia="Arial" w:hAnsi="Arial"/>
                <w:sz w:val="14"/>
                <w:szCs w:val="14"/>
                <w:color w:val="auto"/>
                <w:w w:val="94"/>
              </w:rPr>
              <w:t>446</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ind w:right="30"/>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right="50"/>
              <w:spacing w:after="0"/>
              <w:rPr>
                <w:sz w:val="20"/>
                <w:szCs w:val="20"/>
                <w:color w:val="auto"/>
              </w:rPr>
            </w:pPr>
            <w:r>
              <w:rPr>
                <w:rFonts w:ascii="Arial" w:cs="Arial" w:eastAsia="Arial" w:hAnsi="Arial"/>
                <w:sz w:val="14"/>
                <w:szCs w:val="14"/>
                <w:color w:val="auto"/>
                <w:w w:val="85"/>
              </w:rPr>
              <w:t>446</w:t>
            </w:r>
          </w:p>
        </w:tc>
        <w:tc>
          <w:tcPr>
            <w:tcW w:w="0" w:type="dxa"/>
            <w:vAlign w:val="bottom"/>
          </w:tcPr>
          <w:p>
            <w:pPr>
              <w:spacing w:after="0"/>
              <w:rPr>
                <w:sz w:val="1"/>
                <w:szCs w:val="1"/>
                <w:color w:val="auto"/>
              </w:rPr>
            </w:pPr>
          </w:p>
        </w:tc>
      </w:tr>
      <w:tr>
        <w:trPr>
          <w:trHeight w:val="237"/>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(TownePlace Suites</w:t>
            </w:r>
            <w:r>
              <w:rPr>
                <w:rFonts w:ascii="Arial" w:cs="Arial" w:eastAsia="Arial" w:hAnsi="Arial"/>
                <w:sz w:val="18"/>
                <w:szCs w:val="18"/>
                <w:color w:val="auto"/>
                <w:vertAlign w:val="superscript"/>
              </w:rPr>
              <w:t>®</w:t>
            </w:r>
            <w:r>
              <w:rPr>
                <w:rFonts w:ascii="Arial" w:cs="Arial" w:eastAsia="Arial" w:hAnsi="Arial"/>
                <w:sz w:val="14"/>
                <w:szCs w:val="14"/>
                <w:color w:val="auto"/>
              </w:rPr>
              <w:t>)</w:t>
            </w:r>
          </w:p>
        </w:tc>
        <w:tc>
          <w:tcPr>
            <w:tcW w:w="1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Rooms</w:t>
            </w:r>
          </w:p>
        </w:tc>
        <w:tc>
          <w:tcPr>
            <w:tcW w:w="1440" w:type="dxa"/>
            <w:vAlign w:val="bottom"/>
            <w:tcBorders>
              <w:bottom w:val="single" w:sz="8" w:color="auto"/>
            </w:tcBorders>
          </w:tcPr>
          <w:p>
            <w:pPr>
              <w:jc w:val="center"/>
              <w:ind w:left="70"/>
              <w:spacing w:after="0"/>
              <w:rPr>
                <w:sz w:val="20"/>
                <w:szCs w:val="20"/>
                <w:color w:val="auto"/>
              </w:rPr>
            </w:pPr>
            <w:r>
              <w:rPr>
                <w:rFonts w:ascii="Arial" w:cs="Arial" w:eastAsia="Arial" w:hAnsi="Arial"/>
                <w:sz w:val="14"/>
                <w:szCs w:val="14"/>
                <w:color w:val="auto"/>
                <w:w w:val="88"/>
              </w:rPr>
              <w:t>45,320</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color w:val="auto"/>
                <w:w w:val="88"/>
              </w:rPr>
              <w:t>45,320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680"/>
          </w:cols>
          <w:pgMar w:left="320" w:top="127" w:right="89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80" w:type="dxa"/>
            <w:vAlign w:val="bottom"/>
          </w:tcPr>
          <w:p>
            <w:pPr>
              <w:ind w:left="540"/>
              <w:spacing w:after="0"/>
              <w:rPr>
                <w:sz w:val="20"/>
                <w:szCs w:val="20"/>
                <w:color w:val="auto"/>
              </w:rPr>
            </w:pPr>
            <w:r>
              <w:rPr>
                <w:rFonts w:ascii="Arial" w:cs="Arial" w:eastAsia="Arial" w:hAnsi="Arial"/>
                <w:sz w:val="14"/>
                <w:szCs w:val="14"/>
                <w:b w:val="1"/>
                <w:bCs w:val="1"/>
                <w:color w:val="auto"/>
              </w:rPr>
              <w:t>U.S. &amp;</w:t>
            </w:r>
          </w:p>
        </w:tc>
        <w:tc>
          <w:tcPr>
            <w:tcW w:w="9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Europe</w:t>
            </w:r>
          </w:p>
        </w:tc>
        <w:tc>
          <w:tcPr>
            <w:tcW w:w="1240" w:type="dxa"/>
            <w:vAlign w:val="bottom"/>
          </w:tcPr>
          <w:p>
            <w:pPr>
              <w:jc w:val="center"/>
              <w:ind w:left="10"/>
              <w:spacing w:after="0"/>
              <w:rPr>
                <w:sz w:val="20"/>
                <w:szCs w:val="20"/>
                <w:color w:val="auto"/>
              </w:rPr>
            </w:pPr>
            <w:r>
              <w:rPr>
                <w:rFonts w:ascii="Arial" w:cs="Arial" w:eastAsia="Arial" w:hAnsi="Arial"/>
                <w:sz w:val="14"/>
                <w:szCs w:val="14"/>
                <w:b w:val="1"/>
                <w:bCs w:val="1"/>
                <w:color w:val="auto"/>
                <w:w w:val="95"/>
              </w:rPr>
              <w:t>Middle East &amp;</w:t>
            </w:r>
          </w:p>
        </w:tc>
        <w:tc>
          <w:tcPr>
            <w:tcW w:w="10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Asia Pacific</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Caribbean &amp;</w:t>
            </w:r>
          </w:p>
        </w:tc>
        <w:tc>
          <w:tcPr>
            <w:tcW w:w="106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Canada</w:t>
            </w:r>
          </w:p>
        </w:tc>
        <w:tc>
          <w:tcPr>
            <w:tcW w:w="900" w:type="dxa"/>
            <w:vAlign w:val="bottom"/>
            <w:tcBorders>
              <w:bottom w:val="single" w:sz="8" w:color="auto"/>
            </w:tcBorders>
            <w:vMerge w:val="continue"/>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Africa</w:t>
            </w:r>
          </w:p>
        </w:tc>
        <w:tc>
          <w:tcPr>
            <w:tcW w:w="100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Latin America</w:t>
            </w: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220" w:type="dxa"/>
            <w:vAlign w:val="bottom"/>
            <w:vMerge w:val="restart"/>
          </w:tcPr>
          <w:p>
            <w:pPr>
              <w:ind w:left="20"/>
              <w:spacing w:after="0"/>
              <w:rPr>
                <w:sz w:val="20"/>
                <w:szCs w:val="20"/>
                <w:color w:val="auto"/>
              </w:rPr>
            </w:pPr>
            <w:r>
              <w:rPr>
                <w:rFonts w:ascii="Arial" w:cs="Arial" w:eastAsia="Arial" w:hAnsi="Arial"/>
                <w:sz w:val="14"/>
                <w:szCs w:val="14"/>
                <w:color w:val="auto"/>
              </w:rPr>
              <w:t>Aloft</w:t>
            </w:r>
            <w:r>
              <w:rPr>
                <w:rFonts w:ascii="Arial" w:cs="Arial" w:eastAsia="Arial" w:hAnsi="Arial"/>
                <w:sz w:val="18"/>
                <w:szCs w:val="18"/>
                <w:color w:val="auto"/>
                <w:vertAlign w:val="superscript"/>
              </w:rPr>
              <w:t>®</w:t>
            </w:r>
            <w:r>
              <w:rPr>
                <w:rFonts w:ascii="Arial" w:cs="Arial" w:eastAsia="Arial" w:hAnsi="Arial"/>
                <w:sz w:val="14"/>
                <w:szCs w:val="14"/>
                <w:color w:val="auto"/>
              </w:rPr>
              <w:t xml:space="preserve"> Hotels</w:t>
            </w:r>
          </w:p>
        </w:tc>
        <w:tc>
          <w:tcPr>
            <w:tcW w:w="1560" w:type="dxa"/>
            <w:vAlign w:val="bottom"/>
          </w:tcPr>
          <w:p>
            <w:pPr>
              <w:ind w:left="240"/>
              <w:spacing w:after="0"/>
              <w:rPr>
                <w:sz w:val="20"/>
                <w:szCs w:val="20"/>
                <w:color w:val="auto"/>
              </w:rPr>
            </w:pPr>
            <w:r>
              <w:rPr>
                <w:rFonts w:ascii="Arial" w:cs="Arial" w:eastAsia="Arial" w:hAnsi="Arial"/>
                <w:sz w:val="14"/>
                <w:szCs w:val="14"/>
                <w:color w:val="auto"/>
              </w:rPr>
              <w:t>Properties</w:t>
            </w:r>
          </w:p>
        </w:tc>
        <w:tc>
          <w:tcPr>
            <w:tcW w:w="1180" w:type="dxa"/>
            <w:vAlign w:val="bottom"/>
          </w:tcPr>
          <w:p>
            <w:pPr>
              <w:jc w:val="center"/>
              <w:ind w:right="10"/>
              <w:spacing w:after="0"/>
              <w:rPr>
                <w:sz w:val="20"/>
                <w:szCs w:val="20"/>
                <w:color w:val="auto"/>
              </w:rPr>
            </w:pPr>
            <w:r>
              <w:rPr>
                <w:rFonts w:ascii="Arial" w:cs="Arial" w:eastAsia="Arial" w:hAnsi="Arial"/>
                <w:sz w:val="14"/>
                <w:szCs w:val="14"/>
                <w:color w:val="auto"/>
                <w:w w:val="94"/>
              </w:rPr>
              <w:t>134</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10</w:t>
            </w:r>
          </w:p>
        </w:tc>
        <w:tc>
          <w:tcPr>
            <w:tcW w:w="1240" w:type="dxa"/>
            <w:vAlign w:val="bottom"/>
          </w:tcPr>
          <w:p>
            <w:pPr>
              <w:jc w:val="center"/>
              <w:spacing w:after="0"/>
              <w:rPr>
                <w:sz w:val="20"/>
                <w:szCs w:val="20"/>
                <w:color w:val="auto"/>
              </w:rPr>
            </w:pPr>
            <w:r>
              <w:rPr>
                <w:rFonts w:ascii="Arial" w:cs="Arial" w:eastAsia="Arial" w:hAnsi="Arial"/>
                <w:sz w:val="14"/>
                <w:szCs w:val="14"/>
                <w:color w:val="auto"/>
                <w:w w:val="76"/>
              </w:rPr>
              <w:t>8</w:t>
            </w: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30</w:t>
            </w:r>
          </w:p>
        </w:tc>
        <w:tc>
          <w:tcPr>
            <w:tcW w:w="1220" w:type="dxa"/>
            <w:vAlign w:val="bottom"/>
          </w:tcPr>
          <w:p>
            <w:pPr>
              <w:jc w:val="center"/>
              <w:spacing w:after="0"/>
              <w:rPr>
                <w:sz w:val="20"/>
                <w:szCs w:val="20"/>
                <w:color w:val="auto"/>
              </w:rPr>
            </w:pPr>
            <w:r>
              <w:rPr>
                <w:rFonts w:ascii="Arial" w:cs="Arial" w:eastAsia="Arial" w:hAnsi="Arial"/>
                <w:sz w:val="14"/>
                <w:szCs w:val="14"/>
                <w:color w:val="auto"/>
                <w:w w:val="89"/>
              </w:rPr>
              <w:t>10</w:t>
            </w:r>
          </w:p>
        </w:tc>
        <w:tc>
          <w:tcPr>
            <w:tcW w:w="1060" w:type="dxa"/>
            <w:vAlign w:val="bottom"/>
          </w:tcPr>
          <w:p>
            <w:pPr>
              <w:jc w:val="center"/>
              <w:ind w:right="10"/>
              <w:spacing w:after="0"/>
              <w:rPr>
                <w:sz w:val="20"/>
                <w:szCs w:val="20"/>
                <w:color w:val="auto"/>
              </w:rPr>
            </w:pPr>
            <w:r>
              <w:rPr>
                <w:rFonts w:ascii="Arial" w:cs="Arial" w:eastAsia="Arial" w:hAnsi="Arial"/>
                <w:sz w:val="14"/>
                <w:szCs w:val="14"/>
                <w:color w:val="auto"/>
                <w:w w:val="94"/>
              </w:rPr>
              <w:t>192</w:t>
            </w:r>
          </w:p>
        </w:tc>
        <w:tc>
          <w:tcPr>
            <w:tcW w:w="0" w:type="dxa"/>
            <w:vAlign w:val="bottom"/>
          </w:tcPr>
          <w:p>
            <w:pPr>
              <w:spacing w:after="0"/>
              <w:rPr>
                <w:sz w:val="1"/>
                <w:szCs w:val="1"/>
                <w:color w:val="auto"/>
              </w:rPr>
            </w:pPr>
          </w:p>
        </w:tc>
      </w:tr>
      <w:tr>
        <w:trPr>
          <w:trHeight w:val="185"/>
        </w:trPr>
        <w:tc>
          <w:tcPr>
            <w:tcW w:w="2220" w:type="dxa"/>
            <w:vAlign w:val="bottom"/>
            <w:vMerge w:val="continue"/>
          </w:tcPr>
          <w:p>
            <w:pPr>
              <w:spacing w:after="0"/>
              <w:rPr>
                <w:sz w:val="16"/>
                <w:szCs w:val="16"/>
                <w:color w:val="auto"/>
              </w:rPr>
            </w:pPr>
          </w:p>
        </w:tc>
        <w:tc>
          <w:tcPr>
            <w:tcW w:w="1560" w:type="dxa"/>
            <w:vAlign w:val="bottom"/>
            <w:vMerge w:val="restart"/>
          </w:tcPr>
          <w:p>
            <w:pPr>
              <w:ind w:left="240"/>
              <w:spacing w:after="0"/>
              <w:rPr>
                <w:sz w:val="20"/>
                <w:szCs w:val="20"/>
                <w:color w:val="auto"/>
              </w:rPr>
            </w:pPr>
            <w:r>
              <w:rPr>
                <w:rFonts w:ascii="Arial" w:cs="Arial" w:eastAsia="Arial" w:hAnsi="Arial"/>
                <w:sz w:val="14"/>
                <w:szCs w:val="14"/>
                <w:color w:val="auto"/>
              </w:rPr>
              <w:t>Rooms</w:t>
            </w:r>
          </w:p>
        </w:tc>
        <w:tc>
          <w:tcPr>
            <w:tcW w:w="1180" w:type="dxa"/>
            <w:vAlign w:val="bottom"/>
            <w:vMerge w:val="restart"/>
          </w:tcPr>
          <w:p>
            <w:pPr>
              <w:jc w:val="center"/>
              <w:ind w:right="10"/>
              <w:spacing w:after="0"/>
              <w:rPr>
                <w:sz w:val="20"/>
                <w:szCs w:val="20"/>
                <w:color w:val="auto"/>
              </w:rPr>
            </w:pPr>
            <w:r>
              <w:rPr>
                <w:rFonts w:ascii="Arial" w:cs="Arial" w:eastAsia="Arial" w:hAnsi="Arial"/>
                <w:sz w:val="14"/>
                <w:szCs w:val="14"/>
                <w:color w:val="auto"/>
                <w:w w:val="88"/>
              </w:rPr>
              <w:t>19,619</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1"/>
              </w:rPr>
              <w:t>1,614</w:t>
            </w:r>
          </w:p>
        </w:tc>
        <w:tc>
          <w:tcPr>
            <w:tcW w:w="1240" w:type="dxa"/>
            <w:vAlign w:val="bottom"/>
            <w:vMerge w:val="restart"/>
          </w:tcPr>
          <w:p>
            <w:pPr>
              <w:jc w:val="center"/>
              <w:ind w:left="10"/>
              <w:spacing w:after="0"/>
              <w:rPr>
                <w:sz w:val="20"/>
                <w:szCs w:val="20"/>
                <w:color w:val="auto"/>
              </w:rPr>
            </w:pPr>
            <w:r>
              <w:rPr>
                <w:rFonts w:ascii="Arial" w:cs="Arial" w:eastAsia="Arial" w:hAnsi="Arial"/>
                <w:sz w:val="14"/>
                <w:szCs w:val="14"/>
                <w:color w:val="auto"/>
                <w:w w:val="91"/>
              </w:rPr>
              <w:t>2,006</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w w:val="91"/>
              </w:rPr>
              <w:t>6,732</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85"/>
              </w:rPr>
              <w:t>1,679</w:t>
            </w:r>
          </w:p>
        </w:tc>
        <w:tc>
          <w:tcPr>
            <w:tcW w:w="1060" w:type="dxa"/>
            <w:vAlign w:val="bottom"/>
            <w:vMerge w:val="restart"/>
          </w:tcPr>
          <w:p>
            <w:pPr>
              <w:jc w:val="center"/>
              <w:ind w:right="10"/>
              <w:spacing w:after="0"/>
              <w:rPr>
                <w:sz w:val="20"/>
                <w:szCs w:val="20"/>
                <w:color w:val="auto"/>
              </w:rPr>
            </w:pPr>
            <w:r>
              <w:rPr>
                <w:rFonts w:ascii="Arial" w:cs="Arial" w:eastAsia="Arial" w:hAnsi="Arial"/>
                <w:sz w:val="14"/>
                <w:szCs w:val="14"/>
                <w:color w:val="auto"/>
                <w:w w:val="88"/>
              </w:rPr>
              <w:t>31,650</w:t>
            </w:r>
          </w:p>
        </w:tc>
        <w:tc>
          <w:tcPr>
            <w:tcW w:w="0" w:type="dxa"/>
            <w:vAlign w:val="bottom"/>
          </w:tcPr>
          <w:p>
            <w:pPr>
              <w:spacing w:after="0"/>
              <w:rPr>
                <w:sz w:val="1"/>
                <w:szCs w:val="1"/>
                <w:color w:val="auto"/>
              </w:rPr>
            </w:pPr>
          </w:p>
        </w:tc>
      </w:tr>
      <w:tr>
        <w:trPr>
          <w:trHeight w:val="78"/>
        </w:trPr>
        <w:tc>
          <w:tcPr>
            <w:tcW w:w="222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22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220" w:type="dxa"/>
            <w:vAlign w:val="bottom"/>
            <w:vMerge w:val="restart"/>
          </w:tcPr>
          <w:p>
            <w:pPr>
              <w:ind w:left="20"/>
              <w:spacing w:after="0"/>
              <w:rPr>
                <w:sz w:val="20"/>
                <w:szCs w:val="20"/>
                <w:color w:val="auto"/>
              </w:rPr>
            </w:pPr>
            <w:r>
              <w:rPr>
                <w:rFonts w:ascii="Arial" w:cs="Arial" w:eastAsia="Arial" w:hAnsi="Arial"/>
                <w:sz w:val="14"/>
                <w:szCs w:val="14"/>
                <w:color w:val="auto"/>
              </w:rPr>
              <w:t>AC Hotels by Marriott</w:t>
            </w:r>
            <w:r>
              <w:rPr>
                <w:rFonts w:ascii="Arial" w:cs="Arial" w:eastAsia="Arial" w:hAnsi="Arial"/>
                <w:sz w:val="18"/>
                <w:szCs w:val="18"/>
                <w:color w:val="auto"/>
                <w:vertAlign w:val="superscript"/>
              </w:rPr>
              <w:t>®</w:t>
            </w:r>
          </w:p>
        </w:tc>
        <w:tc>
          <w:tcPr>
            <w:tcW w:w="1560" w:type="dxa"/>
            <w:vAlign w:val="bottom"/>
          </w:tcPr>
          <w:p>
            <w:pPr>
              <w:ind w:left="240"/>
              <w:spacing w:after="0"/>
              <w:rPr>
                <w:sz w:val="20"/>
                <w:szCs w:val="20"/>
                <w:color w:val="auto"/>
              </w:rPr>
            </w:pPr>
            <w:r>
              <w:rPr>
                <w:rFonts w:ascii="Arial" w:cs="Arial" w:eastAsia="Arial" w:hAnsi="Arial"/>
                <w:sz w:val="14"/>
                <w:szCs w:val="14"/>
                <w:color w:val="auto"/>
              </w:rPr>
              <w:t>Properties</w:t>
            </w:r>
          </w:p>
        </w:tc>
        <w:tc>
          <w:tcPr>
            <w:tcW w:w="1180" w:type="dxa"/>
            <w:vAlign w:val="bottom"/>
          </w:tcPr>
          <w:p>
            <w:pPr>
              <w:jc w:val="center"/>
              <w:ind w:right="10"/>
              <w:spacing w:after="0"/>
              <w:rPr>
                <w:sz w:val="20"/>
                <w:szCs w:val="20"/>
                <w:color w:val="auto"/>
              </w:rPr>
            </w:pPr>
            <w:r>
              <w:rPr>
                <w:rFonts w:ascii="Arial" w:cs="Arial" w:eastAsia="Arial" w:hAnsi="Arial"/>
                <w:sz w:val="14"/>
                <w:szCs w:val="14"/>
                <w:color w:val="auto"/>
                <w:w w:val="89"/>
              </w:rPr>
              <w:t>73</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84</w:t>
            </w:r>
          </w:p>
        </w:tc>
        <w:tc>
          <w:tcPr>
            <w:tcW w:w="1240" w:type="dxa"/>
            <w:vAlign w:val="bottom"/>
          </w:tcPr>
          <w:p>
            <w:pPr>
              <w:jc w:val="center"/>
              <w:spacing w:after="0"/>
              <w:rPr>
                <w:sz w:val="20"/>
                <w:szCs w:val="20"/>
                <w:color w:val="auto"/>
              </w:rPr>
            </w:pPr>
            <w:r>
              <w:rPr>
                <w:rFonts w:ascii="Arial" w:cs="Arial" w:eastAsia="Arial" w:hAnsi="Arial"/>
                <w:sz w:val="14"/>
                <w:szCs w:val="14"/>
                <w:color w:val="auto"/>
                <w:w w:val="76"/>
              </w:rPr>
              <w:t>1</w:t>
            </w:r>
          </w:p>
        </w:tc>
        <w:tc>
          <w:tcPr>
            <w:tcW w:w="1000" w:type="dxa"/>
            <w:vAlign w:val="bottom"/>
          </w:tcPr>
          <w:p>
            <w:pPr>
              <w:jc w:val="center"/>
              <w:spacing w:after="0"/>
              <w:rPr>
                <w:sz w:val="20"/>
                <w:szCs w:val="20"/>
                <w:color w:val="auto"/>
              </w:rPr>
            </w:pPr>
            <w:r>
              <w:rPr>
                <w:rFonts w:ascii="Arial" w:cs="Arial" w:eastAsia="Arial" w:hAnsi="Arial"/>
                <w:sz w:val="14"/>
                <w:szCs w:val="14"/>
                <w:color w:val="auto"/>
              </w:rPr>
              <w:t>4</w:t>
            </w:r>
          </w:p>
        </w:tc>
        <w:tc>
          <w:tcPr>
            <w:tcW w:w="1220" w:type="dxa"/>
            <w:vAlign w:val="bottom"/>
          </w:tcPr>
          <w:p>
            <w:pPr>
              <w:jc w:val="center"/>
              <w:spacing w:after="0"/>
              <w:rPr>
                <w:sz w:val="20"/>
                <w:szCs w:val="20"/>
                <w:color w:val="auto"/>
              </w:rPr>
            </w:pPr>
            <w:r>
              <w:rPr>
                <w:rFonts w:ascii="Arial" w:cs="Arial" w:eastAsia="Arial" w:hAnsi="Arial"/>
                <w:sz w:val="14"/>
                <w:szCs w:val="14"/>
                <w:color w:val="auto"/>
                <w:w w:val="89"/>
              </w:rPr>
              <w:t>14</w:t>
            </w:r>
          </w:p>
        </w:tc>
        <w:tc>
          <w:tcPr>
            <w:tcW w:w="1060" w:type="dxa"/>
            <w:vAlign w:val="bottom"/>
          </w:tcPr>
          <w:p>
            <w:pPr>
              <w:jc w:val="center"/>
              <w:ind w:right="10"/>
              <w:spacing w:after="0"/>
              <w:rPr>
                <w:sz w:val="20"/>
                <w:szCs w:val="20"/>
                <w:color w:val="auto"/>
              </w:rPr>
            </w:pPr>
            <w:r>
              <w:rPr>
                <w:rFonts w:ascii="Arial" w:cs="Arial" w:eastAsia="Arial" w:hAnsi="Arial"/>
                <w:sz w:val="14"/>
                <w:szCs w:val="14"/>
                <w:color w:val="auto"/>
                <w:w w:val="94"/>
              </w:rPr>
              <w:t>176</w:t>
            </w:r>
          </w:p>
        </w:tc>
        <w:tc>
          <w:tcPr>
            <w:tcW w:w="0" w:type="dxa"/>
            <w:vAlign w:val="bottom"/>
          </w:tcPr>
          <w:p>
            <w:pPr>
              <w:spacing w:after="0"/>
              <w:rPr>
                <w:sz w:val="1"/>
                <w:szCs w:val="1"/>
                <w:color w:val="auto"/>
              </w:rPr>
            </w:pPr>
          </w:p>
        </w:tc>
      </w:tr>
      <w:tr>
        <w:trPr>
          <w:trHeight w:val="185"/>
        </w:trPr>
        <w:tc>
          <w:tcPr>
            <w:tcW w:w="2220" w:type="dxa"/>
            <w:vAlign w:val="bottom"/>
            <w:vMerge w:val="continue"/>
          </w:tcPr>
          <w:p>
            <w:pPr>
              <w:spacing w:after="0"/>
              <w:rPr>
                <w:sz w:val="16"/>
                <w:szCs w:val="16"/>
                <w:color w:val="auto"/>
              </w:rPr>
            </w:pPr>
          </w:p>
        </w:tc>
        <w:tc>
          <w:tcPr>
            <w:tcW w:w="1560" w:type="dxa"/>
            <w:vAlign w:val="bottom"/>
            <w:vMerge w:val="restart"/>
          </w:tcPr>
          <w:p>
            <w:pPr>
              <w:ind w:left="240"/>
              <w:spacing w:after="0"/>
              <w:rPr>
                <w:sz w:val="20"/>
                <w:szCs w:val="20"/>
                <w:color w:val="auto"/>
              </w:rPr>
            </w:pPr>
            <w:r>
              <w:rPr>
                <w:rFonts w:ascii="Arial" w:cs="Arial" w:eastAsia="Arial" w:hAnsi="Arial"/>
                <w:sz w:val="14"/>
                <w:szCs w:val="14"/>
                <w:color w:val="auto"/>
              </w:rPr>
              <w:t>Rooms</w:t>
            </w:r>
          </w:p>
        </w:tc>
        <w:tc>
          <w:tcPr>
            <w:tcW w:w="1180" w:type="dxa"/>
            <w:vAlign w:val="bottom"/>
            <w:vMerge w:val="restart"/>
          </w:tcPr>
          <w:p>
            <w:pPr>
              <w:jc w:val="center"/>
              <w:ind w:right="10"/>
              <w:spacing w:after="0"/>
              <w:rPr>
                <w:sz w:val="20"/>
                <w:szCs w:val="20"/>
                <w:color w:val="auto"/>
              </w:rPr>
            </w:pPr>
            <w:r>
              <w:rPr>
                <w:rFonts w:ascii="Arial" w:cs="Arial" w:eastAsia="Arial" w:hAnsi="Arial"/>
                <w:sz w:val="14"/>
                <w:szCs w:val="14"/>
                <w:color w:val="auto"/>
                <w:w w:val="88"/>
              </w:rPr>
              <w:t>12,337</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3"/>
              </w:rPr>
              <w:t>10,854</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4"/>
              </w:rPr>
              <w:t>188</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w w:val="91"/>
              </w:rPr>
              <w:t>1,296</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85"/>
              </w:rPr>
              <w:t>2,254</w:t>
            </w:r>
          </w:p>
        </w:tc>
        <w:tc>
          <w:tcPr>
            <w:tcW w:w="1060" w:type="dxa"/>
            <w:vAlign w:val="bottom"/>
            <w:vMerge w:val="restart"/>
          </w:tcPr>
          <w:p>
            <w:pPr>
              <w:jc w:val="center"/>
              <w:ind w:right="10"/>
              <w:spacing w:after="0"/>
              <w:rPr>
                <w:sz w:val="20"/>
                <w:szCs w:val="20"/>
                <w:color w:val="auto"/>
              </w:rPr>
            </w:pPr>
            <w:r>
              <w:rPr>
                <w:rFonts w:ascii="Arial" w:cs="Arial" w:eastAsia="Arial" w:hAnsi="Arial"/>
                <w:sz w:val="14"/>
                <w:szCs w:val="14"/>
                <w:color w:val="auto"/>
                <w:w w:val="88"/>
              </w:rPr>
              <w:t>26,929</w:t>
            </w:r>
          </w:p>
        </w:tc>
        <w:tc>
          <w:tcPr>
            <w:tcW w:w="0" w:type="dxa"/>
            <w:vAlign w:val="bottom"/>
          </w:tcPr>
          <w:p>
            <w:pPr>
              <w:spacing w:after="0"/>
              <w:rPr>
                <w:sz w:val="1"/>
                <w:szCs w:val="1"/>
                <w:color w:val="auto"/>
              </w:rPr>
            </w:pPr>
          </w:p>
        </w:tc>
      </w:tr>
      <w:tr>
        <w:trPr>
          <w:trHeight w:val="78"/>
        </w:trPr>
        <w:tc>
          <w:tcPr>
            <w:tcW w:w="222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22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220" w:type="dxa"/>
            <w:vAlign w:val="bottom"/>
          </w:tcPr>
          <w:p>
            <w:pPr>
              <w:ind w:left="20"/>
              <w:spacing w:after="0"/>
              <w:rPr>
                <w:sz w:val="20"/>
                <w:szCs w:val="20"/>
                <w:color w:val="auto"/>
              </w:rPr>
            </w:pPr>
            <w:r>
              <w:rPr>
                <w:rFonts w:ascii="Arial" w:cs="Arial" w:eastAsia="Arial" w:hAnsi="Arial"/>
                <w:sz w:val="14"/>
                <w:szCs w:val="14"/>
                <w:color w:val="auto"/>
              </w:rPr>
              <w:t>Protea Hotels by Marriott</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(Protea</w:t>
            </w:r>
          </w:p>
        </w:tc>
        <w:tc>
          <w:tcPr>
            <w:tcW w:w="1560" w:type="dxa"/>
            <w:vAlign w:val="bottom"/>
          </w:tcPr>
          <w:p>
            <w:pPr>
              <w:ind w:left="240"/>
              <w:spacing w:after="0"/>
              <w:rPr>
                <w:sz w:val="20"/>
                <w:szCs w:val="20"/>
                <w:color w:val="auto"/>
              </w:rPr>
            </w:pPr>
            <w:r>
              <w:rPr>
                <w:rFonts w:ascii="Arial" w:cs="Arial" w:eastAsia="Arial" w:hAnsi="Arial"/>
                <w:sz w:val="14"/>
                <w:szCs w:val="14"/>
                <w:color w:val="auto"/>
              </w:rPr>
              <w:t>Properties</w:t>
            </w:r>
          </w:p>
        </w:tc>
        <w:tc>
          <w:tcPr>
            <w:tcW w:w="1180" w:type="dxa"/>
            <w:vAlign w:val="bottom"/>
          </w:tcPr>
          <w:p>
            <w:pPr>
              <w:jc w:val="center"/>
              <w:ind w:right="10"/>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89"/>
              </w:rPr>
              <w:t>74</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ind w:right="10"/>
              <w:spacing w:after="0"/>
              <w:rPr>
                <w:sz w:val="20"/>
                <w:szCs w:val="20"/>
                <w:color w:val="auto"/>
              </w:rPr>
            </w:pPr>
            <w:r>
              <w:rPr>
                <w:rFonts w:ascii="Arial" w:cs="Arial" w:eastAsia="Arial" w:hAnsi="Arial"/>
                <w:sz w:val="14"/>
                <w:szCs w:val="14"/>
                <w:color w:val="auto"/>
                <w:w w:val="89"/>
              </w:rPr>
              <w:t>74</w:t>
            </w:r>
          </w:p>
        </w:tc>
        <w:tc>
          <w:tcPr>
            <w:tcW w:w="0" w:type="dxa"/>
            <w:vAlign w:val="bottom"/>
          </w:tcPr>
          <w:p>
            <w:pPr>
              <w:spacing w:after="0"/>
              <w:rPr>
                <w:sz w:val="1"/>
                <w:szCs w:val="1"/>
                <w:color w:val="auto"/>
              </w:rPr>
            </w:pPr>
          </w:p>
        </w:tc>
      </w:tr>
      <w:tr>
        <w:trPr>
          <w:trHeight w:val="197"/>
        </w:trPr>
        <w:tc>
          <w:tcPr>
            <w:tcW w:w="2220" w:type="dxa"/>
            <w:vAlign w:val="bottom"/>
          </w:tcPr>
          <w:p>
            <w:pPr>
              <w:ind w:left="20"/>
              <w:spacing w:after="0" w:line="197" w:lineRule="exact"/>
              <w:rPr>
                <w:sz w:val="20"/>
                <w:szCs w:val="20"/>
                <w:color w:val="auto"/>
              </w:rPr>
            </w:pPr>
            <w:r>
              <w:rPr>
                <w:rFonts w:ascii="Arial" w:cs="Arial" w:eastAsia="Arial" w:hAnsi="Arial"/>
                <w:sz w:val="14"/>
                <w:szCs w:val="14"/>
                <w:color w:val="auto"/>
              </w:rPr>
              <w:t>Hotels</w:t>
            </w:r>
            <w:r>
              <w:rPr>
                <w:rFonts w:ascii="Arial" w:cs="Arial" w:eastAsia="Arial" w:hAnsi="Arial"/>
                <w:sz w:val="18"/>
                <w:szCs w:val="18"/>
                <w:color w:val="auto"/>
                <w:vertAlign w:val="superscript"/>
              </w:rPr>
              <w:t>®</w:t>
            </w:r>
            <w:r>
              <w:rPr>
                <w:rFonts w:ascii="Arial" w:cs="Arial" w:eastAsia="Arial" w:hAnsi="Arial"/>
                <w:sz w:val="14"/>
                <w:szCs w:val="14"/>
                <w:color w:val="auto"/>
              </w:rPr>
              <w:t>)</w:t>
            </w:r>
          </w:p>
        </w:tc>
        <w:tc>
          <w:tcPr>
            <w:tcW w:w="1560" w:type="dxa"/>
            <w:vAlign w:val="bottom"/>
            <w:vMerge w:val="restart"/>
          </w:tcPr>
          <w:p>
            <w:pPr>
              <w:ind w:left="240"/>
              <w:spacing w:after="0"/>
              <w:rPr>
                <w:sz w:val="20"/>
                <w:szCs w:val="20"/>
                <w:color w:val="auto"/>
              </w:rPr>
            </w:pPr>
            <w:r>
              <w:rPr>
                <w:rFonts w:ascii="Arial" w:cs="Arial" w:eastAsia="Arial" w:hAnsi="Arial"/>
                <w:sz w:val="14"/>
                <w:szCs w:val="14"/>
                <w:color w:val="auto"/>
              </w:rPr>
              <w:t>Rooms</w:t>
            </w:r>
          </w:p>
        </w:tc>
        <w:tc>
          <w:tcPr>
            <w:tcW w:w="1180" w:type="dxa"/>
            <w:vAlign w:val="bottom"/>
            <w:vMerge w:val="restart"/>
          </w:tcPr>
          <w:p>
            <w:pPr>
              <w:jc w:val="center"/>
              <w:ind w:right="10"/>
              <w:spacing w:after="0"/>
              <w:rPr>
                <w:sz w:val="20"/>
                <w:szCs w:val="20"/>
                <w:color w:val="auto"/>
              </w:rPr>
            </w:pPr>
            <w:r>
              <w:rPr>
                <w:rFonts w:ascii="Arial" w:cs="Arial" w:eastAsia="Arial" w:hAnsi="Arial"/>
                <w:sz w:val="14"/>
                <w:szCs w:val="14"/>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vMerge w:val="restart"/>
          </w:tcPr>
          <w:p>
            <w:pPr>
              <w:jc w:val="center"/>
              <w:ind w:left="10"/>
              <w:spacing w:after="0"/>
              <w:rPr>
                <w:sz w:val="20"/>
                <w:szCs w:val="20"/>
                <w:color w:val="auto"/>
              </w:rPr>
            </w:pPr>
            <w:r>
              <w:rPr>
                <w:rFonts w:ascii="Arial" w:cs="Arial" w:eastAsia="Arial" w:hAnsi="Arial"/>
                <w:sz w:val="14"/>
                <w:szCs w:val="14"/>
                <w:color w:val="auto"/>
                <w:w w:val="91"/>
              </w:rPr>
              <w:t>7,851</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vMerge w:val="restart"/>
          </w:tcPr>
          <w:p>
            <w:pPr>
              <w:jc w:val="center"/>
              <w:ind w:right="10"/>
              <w:spacing w:after="0"/>
              <w:rPr>
                <w:sz w:val="20"/>
                <w:szCs w:val="20"/>
                <w:color w:val="auto"/>
              </w:rPr>
            </w:pPr>
            <w:r>
              <w:rPr>
                <w:rFonts w:ascii="Arial" w:cs="Arial" w:eastAsia="Arial" w:hAnsi="Arial"/>
                <w:sz w:val="14"/>
                <w:szCs w:val="14"/>
                <w:color w:val="auto"/>
                <w:w w:val="85"/>
              </w:rPr>
              <w:t>7,851</w:t>
            </w:r>
          </w:p>
        </w:tc>
        <w:tc>
          <w:tcPr>
            <w:tcW w:w="0" w:type="dxa"/>
            <w:vAlign w:val="bottom"/>
          </w:tcPr>
          <w:p>
            <w:pPr>
              <w:spacing w:after="0"/>
              <w:rPr>
                <w:sz w:val="1"/>
                <w:szCs w:val="1"/>
                <w:color w:val="auto"/>
              </w:rPr>
            </w:pPr>
          </w:p>
        </w:tc>
      </w:tr>
      <w:tr>
        <w:trPr>
          <w:trHeight w:val="42"/>
        </w:trPr>
        <w:tc>
          <w:tcPr>
            <w:tcW w:w="2220" w:type="dxa"/>
            <w:vAlign w:val="bottom"/>
          </w:tcPr>
          <w:p>
            <w:pPr>
              <w:spacing w:after="0"/>
              <w:rPr>
                <w:sz w:val="3"/>
                <w:szCs w:val="3"/>
                <w:color w:val="auto"/>
              </w:rPr>
            </w:pPr>
          </w:p>
        </w:tc>
        <w:tc>
          <w:tcPr>
            <w:tcW w:w="1560" w:type="dxa"/>
            <w:vAlign w:val="bottom"/>
            <w:vMerge w:val="continue"/>
          </w:tcPr>
          <w:p>
            <w:pPr>
              <w:spacing w:after="0"/>
              <w:rPr>
                <w:sz w:val="3"/>
                <w:szCs w:val="3"/>
                <w:color w:val="auto"/>
              </w:rPr>
            </w:pPr>
          </w:p>
        </w:tc>
        <w:tc>
          <w:tcPr>
            <w:tcW w:w="118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240" w:type="dxa"/>
            <w:vAlign w:val="bottom"/>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0"/>
        </w:trPr>
        <w:tc>
          <w:tcPr>
            <w:tcW w:w="22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220" w:type="dxa"/>
            <w:vAlign w:val="bottom"/>
            <w:vMerge w:val="restart"/>
          </w:tcPr>
          <w:p>
            <w:pPr>
              <w:ind w:left="20"/>
              <w:spacing w:after="0"/>
              <w:rPr>
                <w:sz w:val="20"/>
                <w:szCs w:val="20"/>
                <w:color w:val="auto"/>
              </w:rPr>
            </w:pPr>
            <w:r>
              <w:rPr>
                <w:rFonts w:ascii="Arial" w:cs="Arial" w:eastAsia="Arial" w:hAnsi="Arial"/>
                <w:sz w:val="14"/>
                <w:szCs w:val="14"/>
                <w:color w:val="auto"/>
              </w:rPr>
              <w:t>Element</w:t>
            </w:r>
            <w:r>
              <w:rPr>
                <w:rFonts w:ascii="Arial" w:cs="Arial" w:eastAsia="Arial" w:hAnsi="Arial"/>
                <w:sz w:val="18"/>
                <w:szCs w:val="18"/>
                <w:color w:val="auto"/>
                <w:vertAlign w:val="superscript"/>
              </w:rPr>
              <w:t>®</w:t>
            </w:r>
            <w:r>
              <w:rPr>
                <w:rFonts w:ascii="Arial" w:cs="Arial" w:eastAsia="Arial" w:hAnsi="Arial"/>
                <w:sz w:val="14"/>
                <w:szCs w:val="14"/>
                <w:color w:val="auto"/>
              </w:rPr>
              <w:t xml:space="preserve"> Hotels</w:t>
            </w:r>
          </w:p>
        </w:tc>
        <w:tc>
          <w:tcPr>
            <w:tcW w:w="1560" w:type="dxa"/>
            <w:vAlign w:val="bottom"/>
          </w:tcPr>
          <w:p>
            <w:pPr>
              <w:ind w:left="240"/>
              <w:spacing w:after="0"/>
              <w:rPr>
                <w:sz w:val="20"/>
                <w:szCs w:val="20"/>
                <w:color w:val="auto"/>
              </w:rPr>
            </w:pPr>
            <w:r>
              <w:rPr>
                <w:rFonts w:ascii="Arial" w:cs="Arial" w:eastAsia="Arial" w:hAnsi="Arial"/>
                <w:sz w:val="14"/>
                <w:szCs w:val="14"/>
                <w:color w:val="auto"/>
              </w:rPr>
              <w:t>Properties</w:t>
            </w:r>
          </w:p>
        </w:tc>
        <w:tc>
          <w:tcPr>
            <w:tcW w:w="1180" w:type="dxa"/>
            <w:vAlign w:val="bottom"/>
          </w:tcPr>
          <w:p>
            <w:pPr>
              <w:jc w:val="center"/>
              <w:ind w:right="10"/>
              <w:spacing w:after="0"/>
              <w:rPr>
                <w:sz w:val="20"/>
                <w:szCs w:val="20"/>
                <w:color w:val="auto"/>
              </w:rPr>
            </w:pPr>
            <w:r>
              <w:rPr>
                <w:rFonts w:ascii="Arial" w:cs="Arial" w:eastAsia="Arial" w:hAnsi="Arial"/>
                <w:sz w:val="14"/>
                <w:szCs w:val="14"/>
                <w:color w:val="auto"/>
                <w:w w:val="89"/>
              </w:rPr>
              <w:t>55</w:t>
            </w:r>
          </w:p>
        </w:tc>
        <w:tc>
          <w:tcPr>
            <w:tcW w:w="900" w:type="dxa"/>
            <w:vAlign w:val="bottom"/>
          </w:tcPr>
          <w:p>
            <w:pPr>
              <w:jc w:val="center"/>
              <w:spacing w:after="0"/>
              <w:rPr>
                <w:sz w:val="20"/>
                <w:szCs w:val="20"/>
                <w:color w:val="auto"/>
              </w:rPr>
            </w:pPr>
            <w:r>
              <w:rPr>
                <w:rFonts w:ascii="Arial" w:cs="Arial" w:eastAsia="Arial" w:hAnsi="Arial"/>
                <w:sz w:val="14"/>
                <w:szCs w:val="14"/>
                <w:color w:val="auto"/>
              </w:rPr>
              <w:t>2</w:t>
            </w:r>
          </w:p>
        </w:tc>
        <w:tc>
          <w:tcPr>
            <w:tcW w:w="124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000" w:type="dxa"/>
            <w:vAlign w:val="bottom"/>
          </w:tcPr>
          <w:p>
            <w:pPr>
              <w:jc w:val="center"/>
              <w:spacing w:after="0"/>
              <w:rPr>
                <w:sz w:val="20"/>
                <w:szCs w:val="20"/>
                <w:color w:val="auto"/>
              </w:rPr>
            </w:pPr>
            <w:r>
              <w:rPr>
                <w:rFonts w:ascii="Arial" w:cs="Arial" w:eastAsia="Arial" w:hAnsi="Arial"/>
                <w:sz w:val="14"/>
                <w:szCs w:val="14"/>
                <w:color w:val="auto"/>
              </w:rPr>
              <w:t>6</w:t>
            </w: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ind w:right="10"/>
              <w:spacing w:after="0"/>
              <w:rPr>
                <w:sz w:val="20"/>
                <w:szCs w:val="20"/>
                <w:color w:val="auto"/>
              </w:rPr>
            </w:pPr>
            <w:r>
              <w:rPr>
                <w:rFonts w:ascii="Arial" w:cs="Arial" w:eastAsia="Arial" w:hAnsi="Arial"/>
                <w:sz w:val="14"/>
                <w:szCs w:val="14"/>
                <w:color w:val="auto"/>
                <w:w w:val="89"/>
              </w:rPr>
              <w:t>65</w:t>
            </w:r>
          </w:p>
        </w:tc>
        <w:tc>
          <w:tcPr>
            <w:tcW w:w="0" w:type="dxa"/>
            <w:vAlign w:val="bottom"/>
          </w:tcPr>
          <w:p>
            <w:pPr>
              <w:spacing w:after="0"/>
              <w:rPr>
                <w:sz w:val="1"/>
                <w:szCs w:val="1"/>
                <w:color w:val="auto"/>
              </w:rPr>
            </w:pPr>
          </w:p>
        </w:tc>
      </w:tr>
      <w:tr>
        <w:trPr>
          <w:trHeight w:val="185"/>
        </w:trPr>
        <w:tc>
          <w:tcPr>
            <w:tcW w:w="2220" w:type="dxa"/>
            <w:vAlign w:val="bottom"/>
            <w:vMerge w:val="continue"/>
          </w:tcPr>
          <w:p>
            <w:pPr>
              <w:spacing w:after="0"/>
              <w:rPr>
                <w:sz w:val="16"/>
                <w:szCs w:val="16"/>
                <w:color w:val="auto"/>
              </w:rPr>
            </w:pPr>
          </w:p>
        </w:tc>
        <w:tc>
          <w:tcPr>
            <w:tcW w:w="1560" w:type="dxa"/>
            <w:vAlign w:val="bottom"/>
            <w:vMerge w:val="restart"/>
          </w:tcPr>
          <w:p>
            <w:pPr>
              <w:ind w:left="240"/>
              <w:spacing w:after="0"/>
              <w:rPr>
                <w:sz w:val="20"/>
                <w:szCs w:val="20"/>
                <w:color w:val="auto"/>
              </w:rPr>
            </w:pPr>
            <w:r>
              <w:rPr>
                <w:rFonts w:ascii="Arial" w:cs="Arial" w:eastAsia="Arial" w:hAnsi="Arial"/>
                <w:sz w:val="14"/>
                <w:szCs w:val="14"/>
                <w:color w:val="auto"/>
              </w:rPr>
              <w:t>Rooms</w:t>
            </w:r>
          </w:p>
        </w:tc>
        <w:tc>
          <w:tcPr>
            <w:tcW w:w="1180" w:type="dxa"/>
            <w:vAlign w:val="bottom"/>
            <w:vMerge w:val="restart"/>
          </w:tcPr>
          <w:p>
            <w:pPr>
              <w:jc w:val="center"/>
              <w:ind w:right="10"/>
              <w:spacing w:after="0"/>
              <w:rPr>
                <w:sz w:val="20"/>
                <w:szCs w:val="20"/>
                <w:color w:val="auto"/>
              </w:rPr>
            </w:pPr>
            <w:r>
              <w:rPr>
                <w:rFonts w:ascii="Arial" w:cs="Arial" w:eastAsia="Arial" w:hAnsi="Arial"/>
                <w:sz w:val="14"/>
                <w:szCs w:val="14"/>
                <w:color w:val="auto"/>
                <w:w w:val="85"/>
              </w:rPr>
              <w:t>7,387</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85"/>
              </w:rPr>
              <w:t>293</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4"/>
              </w:rPr>
              <w:t>437</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w w:val="91"/>
              </w:rPr>
              <w:t>1,253</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vMerge w:val="restart"/>
          </w:tcPr>
          <w:p>
            <w:pPr>
              <w:jc w:val="center"/>
              <w:ind w:right="10"/>
              <w:spacing w:after="0"/>
              <w:rPr>
                <w:sz w:val="20"/>
                <w:szCs w:val="20"/>
                <w:color w:val="auto"/>
              </w:rPr>
            </w:pPr>
            <w:r>
              <w:rPr>
                <w:rFonts w:ascii="Arial" w:cs="Arial" w:eastAsia="Arial" w:hAnsi="Arial"/>
                <w:sz w:val="14"/>
                <w:szCs w:val="14"/>
                <w:color w:val="auto"/>
                <w:w w:val="85"/>
              </w:rPr>
              <w:t>9,370</w:t>
            </w:r>
          </w:p>
        </w:tc>
        <w:tc>
          <w:tcPr>
            <w:tcW w:w="0" w:type="dxa"/>
            <w:vAlign w:val="bottom"/>
          </w:tcPr>
          <w:p>
            <w:pPr>
              <w:spacing w:after="0"/>
              <w:rPr>
                <w:sz w:val="1"/>
                <w:szCs w:val="1"/>
                <w:color w:val="auto"/>
              </w:rPr>
            </w:pPr>
          </w:p>
        </w:tc>
      </w:tr>
      <w:tr>
        <w:trPr>
          <w:trHeight w:val="78"/>
        </w:trPr>
        <w:tc>
          <w:tcPr>
            <w:tcW w:w="222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22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220" w:type="dxa"/>
            <w:vAlign w:val="bottom"/>
            <w:vMerge w:val="restart"/>
          </w:tcPr>
          <w:p>
            <w:pPr>
              <w:ind w:left="20"/>
              <w:spacing w:after="0"/>
              <w:rPr>
                <w:sz w:val="20"/>
                <w:szCs w:val="20"/>
                <w:color w:val="auto"/>
              </w:rPr>
            </w:pPr>
            <w:r>
              <w:rPr>
                <w:rFonts w:ascii="Arial" w:cs="Arial" w:eastAsia="Arial" w:hAnsi="Arial"/>
                <w:sz w:val="14"/>
                <w:szCs w:val="14"/>
                <w:color w:val="auto"/>
              </w:rPr>
              <w:t>Moxy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Hotels</w:t>
            </w:r>
          </w:p>
        </w:tc>
        <w:tc>
          <w:tcPr>
            <w:tcW w:w="1560" w:type="dxa"/>
            <w:vAlign w:val="bottom"/>
          </w:tcPr>
          <w:p>
            <w:pPr>
              <w:ind w:left="240"/>
              <w:spacing w:after="0"/>
              <w:rPr>
                <w:sz w:val="20"/>
                <w:szCs w:val="20"/>
                <w:color w:val="auto"/>
              </w:rPr>
            </w:pPr>
            <w:r>
              <w:rPr>
                <w:rFonts w:ascii="Arial" w:cs="Arial" w:eastAsia="Arial" w:hAnsi="Arial"/>
                <w:sz w:val="14"/>
                <w:szCs w:val="14"/>
                <w:color w:val="auto"/>
              </w:rPr>
              <w:t>Properties</w:t>
            </w:r>
          </w:p>
        </w:tc>
        <w:tc>
          <w:tcPr>
            <w:tcW w:w="1180" w:type="dxa"/>
            <w:vAlign w:val="bottom"/>
          </w:tcPr>
          <w:p>
            <w:pPr>
              <w:jc w:val="center"/>
              <w:ind w:right="10"/>
              <w:spacing w:after="0"/>
              <w:rPr>
                <w:sz w:val="20"/>
                <w:szCs w:val="20"/>
                <w:color w:val="auto"/>
              </w:rPr>
            </w:pPr>
            <w:r>
              <w:rPr>
                <w:rFonts w:ascii="Arial" w:cs="Arial" w:eastAsia="Arial" w:hAnsi="Arial"/>
                <w:sz w:val="14"/>
                <w:szCs w:val="14"/>
                <w:color w:val="auto"/>
                <w:w w:val="89"/>
              </w:rPr>
              <w:t>21</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47</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rPr>
                <w:sz w:val="20"/>
                <w:szCs w:val="20"/>
                <w:color w:val="auto"/>
              </w:rPr>
            </w:pPr>
            <w:r>
              <w:rPr>
                <w:rFonts w:ascii="Arial" w:cs="Arial" w:eastAsia="Arial" w:hAnsi="Arial"/>
                <w:sz w:val="14"/>
                <w:szCs w:val="14"/>
                <w:color w:val="auto"/>
              </w:rPr>
              <w:t>6</w:t>
            </w: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ind w:right="10"/>
              <w:spacing w:after="0"/>
              <w:rPr>
                <w:sz w:val="20"/>
                <w:szCs w:val="20"/>
                <w:color w:val="auto"/>
              </w:rPr>
            </w:pPr>
            <w:r>
              <w:rPr>
                <w:rFonts w:ascii="Arial" w:cs="Arial" w:eastAsia="Arial" w:hAnsi="Arial"/>
                <w:sz w:val="14"/>
                <w:szCs w:val="14"/>
                <w:color w:val="auto"/>
                <w:w w:val="89"/>
              </w:rPr>
              <w:t>74</w:t>
            </w:r>
          </w:p>
        </w:tc>
        <w:tc>
          <w:tcPr>
            <w:tcW w:w="0" w:type="dxa"/>
            <w:vAlign w:val="bottom"/>
          </w:tcPr>
          <w:p>
            <w:pPr>
              <w:spacing w:after="0"/>
              <w:rPr>
                <w:sz w:val="1"/>
                <w:szCs w:val="1"/>
                <w:color w:val="auto"/>
              </w:rPr>
            </w:pPr>
          </w:p>
        </w:tc>
      </w:tr>
      <w:tr>
        <w:trPr>
          <w:trHeight w:val="185"/>
        </w:trPr>
        <w:tc>
          <w:tcPr>
            <w:tcW w:w="2220" w:type="dxa"/>
            <w:vAlign w:val="bottom"/>
            <w:vMerge w:val="continue"/>
          </w:tcPr>
          <w:p>
            <w:pPr>
              <w:spacing w:after="0"/>
              <w:rPr>
                <w:sz w:val="16"/>
                <w:szCs w:val="16"/>
                <w:color w:val="auto"/>
              </w:rPr>
            </w:pPr>
          </w:p>
        </w:tc>
        <w:tc>
          <w:tcPr>
            <w:tcW w:w="1560" w:type="dxa"/>
            <w:vAlign w:val="bottom"/>
            <w:vMerge w:val="restart"/>
          </w:tcPr>
          <w:p>
            <w:pPr>
              <w:ind w:left="240"/>
              <w:spacing w:after="0"/>
              <w:rPr>
                <w:sz w:val="20"/>
                <w:szCs w:val="20"/>
                <w:color w:val="auto"/>
              </w:rPr>
            </w:pPr>
            <w:r>
              <w:rPr>
                <w:rFonts w:ascii="Arial" w:cs="Arial" w:eastAsia="Arial" w:hAnsi="Arial"/>
                <w:sz w:val="14"/>
                <w:szCs w:val="14"/>
                <w:color w:val="auto"/>
              </w:rPr>
              <w:t>Rooms</w:t>
            </w:r>
          </w:p>
        </w:tc>
        <w:tc>
          <w:tcPr>
            <w:tcW w:w="1180" w:type="dxa"/>
            <w:vAlign w:val="bottom"/>
            <w:vMerge w:val="restart"/>
          </w:tcPr>
          <w:p>
            <w:pPr>
              <w:jc w:val="center"/>
              <w:ind w:right="10"/>
              <w:spacing w:after="0"/>
              <w:rPr>
                <w:sz w:val="20"/>
                <w:szCs w:val="20"/>
                <w:color w:val="auto"/>
              </w:rPr>
            </w:pPr>
            <w:r>
              <w:rPr>
                <w:rFonts w:ascii="Arial" w:cs="Arial" w:eastAsia="Arial" w:hAnsi="Arial"/>
                <w:sz w:val="14"/>
                <w:szCs w:val="14"/>
                <w:color w:val="auto"/>
                <w:w w:val="85"/>
              </w:rPr>
              <w:t>4,149</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1"/>
              </w:rPr>
              <w:t>9,227</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w w:val="91"/>
              </w:rPr>
              <w:t>1,159</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vMerge w:val="restart"/>
          </w:tcPr>
          <w:p>
            <w:pPr>
              <w:jc w:val="center"/>
              <w:ind w:right="10"/>
              <w:spacing w:after="0"/>
              <w:rPr>
                <w:sz w:val="20"/>
                <w:szCs w:val="20"/>
                <w:color w:val="auto"/>
              </w:rPr>
            </w:pPr>
            <w:r>
              <w:rPr>
                <w:rFonts w:ascii="Arial" w:cs="Arial" w:eastAsia="Arial" w:hAnsi="Arial"/>
                <w:sz w:val="14"/>
                <w:szCs w:val="14"/>
                <w:color w:val="auto"/>
                <w:w w:val="88"/>
              </w:rPr>
              <w:t>14,535</w:t>
            </w:r>
          </w:p>
        </w:tc>
        <w:tc>
          <w:tcPr>
            <w:tcW w:w="0" w:type="dxa"/>
            <w:vAlign w:val="bottom"/>
          </w:tcPr>
          <w:p>
            <w:pPr>
              <w:spacing w:after="0"/>
              <w:rPr>
                <w:sz w:val="1"/>
                <w:szCs w:val="1"/>
                <w:color w:val="auto"/>
              </w:rPr>
            </w:pPr>
          </w:p>
        </w:tc>
      </w:tr>
      <w:tr>
        <w:trPr>
          <w:trHeight w:val="78"/>
        </w:trPr>
        <w:tc>
          <w:tcPr>
            <w:tcW w:w="222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22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Residences and Timeshare</w:t>
            </w:r>
          </w:p>
        </w:tc>
        <w:tc>
          <w:tcPr>
            <w:tcW w:w="15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220" w:type="dxa"/>
            <w:vAlign w:val="bottom"/>
            <w:vMerge w:val="restart"/>
          </w:tcPr>
          <w:p>
            <w:pPr>
              <w:ind w:left="20"/>
              <w:spacing w:after="0"/>
              <w:rPr>
                <w:sz w:val="20"/>
                <w:szCs w:val="20"/>
                <w:color w:val="auto"/>
              </w:rPr>
            </w:pPr>
            <w:r>
              <w:rPr>
                <w:rFonts w:ascii="Arial" w:cs="Arial" w:eastAsia="Arial" w:hAnsi="Arial"/>
                <w:sz w:val="14"/>
                <w:szCs w:val="14"/>
                <w:color w:val="auto"/>
              </w:rPr>
              <w:t>Residences</w:t>
            </w:r>
          </w:p>
        </w:tc>
        <w:tc>
          <w:tcPr>
            <w:tcW w:w="1560" w:type="dxa"/>
            <w:vAlign w:val="bottom"/>
          </w:tcPr>
          <w:p>
            <w:pPr>
              <w:ind w:left="240"/>
              <w:spacing w:after="0"/>
              <w:rPr>
                <w:sz w:val="20"/>
                <w:szCs w:val="20"/>
                <w:color w:val="auto"/>
              </w:rPr>
            </w:pPr>
            <w:r>
              <w:rPr>
                <w:rFonts w:ascii="Arial" w:cs="Arial" w:eastAsia="Arial" w:hAnsi="Arial"/>
                <w:sz w:val="14"/>
                <w:szCs w:val="14"/>
                <w:color w:val="auto"/>
              </w:rPr>
              <w:t>Properties</w:t>
            </w:r>
          </w:p>
        </w:tc>
        <w:tc>
          <w:tcPr>
            <w:tcW w:w="1180" w:type="dxa"/>
            <w:vAlign w:val="bottom"/>
          </w:tcPr>
          <w:p>
            <w:pPr>
              <w:jc w:val="center"/>
              <w:ind w:right="10"/>
              <w:spacing w:after="0"/>
              <w:rPr>
                <w:sz w:val="20"/>
                <w:szCs w:val="20"/>
                <w:color w:val="auto"/>
              </w:rPr>
            </w:pPr>
            <w:r>
              <w:rPr>
                <w:rFonts w:ascii="Arial" w:cs="Arial" w:eastAsia="Arial" w:hAnsi="Arial"/>
                <w:sz w:val="14"/>
                <w:szCs w:val="14"/>
                <w:color w:val="auto"/>
                <w:w w:val="89"/>
              </w:rPr>
              <w:t>59</w:t>
            </w:r>
          </w:p>
        </w:tc>
        <w:tc>
          <w:tcPr>
            <w:tcW w:w="900" w:type="dxa"/>
            <w:vAlign w:val="bottom"/>
          </w:tcPr>
          <w:p>
            <w:pPr>
              <w:jc w:val="center"/>
              <w:spacing w:after="0"/>
              <w:rPr>
                <w:sz w:val="20"/>
                <w:szCs w:val="20"/>
                <w:color w:val="auto"/>
              </w:rPr>
            </w:pPr>
            <w:r>
              <w:rPr>
                <w:rFonts w:ascii="Arial" w:cs="Arial" w:eastAsia="Arial" w:hAnsi="Arial"/>
                <w:sz w:val="14"/>
                <w:szCs w:val="14"/>
                <w:color w:val="auto"/>
              </w:rPr>
              <w:t>9</w:t>
            </w:r>
          </w:p>
        </w:tc>
        <w:tc>
          <w:tcPr>
            <w:tcW w:w="124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13</w:t>
            </w:r>
          </w:p>
        </w:tc>
        <w:tc>
          <w:tcPr>
            <w:tcW w:w="1220" w:type="dxa"/>
            <w:vAlign w:val="bottom"/>
          </w:tcPr>
          <w:p>
            <w:pPr>
              <w:jc w:val="center"/>
              <w:spacing w:after="0"/>
              <w:rPr>
                <w:sz w:val="20"/>
                <w:szCs w:val="20"/>
                <w:color w:val="auto"/>
              </w:rPr>
            </w:pPr>
            <w:r>
              <w:rPr>
                <w:rFonts w:ascii="Arial" w:cs="Arial" w:eastAsia="Arial" w:hAnsi="Arial"/>
                <w:sz w:val="14"/>
                <w:szCs w:val="14"/>
                <w:color w:val="auto"/>
                <w:w w:val="89"/>
              </w:rPr>
              <w:t>10</w:t>
            </w:r>
          </w:p>
        </w:tc>
        <w:tc>
          <w:tcPr>
            <w:tcW w:w="1060" w:type="dxa"/>
            <w:vAlign w:val="bottom"/>
          </w:tcPr>
          <w:p>
            <w:pPr>
              <w:jc w:val="center"/>
              <w:ind w:right="10"/>
              <w:spacing w:after="0"/>
              <w:rPr>
                <w:sz w:val="20"/>
                <w:szCs w:val="20"/>
                <w:color w:val="auto"/>
              </w:rPr>
            </w:pPr>
            <w:r>
              <w:rPr>
                <w:rFonts w:ascii="Arial" w:cs="Arial" w:eastAsia="Arial" w:hAnsi="Arial"/>
                <w:sz w:val="14"/>
                <w:szCs w:val="14"/>
                <w:color w:val="auto"/>
                <w:w w:val="89"/>
              </w:rPr>
              <w:t>94</w:t>
            </w:r>
          </w:p>
        </w:tc>
        <w:tc>
          <w:tcPr>
            <w:tcW w:w="0" w:type="dxa"/>
            <w:vAlign w:val="bottom"/>
          </w:tcPr>
          <w:p>
            <w:pPr>
              <w:spacing w:after="0"/>
              <w:rPr>
                <w:sz w:val="1"/>
                <w:szCs w:val="1"/>
                <w:color w:val="auto"/>
              </w:rPr>
            </w:pPr>
          </w:p>
        </w:tc>
      </w:tr>
      <w:tr>
        <w:trPr>
          <w:trHeight w:val="132"/>
        </w:trPr>
        <w:tc>
          <w:tcPr>
            <w:tcW w:w="2220" w:type="dxa"/>
            <w:vAlign w:val="bottom"/>
            <w:vMerge w:val="continue"/>
          </w:tcPr>
          <w:p>
            <w:pPr>
              <w:spacing w:after="0"/>
              <w:rPr>
                <w:sz w:val="11"/>
                <w:szCs w:val="11"/>
                <w:color w:val="auto"/>
              </w:rPr>
            </w:pPr>
          </w:p>
        </w:tc>
        <w:tc>
          <w:tcPr>
            <w:tcW w:w="1560" w:type="dxa"/>
            <w:vAlign w:val="bottom"/>
            <w:vMerge w:val="restart"/>
          </w:tcPr>
          <w:p>
            <w:pPr>
              <w:ind w:left="240"/>
              <w:spacing w:after="0"/>
              <w:rPr>
                <w:sz w:val="20"/>
                <w:szCs w:val="20"/>
                <w:color w:val="auto"/>
              </w:rPr>
            </w:pPr>
            <w:r>
              <w:rPr>
                <w:rFonts w:ascii="Arial" w:cs="Arial" w:eastAsia="Arial" w:hAnsi="Arial"/>
                <w:sz w:val="14"/>
                <w:szCs w:val="14"/>
                <w:color w:val="auto"/>
              </w:rPr>
              <w:t>Rooms</w:t>
            </w:r>
          </w:p>
        </w:tc>
        <w:tc>
          <w:tcPr>
            <w:tcW w:w="1180" w:type="dxa"/>
            <w:vAlign w:val="bottom"/>
            <w:vMerge w:val="restart"/>
          </w:tcPr>
          <w:p>
            <w:pPr>
              <w:jc w:val="center"/>
              <w:ind w:right="10"/>
              <w:spacing w:after="0"/>
              <w:rPr>
                <w:sz w:val="20"/>
                <w:szCs w:val="20"/>
                <w:color w:val="auto"/>
              </w:rPr>
            </w:pPr>
            <w:r>
              <w:rPr>
                <w:rFonts w:ascii="Arial" w:cs="Arial" w:eastAsia="Arial" w:hAnsi="Arial"/>
                <w:sz w:val="14"/>
                <w:szCs w:val="14"/>
                <w:color w:val="auto"/>
                <w:w w:val="85"/>
              </w:rPr>
              <w:t>6,258</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85"/>
              </w:rPr>
              <w:t>313</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4"/>
              </w:rPr>
              <w:t>308</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w w:val="91"/>
              </w:rPr>
              <w:t>1,700</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4"/>
              </w:rPr>
              <w:t>576</w:t>
            </w:r>
          </w:p>
        </w:tc>
        <w:tc>
          <w:tcPr>
            <w:tcW w:w="1060" w:type="dxa"/>
            <w:vAlign w:val="bottom"/>
            <w:vMerge w:val="restart"/>
          </w:tcPr>
          <w:p>
            <w:pPr>
              <w:jc w:val="center"/>
              <w:ind w:right="10"/>
              <w:spacing w:after="0"/>
              <w:rPr>
                <w:sz w:val="20"/>
                <w:szCs w:val="20"/>
                <w:color w:val="auto"/>
              </w:rPr>
            </w:pPr>
            <w:r>
              <w:rPr>
                <w:rFonts w:ascii="Arial" w:cs="Arial" w:eastAsia="Arial" w:hAnsi="Arial"/>
                <w:sz w:val="14"/>
                <w:szCs w:val="14"/>
                <w:color w:val="auto"/>
                <w:w w:val="85"/>
              </w:rPr>
              <w:t>9,155</w:t>
            </w:r>
          </w:p>
        </w:tc>
        <w:tc>
          <w:tcPr>
            <w:tcW w:w="0" w:type="dxa"/>
            <w:vAlign w:val="bottom"/>
          </w:tcPr>
          <w:p>
            <w:pPr>
              <w:spacing w:after="0"/>
              <w:rPr>
                <w:sz w:val="1"/>
                <w:szCs w:val="1"/>
                <w:color w:val="auto"/>
              </w:rPr>
            </w:pPr>
          </w:p>
        </w:tc>
      </w:tr>
      <w:tr>
        <w:trPr>
          <w:trHeight w:val="132"/>
        </w:trPr>
        <w:tc>
          <w:tcPr>
            <w:tcW w:w="222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22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220" w:type="dxa"/>
            <w:vAlign w:val="bottom"/>
            <w:vMerge w:val="restart"/>
          </w:tcPr>
          <w:p>
            <w:pPr>
              <w:ind w:left="20"/>
              <w:spacing w:after="0"/>
              <w:rPr>
                <w:sz w:val="20"/>
                <w:szCs w:val="20"/>
                <w:color w:val="auto"/>
              </w:rPr>
            </w:pPr>
            <w:r>
              <w:rPr>
                <w:rFonts w:ascii="Arial" w:cs="Arial" w:eastAsia="Arial" w:hAnsi="Arial"/>
                <w:sz w:val="14"/>
                <w:szCs w:val="14"/>
                <w:color w:val="auto"/>
              </w:rPr>
              <w:t>Timeshare</w:t>
            </w:r>
          </w:p>
        </w:tc>
        <w:tc>
          <w:tcPr>
            <w:tcW w:w="1560" w:type="dxa"/>
            <w:vAlign w:val="bottom"/>
          </w:tcPr>
          <w:p>
            <w:pPr>
              <w:ind w:left="240"/>
              <w:spacing w:after="0"/>
              <w:rPr>
                <w:sz w:val="20"/>
                <w:szCs w:val="20"/>
                <w:color w:val="auto"/>
              </w:rPr>
            </w:pPr>
            <w:r>
              <w:rPr>
                <w:rFonts w:ascii="Arial" w:cs="Arial" w:eastAsia="Arial" w:hAnsi="Arial"/>
                <w:sz w:val="14"/>
                <w:szCs w:val="14"/>
                <w:color w:val="auto"/>
              </w:rPr>
              <w:t>Properties</w:t>
            </w:r>
          </w:p>
        </w:tc>
        <w:tc>
          <w:tcPr>
            <w:tcW w:w="1180" w:type="dxa"/>
            <w:vAlign w:val="bottom"/>
          </w:tcPr>
          <w:p>
            <w:pPr>
              <w:jc w:val="center"/>
              <w:ind w:right="10"/>
              <w:spacing w:after="0"/>
              <w:rPr>
                <w:sz w:val="20"/>
                <w:szCs w:val="20"/>
                <w:color w:val="auto"/>
              </w:rPr>
            </w:pPr>
            <w:r>
              <w:rPr>
                <w:rFonts w:ascii="Arial" w:cs="Arial" w:eastAsia="Arial" w:hAnsi="Arial"/>
                <w:sz w:val="14"/>
                <w:szCs w:val="14"/>
                <w:color w:val="auto"/>
                <w:w w:val="89"/>
              </w:rPr>
              <w:t>72</w:t>
            </w:r>
          </w:p>
        </w:tc>
        <w:tc>
          <w:tcPr>
            <w:tcW w:w="900" w:type="dxa"/>
            <w:vAlign w:val="bottom"/>
          </w:tcPr>
          <w:p>
            <w:pPr>
              <w:jc w:val="center"/>
              <w:spacing w:after="0"/>
              <w:rPr>
                <w:sz w:val="20"/>
                <w:szCs w:val="20"/>
                <w:color w:val="auto"/>
              </w:rPr>
            </w:pPr>
            <w:r>
              <w:rPr>
                <w:rFonts w:ascii="Arial" w:cs="Arial" w:eastAsia="Arial" w:hAnsi="Arial"/>
                <w:sz w:val="14"/>
                <w:szCs w:val="14"/>
                <w:color w:val="auto"/>
              </w:rPr>
              <w:t>5</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rPr>
                <w:sz w:val="20"/>
                <w:szCs w:val="20"/>
                <w:color w:val="auto"/>
              </w:rPr>
            </w:pPr>
            <w:r>
              <w:rPr>
                <w:rFonts w:ascii="Arial" w:cs="Arial" w:eastAsia="Arial" w:hAnsi="Arial"/>
                <w:sz w:val="14"/>
                <w:szCs w:val="14"/>
                <w:color w:val="auto"/>
              </w:rPr>
              <w:t>5</w:t>
            </w:r>
          </w:p>
        </w:tc>
        <w:tc>
          <w:tcPr>
            <w:tcW w:w="1220" w:type="dxa"/>
            <w:vAlign w:val="bottom"/>
          </w:tcPr>
          <w:p>
            <w:pPr>
              <w:jc w:val="center"/>
              <w:spacing w:after="0"/>
              <w:rPr>
                <w:sz w:val="20"/>
                <w:szCs w:val="20"/>
                <w:color w:val="auto"/>
              </w:rPr>
            </w:pPr>
            <w:r>
              <w:rPr>
                <w:rFonts w:ascii="Arial" w:cs="Arial" w:eastAsia="Arial" w:hAnsi="Arial"/>
                <w:sz w:val="14"/>
                <w:szCs w:val="14"/>
                <w:color w:val="auto"/>
                <w:w w:val="76"/>
              </w:rPr>
              <w:t>9</w:t>
            </w:r>
          </w:p>
        </w:tc>
        <w:tc>
          <w:tcPr>
            <w:tcW w:w="1060" w:type="dxa"/>
            <w:vAlign w:val="bottom"/>
          </w:tcPr>
          <w:p>
            <w:pPr>
              <w:jc w:val="center"/>
              <w:ind w:right="10"/>
              <w:spacing w:after="0"/>
              <w:rPr>
                <w:sz w:val="20"/>
                <w:szCs w:val="20"/>
                <w:color w:val="auto"/>
              </w:rPr>
            </w:pPr>
            <w:r>
              <w:rPr>
                <w:rFonts w:ascii="Arial" w:cs="Arial" w:eastAsia="Arial" w:hAnsi="Arial"/>
                <w:sz w:val="14"/>
                <w:szCs w:val="14"/>
                <w:color w:val="auto"/>
                <w:w w:val="89"/>
              </w:rPr>
              <w:t>91</w:t>
            </w:r>
          </w:p>
        </w:tc>
        <w:tc>
          <w:tcPr>
            <w:tcW w:w="0" w:type="dxa"/>
            <w:vAlign w:val="bottom"/>
          </w:tcPr>
          <w:p>
            <w:pPr>
              <w:spacing w:after="0"/>
              <w:rPr>
                <w:sz w:val="1"/>
                <w:szCs w:val="1"/>
                <w:color w:val="auto"/>
              </w:rPr>
            </w:pPr>
          </w:p>
        </w:tc>
      </w:tr>
      <w:tr>
        <w:trPr>
          <w:trHeight w:val="132"/>
        </w:trPr>
        <w:tc>
          <w:tcPr>
            <w:tcW w:w="2220" w:type="dxa"/>
            <w:vAlign w:val="bottom"/>
            <w:vMerge w:val="continue"/>
          </w:tcPr>
          <w:p>
            <w:pPr>
              <w:spacing w:after="0"/>
              <w:rPr>
                <w:sz w:val="11"/>
                <w:szCs w:val="11"/>
                <w:color w:val="auto"/>
              </w:rPr>
            </w:pPr>
          </w:p>
        </w:tc>
        <w:tc>
          <w:tcPr>
            <w:tcW w:w="1560" w:type="dxa"/>
            <w:vAlign w:val="bottom"/>
            <w:vMerge w:val="restart"/>
          </w:tcPr>
          <w:p>
            <w:pPr>
              <w:ind w:left="240"/>
              <w:spacing w:after="0"/>
              <w:rPr>
                <w:sz w:val="20"/>
                <w:szCs w:val="20"/>
                <w:color w:val="auto"/>
              </w:rPr>
            </w:pPr>
            <w:r>
              <w:rPr>
                <w:rFonts w:ascii="Arial" w:cs="Arial" w:eastAsia="Arial" w:hAnsi="Arial"/>
                <w:sz w:val="14"/>
                <w:szCs w:val="14"/>
                <w:color w:val="auto"/>
              </w:rPr>
              <w:t>Rooms</w:t>
            </w:r>
          </w:p>
        </w:tc>
        <w:tc>
          <w:tcPr>
            <w:tcW w:w="1180" w:type="dxa"/>
            <w:vAlign w:val="bottom"/>
            <w:vMerge w:val="restart"/>
          </w:tcPr>
          <w:p>
            <w:pPr>
              <w:jc w:val="center"/>
              <w:ind w:right="10"/>
              <w:spacing w:after="0"/>
              <w:rPr>
                <w:sz w:val="20"/>
                <w:szCs w:val="20"/>
                <w:color w:val="auto"/>
              </w:rPr>
            </w:pPr>
            <w:r>
              <w:rPr>
                <w:rFonts w:ascii="Arial" w:cs="Arial" w:eastAsia="Arial" w:hAnsi="Arial"/>
                <w:sz w:val="14"/>
                <w:szCs w:val="14"/>
                <w:color w:val="auto"/>
                <w:w w:val="88"/>
              </w:rPr>
              <w:t>18,905</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85"/>
              </w:rPr>
              <w:t>919</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w w:val="85"/>
              </w:rPr>
              <w:t>455</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85"/>
              </w:rPr>
              <w:t>2,476</w:t>
            </w:r>
          </w:p>
        </w:tc>
        <w:tc>
          <w:tcPr>
            <w:tcW w:w="1060" w:type="dxa"/>
            <w:vAlign w:val="bottom"/>
            <w:vMerge w:val="restart"/>
          </w:tcPr>
          <w:p>
            <w:pPr>
              <w:jc w:val="center"/>
              <w:ind w:right="10"/>
              <w:spacing w:after="0"/>
              <w:rPr>
                <w:sz w:val="20"/>
                <w:szCs w:val="20"/>
                <w:color w:val="auto"/>
              </w:rPr>
            </w:pPr>
            <w:r>
              <w:rPr>
                <w:rFonts w:ascii="Arial" w:cs="Arial" w:eastAsia="Arial" w:hAnsi="Arial"/>
                <w:sz w:val="14"/>
                <w:szCs w:val="14"/>
                <w:color w:val="auto"/>
                <w:w w:val="88"/>
              </w:rPr>
              <w:t>22,755</w:t>
            </w:r>
          </w:p>
        </w:tc>
        <w:tc>
          <w:tcPr>
            <w:tcW w:w="0" w:type="dxa"/>
            <w:vAlign w:val="bottom"/>
          </w:tcPr>
          <w:p>
            <w:pPr>
              <w:spacing w:after="0"/>
              <w:rPr>
                <w:sz w:val="1"/>
                <w:szCs w:val="1"/>
                <w:color w:val="auto"/>
              </w:rPr>
            </w:pPr>
          </w:p>
        </w:tc>
      </w:tr>
      <w:tr>
        <w:trPr>
          <w:trHeight w:val="132"/>
        </w:trPr>
        <w:tc>
          <w:tcPr>
            <w:tcW w:w="222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22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220" w:type="dxa"/>
            <w:vAlign w:val="bottom"/>
          </w:tcPr>
          <w:p>
            <w:pPr>
              <w:spacing w:after="0"/>
              <w:rPr>
                <w:sz w:val="16"/>
                <w:szCs w:val="16"/>
                <w:color w:val="auto"/>
              </w:rPr>
            </w:pPr>
          </w:p>
        </w:tc>
        <w:tc>
          <w:tcPr>
            <w:tcW w:w="1560" w:type="dxa"/>
            <w:vAlign w:val="bottom"/>
          </w:tcPr>
          <w:p>
            <w:pPr>
              <w:ind w:left="240"/>
              <w:spacing w:after="0"/>
              <w:rPr>
                <w:sz w:val="20"/>
                <w:szCs w:val="20"/>
                <w:color w:val="auto"/>
              </w:rPr>
            </w:pPr>
            <w:r>
              <w:rPr>
                <w:rFonts w:ascii="Arial" w:cs="Arial" w:eastAsia="Arial" w:hAnsi="Arial"/>
                <w:sz w:val="14"/>
                <w:szCs w:val="14"/>
                <w:b w:val="1"/>
                <w:bCs w:val="1"/>
                <w:color w:val="auto"/>
              </w:rPr>
              <w:t>Total Properties</w:t>
            </w:r>
          </w:p>
        </w:tc>
        <w:tc>
          <w:tcPr>
            <w:tcW w:w="1180" w:type="dxa"/>
            <w:vAlign w:val="bottom"/>
          </w:tcPr>
          <w:p>
            <w:pPr>
              <w:jc w:val="center"/>
              <w:ind w:right="10"/>
              <w:spacing w:after="0"/>
              <w:rPr>
                <w:sz w:val="20"/>
                <w:szCs w:val="20"/>
                <w:color w:val="auto"/>
              </w:rPr>
            </w:pPr>
            <w:r>
              <w:rPr>
                <w:rFonts w:ascii="Arial" w:cs="Arial" w:eastAsia="Arial" w:hAnsi="Arial"/>
                <w:sz w:val="14"/>
                <w:szCs w:val="14"/>
                <w:color w:val="auto"/>
                <w:w w:val="85"/>
              </w:rPr>
              <w:t>5,606</w:t>
            </w:r>
          </w:p>
        </w:tc>
        <w:tc>
          <w:tcPr>
            <w:tcW w:w="900" w:type="dxa"/>
            <w:vAlign w:val="bottom"/>
          </w:tcPr>
          <w:p>
            <w:pPr>
              <w:jc w:val="center"/>
              <w:spacing w:after="0"/>
              <w:rPr>
                <w:sz w:val="20"/>
                <w:szCs w:val="20"/>
                <w:color w:val="auto"/>
              </w:rPr>
            </w:pPr>
            <w:r>
              <w:rPr>
                <w:rFonts w:ascii="Arial" w:cs="Arial" w:eastAsia="Arial" w:hAnsi="Arial"/>
                <w:sz w:val="14"/>
                <w:szCs w:val="14"/>
                <w:color w:val="auto"/>
                <w:w w:val="85"/>
              </w:rPr>
              <w:t>657</w:t>
            </w:r>
          </w:p>
        </w:tc>
        <w:tc>
          <w:tcPr>
            <w:tcW w:w="1240" w:type="dxa"/>
            <w:vAlign w:val="bottom"/>
          </w:tcPr>
          <w:p>
            <w:pPr>
              <w:jc w:val="center"/>
              <w:spacing w:after="0"/>
              <w:rPr>
                <w:sz w:val="20"/>
                <w:szCs w:val="20"/>
                <w:color w:val="auto"/>
              </w:rPr>
            </w:pPr>
            <w:r>
              <w:rPr>
                <w:rFonts w:ascii="Arial" w:cs="Arial" w:eastAsia="Arial" w:hAnsi="Arial"/>
                <w:sz w:val="14"/>
                <w:szCs w:val="14"/>
                <w:color w:val="auto"/>
                <w:w w:val="94"/>
              </w:rPr>
              <w:t>264</w:t>
            </w: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848</w:t>
            </w:r>
          </w:p>
        </w:tc>
        <w:tc>
          <w:tcPr>
            <w:tcW w:w="1220" w:type="dxa"/>
            <w:vAlign w:val="bottom"/>
          </w:tcPr>
          <w:p>
            <w:pPr>
              <w:jc w:val="center"/>
              <w:spacing w:after="0"/>
              <w:rPr>
                <w:sz w:val="20"/>
                <w:szCs w:val="20"/>
                <w:color w:val="auto"/>
              </w:rPr>
            </w:pPr>
            <w:r>
              <w:rPr>
                <w:rFonts w:ascii="Arial" w:cs="Arial" w:eastAsia="Arial" w:hAnsi="Arial"/>
                <w:sz w:val="14"/>
                <w:szCs w:val="14"/>
                <w:color w:val="auto"/>
                <w:w w:val="94"/>
              </w:rPr>
              <w:t>267</w:t>
            </w:r>
          </w:p>
        </w:tc>
        <w:tc>
          <w:tcPr>
            <w:tcW w:w="1060" w:type="dxa"/>
            <w:vAlign w:val="bottom"/>
          </w:tcPr>
          <w:p>
            <w:pPr>
              <w:jc w:val="center"/>
              <w:ind w:right="10"/>
              <w:spacing w:after="0"/>
              <w:rPr>
                <w:sz w:val="20"/>
                <w:szCs w:val="20"/>
                <w:color w:val="auto"/>
              </w:rPr>
            </w:pPr>
            <w:r>
              <w:rPr>
                <w:rFonts w:ascii="Arial" w:cs="Arial" w:eastAsia="Arial" w:hAnsi="Arial"/>
                <w:sz w:val="14"/>
                <w:szCs w:val="14"/>
                <w:color w:val="auto"/>
                <w:w w:val="85"/>
              </w:rPr>
              <w:t>7,642</w:t>
            </w:r>
          </w:p>
        </w:tc>
        <w:tc>
          <w:tcPr>
            <w:tcW w:w="0" w:type="dxa"/>
            <w:vAlign w:val="bottom"/>
          </w:tcPr>
          <w:p>
            <w:pPr>
              <w:spacing w:after="0"/>
              <w:rPr>
                <w:sz w:val="1"/>
                <w:szCs w:val="1"/>
                <w:color w:val="auto"/>
              </w:rPr>
            </w:pPr>
          </w:p>
        </w:tc>
      </w:tr>
      <w:tr>
        <w:trPr>
          <w:trHeight w:val="24"/>
        </w:trPr>
        <w:tc>
          <w:tcPr>
            <w:tcW w:w="2220" w:type="dxa"/>
            <w:vAlign w:val="bottom"/>
          </w:tcPr>
          <w:p>
            <w:pPr>
              <w:spacing w:after="0"/>
              <w:rPr>
                <w:sz w:val="2"/>
                <w:szCs w:val="2"/>
                <w:color w:val="auto"/>
              </w:rPr>
            </w:pPr>
          </w:p>
        </w:tc>
        <w:tc>
          <w:tcPr>
            <w:tcW w:w="15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Total Rooms</w:t>
            </w: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22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180" w:type="dxa"/>
            <w:vAlign w:val="bottom"/>
          </w:tcPr>
          <w:p>
            <w:pPr>
              <w:jc w:val="center"/>
              <w:ind w:right="10"/>
              <w:spacing w:after="0"/>
              <w:rPr>
                <w:sz w:val="20"/>
                <w:szCs w:val="20"/>
                <w:color w:val="auto"/>
              </w:rPr>
            </w:pPr>
            <w:r>
              <w:rPr>
                <w:rFonts w:ascii="Arial" w:cs="Arial" w:eastAsia="Arial" w:hAnsi="Arial"/>
                <w:sz w:val="14"/>
                <w:szCs w:val="14"/>
                <w:color w:val="auto"/>
                <w:w w:val="90"/>
              </w:rPr>
              <w:t>942,995</w:t>
            </w:r>
          </w:p>
        </w:tc>
        <w:tc>
          <w:tcPr>
            <w:tcW w:w="900" w:type="dxa"/>
            <w:vAlign w:val="bottom"/>
          </w:tcPr>
          <w:p>
            <w:pPr>
              <w:jc w:val="center"/>
              <w:spacing w:after="0"/>
              <w:rPr>
                <w:sz w:val="20"/>
                <w:szCs w:val="20"/>
                <w:color w:val="auto"/>
              </w:rPr>
            </w:pPr>
            <w:r>
              <w:rPr>
                <w:rFonts w:ascii="Arial" w:cs="Arial" w:eastAsia="Arial" w:hAnsi="Arial"/>
                <w:sz w:val="14"/>
                <w:szCs w:val="14"/>
                <w:color w:val="auto"/>
                <w:w w:val="86"/>
              </w:rPr>
              <w:t>127,449</w:t>
            </w:r>
          </w:p>
        </w:tc>
        <w:tc>
          <w:tcPr>
            <w:tcW w:w="1240" w:type="dxa"/>
            <w:vAlign w:val="bottom"/>
          </w:tcPr>
          <w:p>
            <w:pPr>
              <w:jc w:val="center"/>
              <w:spacing w:after="0"/>
              <w:rPr>
                <w:sz w:val="20"/>
                <w:szCs w:val="20"/>
                <w:color w:val="auto"/>
              </w:rPr>
            </w:pPr>
            <w:r>
              <w:rPr>
                <w:rFonts w:ascii="Arial" w:cs="Arial" w:eastAsia="Arial" w:hAnsi="Arial"/>
                <w:sz w:val="14"/>
                <w:szCs w:val="14"/>
                <w:color w:val="auto"/>
                <w:w w:val="88"/>
              </w:rPr>
              <w:t>60,043</w:t>
            </w:r>
          </w:p>
        </w:tc>
        <w:tc>
          <w:tcPr>
            <w:tcW w:w="1000" w:type="dxa"/>
            <w:vAlign w:val="bottom"/>
          </w:tcPr>
          <w:p>
            <w:pPr>
              <w:jc w:val="center"/>
              <w:spacing w:after="0"/>
              <w:rPr>
                <w:sz w:val="20"/>
                <w:szCs w:val="20"/>
                <w:color w:val="auto"/>
              </w:rPr>
            </w:pPr>
            <w:r>
              <w:rPr>
                <w:rFonts w:ascii="Arial" w:cs="Arial" w:eastAsia="Arial" w:hAnsi="Arial"/>
                <w:sz w:val="14"/>
                <w:szCs w:val="14"/>
                <w:color w:val="auto"/>
                <w:w w:val="86"/>
              </w:rPr>
              <w:t>237,499</w:t>
            </w:r>
          </w:p>
        </w:tc>
        <w:tc>
          <w:tcPr>
            <w:tcW w:w="1220" w:type="dxa"/>
            <w:vAlign w:val="bottom"/>
          </w:tcPr>
          <w:p>
            <w:pPr>
              <w:jc w:val="center"/>
              <w:spacing w:after="0"/>
              <w:rPr>
                <w:sz w:val="20"/>
                <w:szCs w:val="20"/>
                <w:color w:val="auto"/>
              </w:rPr>
            </w:pPr>
            <w:r>
              <w:rPr>
                <w:rFonts w:ascii="Arial" w:cs="Arial" w:eastAsia="Arial" w:hAnsi="Arial"/>
                <w:sz w:val="14"/>
                <w:szCs w:val="14"/>
                <w:color w:val="auto"/>
                <w:w w:val="88"/>
              </w:rPr>
              <w:t>55,058</w:t>
            </w:r>
          </w:p>
        </w:tc>
        <w:tc>
          <w:tcPr>
            <w:tcW w:w="1060" w:type="dxa"/>
            <w:vAlign w:val="bottom"/>
          </w:tcPr>
          <w:p>
            <w:pPr>
              <w:jc w:val="center"/>
              <w:ind w:right="30"/>
              <w:spacing w:after="0"/>
              <w:rPr>
                <w:sz w:val="20"/>
                <w:szCs w:val="20"/>
                <w:color w:val="auto"/>
              </w:rPr>
            </w:pPr>
            <w:r>
              <w:rPr>
                <w:rFonts w:ascii="Arial" w:cs="Arial" w:eastAsia="Arial" w:hAnsi="Arial"/>
                <w:sz w:val="14"/>
                <w:szCs w:val="14"/>
                <w:color w:val="auto"/>
                <w:w w:val="89"/>
              </w:rPr>
              <w:t>1,423,044</w:t>
            </w:r>
          </w:p>
        </w:tc>
        <w:tc>
          <w:tcPr>
            <w:tcW w:w="0" w:type="dxa"/>
            <w:vAlign w:val="bottom"/>
          </w:tcPr>
          <w:p>
            <w:pPr>
              <w:spacing w:after="0"/>
              <w:rPr>
                <w:sz w:val="1"/>
                <w:szCs w:val="1"/>
                <w:color w:val="auto"/>
              </w:rPr>
            </w:pPr>
          </w:p>
        </w:tc>
      </w:tr>
      <w:tr>
        <w:trPr>
          <w:trHeight w:val="24"/>
        </w:trPr>
        <w:tc>
          <w:tcPr>
            <w:tcW w:w="2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320" w:right="340" w:hanging="315"/>
        <w:spacing w:after="0" w:line="184" w:lineRule="auto"/>
        <w:tabs>
          <w:tab w:leader="none" w:pos="308" w:val="left"/>
        </w:tabs>
        <w:numPr>
          <w:ilvl w:val="0"/>
          <w:numId w:val="5"/>
        </w:numPr>
        <w:rPr>
          <w:rFonts w:ascii="Arial" w:cs="Arial" w:eastAsia="Arial" w:hAnsi="Arial"/>
          <w:sz w:val="23"/>
          <w:szCs w:val="23"/>
          <w:color w:val="auto"/>
          <w:vertAlign w:val="superscript"/>
        </w:rPr>
      </w:pPr>
      <w:r>
        <w:rPr>
          <w:rFonts w:ascii="Arial" w:cs="Arial" w:eastAsia="Arial" w:hAnsi="Arial"/>
          <w:sz w:val="14"/>
          <w:szCs w:val="14"/>
          <w:color w:val="auto"/>
        </w:rPr>
        <w:t>Includes two properties acquired when we purchased Elegant Hotels Group plc in December 2019 which we currently intend to re-brand under The Luxury Collection brand following the completion of planned renovations.</w:t>
      </w:r>
    </w:p>
    <w:p>
      <w:pPr>
        <w:spacing w:after="0" w:line="1" w:lineRule="exact"/>
        <w:rPr>
          <w:rFonts w:ascii="Arial" w:cs="Arial" w:eastAsia="Arial" w:hAnsi="Arial"/>
          <w:sz w:val="23"/>
          <w:szCs w:val="23"/>
          <w:color w:val="auto"/>
          <w:vertAlign w:val="superscript"/>
        </w:rPr>
      </w:pPr>
    </w:p>
    <w:p>
      <w:pPr>
        <w:ind w:left="320" w:right="400" w:hanging="315"/>
        <w:spacing w:after="0" w:line="183" w:lineRule="auto"/>
        <w:tabs>
          <w:tab w:leader="none" w:pos="308" w:val="left"/>
        </w:tabs>
        <w:numPr>
          <w:ilvl w:val="0"/>
          <w:numId w:val="5"/>
        </w:numPr>
        <w:rPr>
          <w:rFonts w:ascii="Arial" w:cs="Arial" w:eastAsia="Arial" w:hAnsi="Arial"/>
          <w:sz w:val="23"/>
          <w:szCs w:val="23"/>
          <w:color w:val="auto"/>
          <w:vertAlign w:val="superscript"/>
        </w:rPr>
      </w:pPr>
      <w:r>
        <w:rPr>
          <w:rFonts w:ascii="Arial" w:cs="Arial" w:eastAsia="Arial" w:hAnsi="Arial"/>
          <w:sz w:val="14"/>
          <w:szCs w:val="14"/>
          <w:color w:val="auto"/>
        </w:rPr>
        <w:t>Includes five properties acquired when we purchased Elegant Hotels Group plc in December 2019 which we currently intend to re-brand under the Autograph Collection brand following the completion of planned renovations.</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Loyalty and Credit Card Programs</w:t>
      </w:r>
    </w:p>
    <w:p>
      <w:pPr>
        <w:spacing w:after="0" w:line="161" w:lineRule="exact"/>
        <w:rPr>
          <w:sz w:val="20"/>
          <w:szCs w:val="20"/>
          <w:color w:val="auto"/>
        </w:rPr>
      </w:pPr>
    </w:p>
    <w:p>
      <w:pPr>
        <w:ind w:right="660" w:firstLine="395"/>
        <w:spacing w:after="0" w:line="261" w:lineRule="auto"/>
        <w:rPr>
          <w:sz w:val="20"/>
          <w:szCs w:val="20"/>
          <w:color w:val="auto"/>
        </w:rPr>
      </w:pPr>
      <w:r>
        <w:rPr>
          <w:rFonts w:ascii="Arial" w:cs="Arial" w:eastAsia="Arial" w:hAnsi="Arial"/>
          <w:sz w:val="18"/>
          <w:szCs w:val="18"/>
          <w:color w:val="auto"/>
        </w:rPr>
        <w:t>Marriott Bonvoy</w:t>
      </w:r>
      <w:r>
        <w:rPr>
          <w:rFonts w:ascii="Arial" w:cs="Arial" w:eastAsia="Arial" w:hAnsi="Arial"/>
          <w:sz w:val="9"/>
          <w:szCs w:val="9"/>
          <w:color w:val="auto"/>
        </w:rPr>
        <w:t>TM</w:t>
      </w:r>
      <w:r>
        <w:rPr>
          <w:rFonts w:ascii="Arial" w:cs="Arial" w:eastAsia="Arial" w:hAnsi="Arial"/>
          <w:sz w:val="18"/>
          <w:szCs w:val="18"/>
          <w:color w:val="auto"/>
        </w:rPr>
        <w:t xml:space="preserve"> is our customer loyalty program through which members have access to our diverse brand portfolio, rich benefits, and travel experiences. We refer to Marriott Bonvoy throughout this report as our “Loyalty Program.”</w:t>
      </w:r>
    </w:p>
    <w:p>
      <w:pPr>
        <w:spacing w:after="0" w:line="129" w:lineRule="exact"/>
        <w:rPr>
          <w:sz w:val="20"/>
          <w:szCs w:val="20"/>
          <w:color w:val="auto"/>
        </w:rPr>
      </w:pPr>
    </w:p>
    <w:p>
      <w:pPr>
        <w:ind w:firstLine="395"/>
        <w:spacing w:after="0" w:line="291" w:lineRule="auto"/>
        <w:rPr>
          <w:sz w:val="20"/>
          <w:szCs w:val="20"/>
          <w:color w:val="auto"/>
        </w:rPr>
      </w:pPr>
      <w:r>
        <w:rPr>
          <w:rFonts w:ascii="Arial" w:cs="Arial" w:eastAsia="Arial" w:hAnsi="Arial"/>
          <w:sz w:val="16"/>
          <w:szCs w:val="16"/>
          <w:color w:val="auto"/>
        </w:rPr>
        <w:t>Our Loyalty Program rewards members with points toward free hotel stays, access to travel experiences through our Marriott Bonvoy Tours &amp; Activities program, miles with participating airline programs, and other benefits. We believe that our Loyalty Program generates substantial repeat business that might otherwise go to competing hotels. In each of 2019 and 2020, approximately 50 percent of our room nights were booked by Loyalty Program members. We strategically market to this large and growing guest base to generate revenue. See the “Loyalty Program” caption in Note 2 for more information.</w:t>
      </w:r>
    </w:p>
    <w:p>
      <w:pPr>
        <w:spacing w:after="0" w:line="108" w:lineRule="exact"/>
        <w:rPr>
          <w:sz w:val="20"/>
          <w:szCs w:val="20"/>
          <w:color w:val="auto"/>
        </w:rPr>
      </w:pPr>
    </w:p>
    <w:p>
      <w:pPr>
        <w:ind w:right="60" w:firstLine="395"/>
        <w:spacing w:after="0" w:line="282" w:lineRule="auto"/>
        <w:rPr>
          <w:sz w:val="20"/>
          <w:szCs w:val="20"/>
          <w:color w:val="auto"/>
        </w:rPr>
      </w:pPr>
      <w:r>
        <w:rPr>
          <w:rFonts w:ascii="Arial" w:cs="Arial" w:eastAsia="Arial" w:hAnsi="Arial"/>
          <w:sz w:val="16"/>
          <w:szCs w:val="16"/>
          <w:color w:val="auto"/>
        </w:rPr>
        <w:t>We have multi-year agreements with JPMorgan Chase and American Express for our U.S.-issued, co-brand credit cards associated with our Loyalty Program. We also license credit card programs internationally, including in Canada, the United Kingdom, United Arab Emirates, and Japan. We earn fixed amounts that are generally payable at contract inception and variable amounts that are paid to us monthly over the term of the agreements primarily based on card usage, and we believe that our co-brand credit cards contribute to the success of our Loyalty Program and reflect the quality and value of our portfolio of brands. In 2020, we signed amendments to the existing agreements for our U.S.-issued co-brand credit cards associated with our Loyalty Program. These amendments provided the Company with $920 million of cash from the prepayment of certain future revenues, the early payment of a previously committed signing bonus, and the pre-purchase of Marriott Bonvoy points and other consideration.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and Reservation Systems</w:t>
      </w:r>
    </w:p>
    <w:p>
      <w:pPr>
        <w:spacing w:after="0" w:line="161" w:lineRule="exact"/>
        <w:rPr>
          <w:sz w:val="20"/>
          <w:szCs w:val="20"/>
          <w:color w:val="auto"/>
        </w:rPr>
      </w:pPr>
    </w:p>
    <w:p>
      <w:pPr>
        <w:ind w:firstLine="395"/>
        <w:spacing w:after="0" w:line="241" w:lineRule="auto"/>
        <w:rPr>
          <w:sz w:val="20"/>
          <w:szCs w:val="20"/>
          <w:color w:val="auto"/>
        </w:rPr>
      </w:pPr>
      <w:r>
        <w:rPr>
          <w:rFonts w:ascii="Arial" w:cs="Arial" w:eastAsia="Arial" w:hAnsi="Arial"/>
          <w:sz w:val="17"/>
          <w:szCs w:val="17"/>
          <w:color w:val="auto"/>
        </w:rPr>
        <w:t xml:space="preserve">Marriott.com, our international websites, and our mobile application allow for a seamless booking experience and easy enrollment in our Loyalty Program to book our exclusive Member Rates and participate in program benefits. The Company responded quickly and flexibly during the </w:t>
      </w:r>
      <w:r>
        <w:rPr>
          <w:rFonts w:ascii="Arial" w:cs="Arial" w:eastAsia="Arial" w:hAnsi="Arial"/>
          <w:sz w:val="18"/>
          <w:szCs w:val="18"/>
          <w:color w:val="auto"/>
        </w:rPr>
        <w:t>COVID-19</w:t>
      </w:r>
      <w:r>
        <w:rPr>
          <w:rFonts w:ascii="Arial" w:cs="Arial" w:eastAsia="Arial" w:hAnsi="Arial"/>
          <w:sz w:val="17"/>
          <w:szCs w:val="17"/>
          <w:color w:val="auto"/>
        </w:rPr>
        <w:t xml:space="preserve"> crisis to meet the needs of our guests by launching new programs, such as Work Anywhere with Marriott Bonvoy, as well as new Marriott web content, focused on providing current hotel and travel information regarding </w:t>
      </w:r>
      <w:r>
        <w:rPr>
          <w:rFonts w:ascii="Arial" w:cs="Arial" w:eastAsia="Arial" w:hAnsi="Arial"/>
          <w:sz w:val="18"/>
          <w:szCs w:val="18"/>
          <w:color w:val="auto"/>
        </w:rPr>
        <w:t>COVID-19</w:t>
      </w:r>
      <w:r>
        <w:rPr>
          <w:rFonts w:ascii="Arial" w:cs="Arial" w:eastAsia="Arial" w:hAnsi="Arial"/>
          <w:sz w:val="17"/>
          <w:szCs w:val="17"/>
          <w:color w:val="auto"/>
        </w:rPr>
        <w:t>. Our Look No Further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Best Rate Guarantee ensures best rate integrity, strengthening consumer confidence in our brand and giving guests access to the best rates when they book hotel rooms through our direct channels. We also remain focused on growing engagement levels with millions of guests by interacting with them through a</w:t>
      </w:r>
    </w:p>
    <w:p>
      <w:pPr>
        <w:spacing w:after="0" w:line="200" w:lineRule="exact"/>
        <w:rPr>
          <w:sz w:val="20"/>
          <w:szCs w:val="20"/>
          <w:color w:val="auto"/>
        </w:rPr>
      </w:pPr>
    </w:p>
    <w:p>
      <w:pPr>
        <w:spacing w:after="0" w:line="3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80"/>
        <w:spacing w:after="0" w:line="269" w:lineRule="auto"/>
        <w:rPr>
          <w:sz w:val="20"/>
          <w:szCs w:val="20"/>
          <w:color w:val="auto"/>
        </w:rPr>
      </w:pPr>
      <w:r>
        <w:rPr>
          <w:rFonts w:ascii="Arial" w:cs="Arial" w:eastAsia="Arial" w:hAnsi="Arial"/>
          <w:sz w:val="16"/>
          <w:szCs w:val="16"/>
          <w:color w:val="auto"/>
        </w:rPr>
        <w:t>variety of channels, including our mobile application and digital guest services – contactless check-in and check-out, chat, service requests, mobile key, and more - across our hotel portfolio. Our digital strategy continues to focus on driving bookings to our direct channels, which generally deliver more profitable business to hotels in our system compared to bookings made through intermediary channels. Through our direct channels, we aim to create a simple and efficient digital shopping and booking experience, while elevating our service through digitally-enabled guest services to generate superior guest satisfaction and enable more frictionless and memorable stays at our properties.</w:t>
      </w:r>
    </w:p>
    <w:p>
      <w:pPr>
        <w:spacing w:after="0" w:line="114" w:lineRule="exact"/>
        <w:rPr>
          <w:sz w:val="20"/>
          <w:szCs w:val="20"/>
          <w:color w:val="auto"/>
        </w:rPr>
      </w:pPr>
    </w:p>
    <w:p>
      <w:pPr>
        <w:ind w:firstLine="434"/>
        <w:spacing w:after="0" w:line="250" w:lineRule="auto"/>
        <w:rPr>
          <w:sz w:val="20"/>
          <w:szCs w:val="20"/>
          <w:color w:val="auto"/>
        </w:rPr>
      </w:pPr>
      <w:r>
        <w:rPr>
          <w:rFonts w:ascii="Arial" w:cs="Arial" w:eastAsia="Arial" w:hAnsi="Arial"/>
          <w:sz w:val="18"/>
          <w:szCs w:val="18"/>
          <w:color w:val="auto"/>
        </w:rPr>
        <w:t>At year-end 2020, we operated 20 hotel reservation centers, seven in the U.S. and 13 in other countries and territories, which handle reservation requests for our lodging brands worldwide, including franchised properties. We own two of the U.S. facilities and either lease the others or share space with a company-operated property. Our reservation system manages inventory and allows us to utilize third-party agents where cost effective. Economies of scale enable us to minimize costs per occupied room.</w:t>
      </w:r>
    </w:p>
    <w:p>
      <w:pPr>
        <w:spacing w:after="0" w:line="138" w:lineRule="exact"/>
        <w:rPr>
          <w:sz w:val="20"/>
          <w:szCs w:val="20"/>
          <w:color w:val="auto"/>
        </w:rPr>
      </w:pPr>
    </w:p>
    <w:p>
      <w:pPr>
        <w:ind w:right="80" w:firstLine="395"/>
        <w:spacing w:after="0" w:line="282" w:lineRule="auto"/>
        <w:rPr>
          <w:sz w:val="20"/>
          <w:szCs w:val="20"/>
          <w:color w:val="auto"/>
        </w:rPr>
      </w:pPr>
      <w:r>
        <w:rPr>
          <w:rFonts w:ascii="Arial" w:cs="Arial" w:eastAsia="Arial" w:hAnsi="Arial"/>
          <w:sz w:val="16"/>
          <w:szCs w:val="16"/>
          <w:color w:val="auto"/>
        </w:rPr>
        <w:t>We believe our global sales and revenue management organizations are a key competitive advantage due to our unrelenting focus on optimizing our investment in people, processes, and systems. Our above-property sales deployment strategy aligns our sales efforts around how the customer wants to buy, reducing duplication of efforts by individual hotels and allowing us to cover a larger number of accounts. We also utilize innovative and sophisticated revenue management systems, many of which are proprietary, which we believe provide a competitive advantage in pricing decisions, increasing efficiency and optimizing property-level revenue for hotels in our portfolio. Most of the hotels in our portfolio utilize web-based programs to effectively manage the rate set-up and modification processes which provides for greater pricing flexibility, reduces time spent on rate program creation and maintenance, and increases the speed to market of new products and services.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61" w:lineRule="exact"/>
        <w:rPr>
          <w:sz w:val="20"/>
          <w:szCs w:val="20"/>
          <w:color w:val="auto"/>
        </w:rPr>
      </w:pPr>
    </w:p>
    <w:p>
      <w:pPr>
        <w:ind w:firstLine="395"/>
        <w:spacing w:after="0" w:line="250" w:lineRule="auto"/>
        <w:rPr>
          <w:sz w:val="20"/>
          <w:szCs w:val="20"/>
          <w:color w:val="auto"/>
        </w:rPr>
      </w:pPr>
      <w:r>
        <w:rPr>
          <w:rFonts w:ascii="Arial" w:cs="Arial" w:eastAsia="Arial" w:hAnsi="Arial"/>
          <w:sz w:val="18"/>
          <w:szCs w:val="18"/>
          <w:color w:val="auto"/>
        </w:rPr>
        <w:t>We encounter strong competition both as a lodging operator and as a franchisor. Other lodging management companies are primarily private management firms, but also include several large national and international chains that own and operate their own hotels, operate hotels on behalf of third-party owners, and also franchise their brands. Management contracts are typically long-term in nature, but most allow the hotel owner to replace the management firm if it does not meet certain financial or performance criteria.</w:t>
      </w:r>
    </w:p>
    <w:p>
      <w:pPr>
        <w:spacing w:after="0" w:line="138" w:lineRule="exact"/>
        <w:rPr>
          <w:sz w:val="20"/>
          <w:szCs w:val="20"/>
          <w:color w:val="auto"/>
        </w:rPr>
      </w:pPr>
    </w:p>
    <w:p>
      <w:pPr>
        <w:ind w:right="40" w:firstLine="395"/>
        <w:spacing w:after="0" w:line="287" w:lineRule="auto"/>
        <w:rPr>
          <w:sz w:val="20"/>
          <w:szCs w:val="20"/>
          <w:color w:val="auto"/>
        </w:rPr>
      </w:pPr>
      <w:r>
        <w:rPr>
          <w:rFonts w:ascii="Arial" w:cs="Arial" w:eastAsia="Arial" w:hAnsi="Arial"/>
          <w:sz w:val="16"/>
          <w:szCs w:val="16"/>
          <w:color w:val="auto"/>
        </w:rPr>
        <w:t>Our direct digital channels also compete for guests with large companies that offer online travel services as part of their business model such as Expedia.com, Priceline.com, Booking.com, Travelocity.com, and Orbitz.com and search engines such as Google, Bing, Yahoo, and Baidu. Our hotels compete for guests with other hotels and online platforms, including Airbnb and Vrbo, that allow travelers to book short-term rentals of homes and apartments as an alternative to hotel rooms. We compete for guests in many areas, including brand recognition and reputation, location, guest satisfaction, room rates, quality of service, amenities, quality of accommodations, safety and security, and the ability to earn and redeem loyalty program points.</w:t>
      </w:r>
    </w:p>
    <w:p>
      <w:pPr>
        <w:spacing w:after="0" w:line="111" w:lineRule="exact"/>
        <w:rPr>
          <w:sz w:val="20"/>
          <w:szCs w:val="20"/>
          <w:color w:val="auto"/>
        </w:rPr>
      </w:pPr>
    </w:p>
    <w:p>
      <w:pPr>
        <w:ind w:right="200" w:firstLine="434"/>
        <w:spacing w:after="0" w:line="316" w:lineRule="auto"/>
        <w:rPr>
          <w:sz w:val="20"/>
          <w:szCs w:val="20"/>
          <w:color w:val="auto"/>
        </w:rPr>
      </w:pPr>
      <w:r>
        <w:rPr>
          <w:rFonts w:ascii="Arial" w:cs="Arial" w:eastAsia="Arial" w:hAnsi="Arial"/>
          <w:sz w:val="15"/>
          <w:szCs w:val="15"/>
          <w:color w:val="auto"/>
        </w:rPr>
        <w:t>Affiliation with a brand is common in the U.S. lodging industry, and we believe that our brand recognition assists us in attracting and retaining guests, owners, and franchisees. In 2020, approximately 72 percent of U.S. hotel rooms were brand-affiliated. Most of the branded properties are franchises, under which the owner pays the franchisor a fee for use of its hotel name and reservation system. In the franchising business, we face many competitors that have strong brands and guest appeal, including Hilton, Intercontinental Hotels Group, Hyatt, Wyndham, Accor, Choice, Radisson, Best Western, and others.</w:t>
      </w:r>
    </w:p>
    <w:p>
      <w:pPr>
        <w:spacing w:after="0" w:line="92" w:lineRule="exact"/>
        <w:rPr>
          <w:sz w:val="20"/>
          <w:szCs w:val="20"/>
          <w:color w:val="auto"/>
        </w:rPr>
      </w:pPr>
    </w:p>
    <w:p>
      <w:pPr>
        <w:ind w:right="120" w:firstLine="434"/>
        <w:spacing w:after="0" w:line="327" w:lineRule="auto"/>
        <w:rPr>
          <w:sz w:val="20"/>
          <w:szCs w:val="20"/>
          <w:color w:val="auto"/>
        </w:rPr>
      </w:pPr>
      <w:r>
        <w:rPr>
          <w:rFonts w:ascii="Arial" w:cs="Arial" w:eastAsia="Arial" w:hAnsi="Arial"/>
          <w:sz w:val="15"/>
          <w:szCs w:val="15"/>
          <w:color w:val="auto"/>
        </w:rPr>
        <w:t>Outside the U.S., branding is much less prevalent and most markets are served primarily by independent operators, although branding is more common for new hotel development. We believe that chain affiliation will become more attractive in many overseas markets as local economies grow, trade barriers decline, international travel accelerates, and hotel owners seek the benefits of centralized reservation systems, marketing programs, and our Loyalty Program.</w:t>
      </w:r>
    </w:p>
    <w:p>
      <w:pPr>
        <w:spacing w:after="0" w:line="84" w:lineRule="exact"/>
        <w:rPr>
          <w:sz w:val="20"/>
          <w:szCs w:val="20"/>
          <w:color w:val="auto"/>
        </w:rPr>
      </w:pPr>
    </w:p>
    <w:p>
      <w:pPr>
        <w:ind w:firstLine="434"/>
        <w:spacing w:after="0" w:line="247" w:lineRule="auto"/>
        <w:rPr>
          <w:sz w:val="20"/>
          <w:szCs w:val="20"/>
          <w:color w:val="auto"/>
        </w:rPr>
      </w:pPr>
      <w:r>
        <w:rPr>
          <w:rFonts w:ascii="Arial" w:cs="Arial" w:eastAsia="Arial" w:hAnsi="Arial"/>
          <w:sz w:val="18"/>
          <w:szCs w:val="18"/>
          <w:color w:val="auto"/>
        </w:rPr>
        <w:t>Based on lodging industry data, we have an approximately 16 percent share of the U.S. hotel market (based on number of rooms) and we estimate less than a four percent share of the hotel market outside the U.S. We believe that our hotel brands are attractive to hotel owners seeking a management company or franchise affiliation because our hotels typically generate higher RevPAR than our direct competitors in most market areas. We attribute this performance premium to our success in achieving and maintaining strong guest preference. We believe that the location and quality of our lodging facilities, our marketing programs, our reservation systems, our Loyalty Program, and our emphasis on guest service and guest and associate satisfaction contribute to guest preference across all our brands.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61" w:lineRule="exact"/>
        <w:rPr>
          <w:sz w:val="20"/>
          <w:szCs w:val="20"/>
          <w:color w:val="auto"/>
        </w:rPr>
      </w:pPr>
    </w:p>
    <w:p>
      <w:pPr>
        <w:ind w:right="220" w:firstLine="434"/>
        <w:spacing w:after="0" w:line="261" w:lineRule="auto"/>
        <w:rPr>
          <w:sz w:val="20"/>
          <w:szCs w:val="20"/>
          <w:color w:val="auto"/>
        </w:rPr>
      </w:pPr>
      <w:r>
        <w:rPr>
          <w:rFonts w:ascii="Arial" w:cs="Arial" w:eastAsia="Arial" w:hAnsi="Arial"/>
          <w:sz w:val="18"/>
          <w:szCs w:val="18"/>
          <w:color w:val="auto"/>
        </w:rPr>
        <w:t>In general, business at company-operated and franchised properties fluctuates moderately with the seasons. Business at some resort properties may be more seasonal depending on location.</w:t>
      </w: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Capital Management</w:t>
      </w:r>
    </w:p>
    <w:p>
      <w:pPr>
        <w:spacing w:after="0" w:line="161" w:lineRule="exact"/>
        <w:rPr>
          <w:sz w:val="20"/>
          <w:szCs w:val="20"/>
          <w:color w:val="auto"/>
        </w:rPr>
      </w:pPr>
    </w:p>
    <w:p>
      <w:pPr>
        <w:ind w:right="620" w:firstLine="434"/>
        <w:spacing w:after="0" w:line="324" w:lineRule="auto"/>
        <w:rPr>
          <w:sz w:val="20"/>
          <w:szCs w:val="20"/>
          <w:color w:val="auto"/>
        </w:rPr>
      </w:pPr>
      <w:r>
        <w:rPr>
          <w:rFonts w:ascii="Arial" w:cs="Arial" w:eastAsia="Arial" w:hAnsi="Arial"/>
          <w:sz w:val="16"/>
          <w:szCs w:val="16"/>
          <w:color w:val="auto"/>
        </w:rPr>
        <w:t>Marriott’s long history of service, innovation and growth was built on a commitment to take care of people. Today, that commitment is known as TakeCare. Through our TakeCare commitment, we are dedicated to providing opportunity, community, and purpose for all associates.</w:t>
      </w:r>
    </w:p>
    <w:p>
      <w:pPr>
        <w:spacing w:after="0" w:line="82" w:lineRule="exact"/>
        <w:rPr>
          <w:sz w:val="20"/>
          <w:szCs w:val="20"/>
          <w:color w:val="auto"/>
        </w:rPr>
      </w:pPr>
    </w:p>
    <w:p>
      <w:pPr>
        <w:ind w:right="160" w:firstLine="434"/>
        <w:spacing w:after="0" w:line="248" w:lineRule="auto"/>
        <w:rPr>
          <w:sz w:val="20"/>
          <w:szCs w:val="20"/>
          <w:color w:val="auto"/>
        </w:rPr>
      </w:pPr>
      <w:r>
        <w:rPr>
          <w:rFonts w:ascii="Arial" w:cs="Arial" w:eastAsia="Arial" w:hAnsi="Arial"/>
          <w:sz w:val="18"/>
          <w:szCs w:val="18"/>
          <w:color w:val="auto"/>
        </w:rPr>
        <w:t>At year-end 2020, Marriott employed approximately 121,000 associates at properties, customer care centers, and above-property operations. Approximately 98,000 of these associates are located in the U.S., of which approximately 20,000 belong to labor unions. Outside the U.S., some of our associates are represented by trade unions, works councils, or employee associations. These numbers do not include associates employed by our hotel owners (which is common outside the U.S.) or hotel personnel employed by our franchisees or other management companies hired by our franchisees. Marriott manages over 200,000 associates who are employed by hotel owners.</w:t>
      </w:r>
    </w:p>
    <w:p>
      <w:pPr>
        <w:spacing w:after="0" w:line="141" w:lineRule="exact"/>
        <w:rPr>
          <w:sz w:val="20"/>
          <w:szCs w:val="20"/>
          <w:color w:val="auto"/>
        </w:rPr>
      </w:pPr>
    </w:p>
    <w:p>
      <w:pPr>
        <w:ind w:right="60" w:firstLine="434"/>
        <w:spacing w:after="0" w:line="282" w:lineRule="auto"/>
        <w:rPr>
          <w:sz w:val="20"/>
          <w:szCs w:val="20"/>
          <w:color w:val="auto"/>
        </w:rPr>
      </w:pPr>
      <w:r>
        <w:rPr>
          <w:rFonts w:ascii="Arial" w:cs="Arial" w:eastAsia="Arial" w:hAnsi="Arial"/>
          <w:sz w:val="16"/>
          <w:szCs w:val="16"/>
          <w:color w:val="auto"/>
        </w:rPr>
        <w:t>As a result of COVID-19’s impact on our industry and the significant decline in demand for hotel rooms, we had to take substantial measures to mitigate the negative financial and operational impacts for our hotel owners and our business. These measures included furloughing a substantial number of our associates and implementing reduced work weeks for other associates. These furlough and reduced work week arrangements have ended at our above-property locations, but continue for a significant number of our on-property associates. In addition, to reduce operating costs and improve efficiency, we implemented restructuring plans impacting both on-property and above-property associates, which included a voluntary transition program for certain associates and the elimination of a significant number of positions. Our property-level restructuring plans are ongoing. As a result of COVID-19 and the uncertainty regarding when lodging demand and RevPAR levels will recover, the size of our global workforce remains in transition.</w:t>
      </w:r>
    </w:p>
    <w:p>
      <w:pPr>
        <w:spacing w:after="0" w:line="118" w:lineRule="exact"/>
        <w:rPr>
          <w:sz w:val="20"/>
          <w:szCs w:val="20"/>
          <w:color w:val="auto"/>
        </w:rPr>
      </w:pPr>
    </w:p>
    <w:p>
      <w:pPr>
        <w:ind w:right="120" w:firstLine="434"/>
        <w:spacing w:after="0" w:line="287" w:lineRule="auto"/>
        <w:rPr>
          <w:sz w:val="20"/>
          <w:szCs w:val="20"/>
          <w:color w:val="auto"/>
        </w:rPr>
      </w:pPr>
      <w:r>
        <w:rPr>
          <w:rFonts w:ascii="Arial" w:cs="Arial" w:eastAsia="Arial" w:hAnsi="Arial"/>
          <w:sz w:val="16"/>
          <w:szCs w:val="16"/>
          <w:color w:val="auto"/>
        </w:rPr>
        <w:t>During this period of disruption for our industry, we continue to be focused on the needs of our associates. We made a temporary policy change to offer Company-subsidized health care coverage for eligible U.S. associates on furlough and to reduce the required hours worked to allow eligible U.S. associates to continue to qualify for Company-subsidized health care coverage. Additionally, we implemented new policies and protocols designed to help minimize the spread of COVID-19 at our hotels and protect our on-property associates, such as requiring all associates to wear face coverings in indoor public areas, enhancing our already rigorous cleaning procedures, and maintaining social distancing protocols.</w:t>
      </w:r>
    </w:p>
    <w:p>
      <w:pPr>
        <w:spacing w:after="0" w:line="111" w:lineRule="exact"/>
        <w:rPr>
          <w:sz w:val="20"/>
          <w:szCs w:val="20"/>
          <w:color w:val="auto"/>
        </w:rPr>
      </w:pPr>
    </w:p>
    <w:p>
      <w:pPr>
        <w:ind w:right="40" w:firstLine="434"/>
        <w:spacing w:after="0" w:line="282" w:lineRule="auto"/>
        <w:rPr>
          <w:sz w:val="20"/>
          <w:szCs w:val="20"/>
          <w:color w:val="auto"/>
        </w:rPr>
      </w:pPr>
      <w:r>
        <w:rPr>
          <w:rFonts w:ascii="Arial" w:cs="Arial" w:eastAsia="Arial" w:hAnsi="Arial"/>
          <w:sz w:val="16"/>
          <w:szCs w:val="16"/>
          <w:color w:val="auto"/>
        </w:rPr>
        <w:t>We have a comprehensive compensation and benefits program designed to reward our associates and enrich their well-being. Our policies and practices are designed to avoid pay inequities throughout an associate’s career. In the U.S., salary history inquiries are prohibited during our hiring process and pay equity audits are conducted periodically. In addition, Marriott is focused on the health and well-being of not only our associates, but their families as well. In the U.S., we provide our associates with access to health care coverage, work/life support benefits, and other benefits that support families, including paid parental leave and financial assistance to help with adoption fees. We also offer comprehensive benefits programs for associates outside the U.S., the terms of which vary based on the geographic market. Beginning in 2020, we offered associates free access to a digital tool designed to help with stress management and resiliency.</w:t>
      </w:r>
    </w:p>
    <w:p>
      <w:pPr>
        <w:spacing w:after="0" w:line="118" w:lineRule="exact"/>
        <w:rPr>
          <w:sz w:val="20"/>
          <w:szCs w:val="20"/>
          <w:color w:val="auto"/>
        </w:rPr>
      </w:pPr>
    </w:p>
    <w:p>
      <w:pPr>
        <w:ind w:firstLine="434"/>
        <w:spacing w:after="0" w:line="250" w:lineRule="auto"/>
        <w:rPr>
          <w:sz w:val="20"/>
          <w:szCs w:val="20"/>
          <w:color w:val="auto"/>
        </w:rPr>
      </w:pPr>
      <w:r>
        <w:rPr>
          <w:rFonts w:ascii="Arial" w:cs="Arial" w:eastAsia="Arial" w:hAnsi="Arial"/>
          <w:sz w:val="18"/>
          <w:szCs w:val="18"/>
          <w:color w:val="auto"/>
        </w:rPr>
        <w:t>At Marriott, our associates’ career well-being is a top priority and we offer programs and resources to support our associates’ career goals, from entry level to management positions. Through skills training programs, professional development opportunities and other learning experiences, we provide associates with a multitude of choices for career and personal growth. We recently launched the Digital Learning Zone, focused on providing associates personalized unique learning paths.</w:t>
      </w:r>
    </w:p>
    <w:p>
      <w:pPr>
        <w:spacing w:after="0" w:line="138" w:lineRule="exact"/>
        <w:rPr>
          <w:sz w:val="20"/>
          <w:szCs w:val="20"/>
          <w:color w:val="auto"/>
        </w:rPr>
      </w:pPr>
    </w:p>
    <w:p>
      <w:pPr>
        <w:ind w:firstLine="434"/>
        <w:spacing w:after="0" w:line="284" w:lineRule="auto"/>
        <w:rPr>
          <w:sz w:val="20"/>
          <w:szCs w:val="20"/>
          <w:color w:val="auto"/>
        </w:rPr>
      </w:pPr>
      <w:r>
        <w:rPr>
          <w:rFonts w:ascii="Arial" w:cs="Arial" w:eastAsia="Arial" w:hAnsi="Arial"/>
          <w:sz w:val="16"/>
          <w:szCs w:val="16"/>
          <w:color w:val="auto"/>
        </w:rPr>
        <w:t>Our company-wide diversity, equity, and inclusion program includes a range of initiatives and programs to support our efforts to make all stakeholders – associates, guests, owners, and suppliers – feel welcome. We have oversight and accountability measures in place to support our focus on equal employment, diversity and inclusion. The Inclusion and Social Impact Committee of our Board of Directors (the “ISI Committee”) helps drive accountability across the Company. Established in 2003, the ISI Committee is chaired by a member of our Board of Directors and comprised of certain other members of the Board and the Company’s senior management team. The ISI Committee assists the Board in carrying out its commitment and responsibilities relating to Marriott’s people-first culture and the Company’s efforts to foster associate well-being and inclusion.</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Sustainability and Social Impact</w:t>
      </w:r>
    </w:p>
    <w:p>
      <w:pPr>
        <w:spacing w:after="0" w:line="148" w:lineRule="exact"/>
        <w:rPr>
          <w:sz w:val="20"/>
          <w:szCs w:val="20"/>
          <w:color w:val="auto"/>
        </w:rPr>
      </w:pPr>
    </w:p>
    <w:p>
      <w:pPr>
        <w:ind w:firstLine="434"/>
        <w:spacing w:after="0" w:line="278" w:lineRule="auto"/>
        <w:rPr>
          <w:sz w:val="20"/>
          <w:szCs w:val="20"/>
          <w:color w:val="auto"/>
        </w:rPr>
      </w:pPr>
      <w:r>
        <w:rPr>
          <w:rFonts w:ascii="Arial" w:cs="Arial" w:eastAsia="Arial" w:hAnsi="Arial"/>
          <w:sz w:val="16"/>
          <w:szCs w:val="16"/>
          <w:color w:val="auto"/>
        </w:rPr>
        <w:t>Guided by our 2025 sustainability and social impact goals, as well as the United Nations Sustainable Development Goals, we believe we have an opportunity to create a positive and sustainable impact wherever we do business. Our sustainability and social impact platform, Serve 360: Doing Good In Every Direction, is built around four focus areas: Nurture Our World; Sustain Responsible Operations; Empower Through Opportunity; and Welcome All and Advance Human Rights - each with targets to drive our efforts through 2025. These targets reflect our goals to protect and invest in the vitality of the communities and natural environments in which we operate, build and operate sustainable hotels, source responsibly, advance human rights, and mitigate climate-related risk. In 2020, many of our programs and initiatives, including the switch from single-use toiletry bottles to larger, pump-topped bottles, were slowed due to the impact of COVID-19 on our business. Nevertheless, hotels across the globe supported their local communities in need by donating food, cleaning supplies and other essential items and opening their doors to non-profits that needed large event spaces in order to adhere to social distancing protocols and still meet an increase in demand for their community-supporting services. Additionally, together with American Express and JPMorgan Chase, we provided $10 million worth of free hotel stays for frontline healthcare workers. We deployed our Marriott Disaster Relief Fund to provide essential items, such as food vouchers, to Marriott associates in need. Notwithstanding the pandemic, we made progress toward our goal to train 100 percent of on-property personnel in human trafficking awareness by 2025, and in collaboration with a leading anti-trafficking organization, we made our training open-sourced for free access to our industry and beyond. In 2021, we expect to revise and implement sustainability and social impact programming that is most pertinent to the current operating environment, while helping us to address the growing expectations of our stakeholders, increase our operational efficiency and excellence, and enhance our reputation while mitigating risk and supporting the resiliency of our business.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Regulations</w:t>
      </w:r>
    </w:p>
    <w:p>
      <w:pPr>
        <w:spacing w:after="0" w:line="161" w:lineRule="exact"/>
        <w:rPr>
          <w:sz w:val="20"/>
          <w:szCs w:val="20"/>
          <w:color w:val="auto"/>
        </w:rPr>
      </w:pPr>
    </w:p>
    <w:p>
      <w:pPr>
        <w:ind w:right="200" w:firstLine="434"/>
        <w:spacing w:after="0" w:line="250" w:lineRule="auto"/>
        <w:rPr>
          <w:sz w:val="20"/>
          <w:szCs w:val="20"/>
          <w:color w:val="auto"/>
        </w:rPr>
      </w:pPr>
      <w:r>
        <w:rPr>
          <w:rFonts w:ascii="Arial" w:cs="Arial" w:eastAsia="Arial" w:hAnsi="Arial"/>
          <w:sz w:val="18"/>
          <w:szCs w:val="18"/>
          <w:color w:val="auto"/>
        </w:rPr>
        <w:t>As a company with global operations, we are subject to a wide variety of laws, regulations, and government policies in the U.S. and in jurisdictions around the world. Some of the regulations that most affect us include those related to employment practices; health and safety; trade and economic sanctions; competition; anti-bribery and anti-corruption; cybersecurity; data privacy, data localization and the handling of personally identifiable information; the offer and sale of franchises; and liquor sales.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Internet Address and Company SEC Filings</w:t>
      </w:r>
    </w:p>
    <w:p>
      <w:pPr>
        <w:spacing w:after="0" w:line="161" w:lineRule="exact"/>
        <w:rPr>
          <w:sz w:val="20"/>
          <w:szCs w:val="20"/>
          <w:color w:val="auto"/>
        </w:rPr>
      </w:pPr>
    </w:p>
    <w:p>
      <w:pPr>
        <w:jc w:val="both"/>
        <w:ind w:right="80" w:firstLine="434"/>
        <w:spacing w:after="0" w:line="250" w:lineRule="auto"/>
        <w:rPr>
          <w:sz w:val="20"/>
          <w:szCs w:val="20"/>
          <w:color w:val="auto"/>
        </w:rPr>
      </w:pPr>
      <w:r>
        <w:rPr>
          <w:rFonts w:ascii="Arial" w:cs="Arial" w:eastAsia="Arial" w:hAnsi="Arial"/>
          <w:sz w:val="18"/>
          <w:szCs w:val="18"/>
          <w:color w:val="auto"/>
        </w:rPr>
        <w:t>Our primary Internet address is Marriott.com. On the investor relations portion of our website, Marriott.com/investor, we provide a link to our electronic filings with the SEC, including our annual report on Form 10-K, our quarterly reports on Form 10-Q, our current reports on Form 8-K, and any amendments to these reports. We make all such filings available free of charge as soon as reasonably practicable after filing. The information found on our website is not part of this or any other report we file with or furnish to the SEC.</w:t>
      </w:r>
    </w:p>
    <w:p>
      <w:pPr>
        <w:spacing w:after="0" w:line="13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67" w:lineRule="exact"/>
        <w:rPr>
          <w:sz w:val="20"/>
          <w:szCs w:val="20"/>
          <w:color w:val="auto"/>
        </w:rPr>
      </w:pPr>
    </w:p>
    <w:p>
      <w:pPr>
        <w:ind w:right="80" w:firstLine="395"/>
        <w:spacing w:after="0" w:line="310" w:lineRule="auto"/>
        <w:rPr>
          <w:sz w:val="20"/>
          <w:szCs w:val="20"/>
          <w:color w:val="auto"/>
        </w:rPr>
      </w:pPr>
      <w:r>
        <w:rPr>
          <w:rFonts w:ascii="Arial" w:cs="Arial" w:eastAsia="Arial" w:hAnsi="Arial"/>
          <w:sz w:val="15"/>
          <w:szCs w:val="15"/>
          <w:color w:val="auto"/>
        </w:rPr>
        <w:t>We are subject to various risks that make an investment in our securities risky. The events and consequences discussed in these risk factors could, in circumstances we may or may not be able to accurately predict, recognize, or control, have a material adverse effect on our business, liquidity, financial condition, and results of operations. In addition, these risks could cause results to differ materially from those we express in forward-looking statements contained in this Annual Report or in other Company communications. These risk factors do not identify all risks that we face; our operations could also be affected by factors, events, or uncertainties that are not presently known to us or that we currently do not consider to present significant risks to our operations.</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 xml:space="preserve">Risks Relating to </w:t>
      </w:r>
      <w:r>
        <w:rPr>
          <w:rFonts w:ascii="Arial" w:cs="Arial" w:eastAsia="Arial" w:hAnsi="Arial"/>
          <w:sz w:val="19"/>
          <w:szCs w:val="19"/>
          <w:b w:val="1"/>
          <w:bCs w:val="1"/>
          <w:color w:val="auto"/>
        </w:rPr>
        <w:t>COVID-19</w:t>
      </w:r>
    </w:p>
    <w:p>
      <w:pPr>
        <w:spacing w:after="0" w:line="169" w:lineRule="exact"/>
        <w:rPr>
          <w:sz w:val="20"/>
          <w:szCs w:val="20"/>
          <w:color w:val="auto"/>
        </w:rPr>
      </w:pPr>
    </w:p>
    <w:p>
      <w:pPr>
        <w:ind w:right="340" w:firstLine="395"/>
        <w:spacing w:after="0" w:line="254" w:lineRule="auto"/>
        <w:rPr>
          <w:sz w:val="20"/>
          <w:szCs w:val="20"/>
          <w:color w:val="auto"/>
        </w:rPr>
      </w:pPr>
      <w:r>
        <w:rPr>
          <w:rFonts w:ascii="Arial" w:cs="Arial" w:eastAsia="Arial" w:hAnsi="Arial"/>
          <w:sz w:val="19"/>
          <w:szCs w:val="19"/>
          <w:b w:val="1"/>
          <w:bCs w:val="1"/>
          <w:i w:val="1"/>
          <w:iCs w:val="1"/>
          <w:color w:val="auto"/>
        </w:rPr>
        <w:t xml:space="preserve">COVID-19 </w:t>
      </w:r>
      <w:r>
        <w:rPr>
          <w:rFonts w:ascii="Arial" w:cs="Arial" w:eastAsia="Arial" w:hAnsi="Arial"/>
          <w:sz w:val="17"/>
          <w:szCs w:val="17"/>
          <w:b w:val="1"/>
          <w:bCs w:val="1"/>
          <w:i w:val="1"/>
          <w:iCs w:val="1"/>
          <w:color w:val="auto"/>
        </w:rPr>
        <w:t>has had a material detrimental impact on our business and financial results, and such impact could continue and may worsen for an</w:t>
      </w:r>
      <w:r>
        <w:rPr>
          <w:rFonts w:ascii="Arial" w:cs="Arial" w:eastAsia="Arial" w:hAnsi="Arial"/>
          <w:sz w:val="19"/>
          <w:szCs w:val="19"/>
          <w:b w:val="1"/>
          <w:bCs w:val="1"/>
          <w:i w:val="1"/>
          <w:iCs w:val="1"/>
          <w:color w:val="auto"/>
        </w:rPr>
        <w:t xml:space="preserve"> </w:t>
      </w:r>
      <w:r>
        <w:rPr>
          <w:rFonts w:ascii="Arial" w:cs="Arial" w:eastAsia="Arial" w:hAnsi="Arial"/>
          <w:sz w:val="17"/>
          <w:szCs w:val="17"/>
          <w:b w:val="1"/>
          <w:bCs w:val="1"/>
          <w:i w:val="1"/>
          <w:iCs w:val="1"/>
          <w:color w:val="auto"/>
        </w:rPr>
        <w:t>unknown period of time.</w:t>
      </w:r>
    </w:p>
    <w:p>
      <w:pPr>
        <w:spacing w:after="0" w:line="130" w:lineRule="exact"/>
        <w:rPr>
          <w:sz w:val="20"/>
          <w:szCs w:val="20"/>
          <w:color w:val="auto"/>
        </w:rPr>
      </w:pPr>
    </w:p>
    <w:p>
      <w:pPr>
        <w:ind w:right="100" w:firstLine="395"/>
        <w:spacing w:after="0" w:line="248" w:lineRule="auto"/>
        <w:rPr>
          <w:sz w:val="20"/>
          <w:szCs w:val="20"/>
          <w:color w:val="auto"/>
        </w:rPr>
      </w:pPr>
      <w:r>
        <w:rPr>
          <w:rFonts w:ascii="Arial" w:cs="Arial" w:eastAsia="Arial" w:hAnsi="Arial"/>
          <w:sz w:val="19"/>
          <w:szCs w:val="19"/>
          <w:color w:val="auto"/>
        </w:rPr>
        <w:t xml:space="preserve">COVID-19 </w:t>
      </w:r>
      <w:r>
        <w:rPr>
          <w:rFonts w:ascii="Arial" w:cs="Arial" w:eastAsia="Arial" w:hAnsi="Arial"/>
          <w:sz w:val="17"/>
          <w:szCs w:val="17"/>
          <w:color w:val="auto"/>
        </w:rPr>
        <w:t>has been and continues to be a complex and evolving situation, with governments, public institutions and other organizations imposing or</w:t>
      </w:r>
      <w:r>
        <w:rPr>
          <w:rFonts w:ascii="Arial" w:cs="Arial" w:eastAsia="Arial" w:hAnsi="Arial"/>
          <w:sz w:val="19"/>
          <w:szCs w:val="19"/>
          <w:color w:val="auto"/>
        </w:rPr>
        <w:t xml:space="preserve"> </w:t>
      </w:r>
      <w:r>
        <w:rPr>
          <w:rFonts w:ascii="Arial" w:cs="Arial" w:eastAsia="Arial" w:hAnsi="Arial"/>
          <w:sz w:val="17"/>
          <w:szCs w:val="17"/>
          <w:color w:val="auto"/>
        </w:rPr>
        <w:t xml:space="preserve">recommending, and businesses and individuals implementing, at various times and to varying degrees, restrictions on various activities or other actions to combat its spread, such as restrictions and bans on travel or transportation; limitations on the size of in-person gatherings; closures of, or occupancy or other operating limitations on, work facilities, lodging facilities, food and beverage establishments, schools, public buildings and businesses; cancellation of events, including sporting events, conferences and meetings; and quarantines and lock-downs. </w:t>
      </w:r>
      <w:r>
        <w:rPr>
          <w:rFonts w:ascii="Arial" w:cs="Arial" w:eastAsia="Arial" w:hAnsi="Arial"/>
          <w:sz w:val="19"/>
          <w:szCs w:val="19"/>
          <w:color w:val="auto"/>
        </w:rPr>
        <w:t>COVID-19</w:t>
      </w:r>
      <w:r>
        <w:rPr>
          <w:rFonts w:ascii="Arial" w:cs="Arial" w:eastAsia="Arial" w:hAnsi="Arial"/>
          <w:sz w:val="17"/>
          <w:szCs w:val="17"/>
          <w:color w:val="auto"/>
        </w:rPr>
        <w:t xml:space="preserve"> and its consequences have dramatically reduced travel and demand for hotel rooms, which has and will continue to impact our business, operations, and financial results. The extent to which </w:t>
      </w:r>
      <w:r>
        <w:rPr>
          <w:rFonts w:ascii="Arial" w:cs="Arial" w:eastAsia="Arial" w:hAnsi="Arial"/>
          <w:sz w:val="19"/>
          <w:szCs w:val="19"/>
          <w:color w:val="auto"/>
        </w:rPr>
        <w:t>COVID-19</w:t>
      </w:r>
      <w:r>
        <w:rPr>
          <w:rFonts w:ascii="Arial" w:cs="Arial" w:eastAsia="Arial" w:hAnsi="Arial"/>
          <w:sz w:val="17"/>
          <w:szCs w:val="17"/>
          <w:color w:val="auto"/>
        </w:rPr>
        <w:t xml:space="preserve"> impacts our business, operations, and financial results will depend on the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 xml:space="preserve">factors described above and numerous other evolving factors that we may not be able to accurately predict or assess, including the duration and scope of </w:t>
      </w:r>
      <w:r>
        <w:rPr>
          <w:rFonts w:ascii="Arial" w:cs="Arial" w:eastAsia="Arial" w:hAnsi="Arial"/>
          <w:sz w:val="18"/>
          <w:szCs w:val="18"/>
          <w:color w:val="auto"/>
        </w:rPr>
        <w:t>COVID-19</w:t>
      </w:r>
      <w:r>
        <w:rPr>
          <w:rFonts w:ascii="Arial" w:cs="Arial" w:eastAsia="Arial" w:hAnsi="Arial"/>
          <w:sz w:val="16"/>
          <w:szCs w:val="16"/>
          <w:color w:val="auto"/>
        </w:rPr>
        <w:t>; the availability and distribution of effective vaccines or treatments;</w:t>
      </w:r>
      <w:r>
        <w:rPr>
          <w:rFonts w:ascii="Arial" w:cs="Arial" w:eastAsia="Arial" w:hAnsi="Arial"/>
          <w:sz w:val="18"/>
          <w:szCs w:val="18"/>
          <w:color w:val="auto"/>
        </w:rPr>
        <w:t xml:space="preserve"> COVID-19</w:t>
      </w:r>
      <w:r>
        <w:rPr>
          <w:rFonts w:ascii="Arial" w:cs="Arial" w:eastAsia="Arial" w:hAnsi="Arial"/>
          <w:sz w:val="16"/>
          <w:szCs w:val="16"/>
          <w:color w:val="auto"/>
        </w:rPr>
        <w:t>’s impact on global and regional economies and economic</w:t>
      </w:r>
      <w:r>
        <w:rPr>
          <w:rFonts w:ascii="Arial" w:cs="Arial" w:eastAsia="Arial" w:hAnsi="Arial"/>
          <w:sz w:val="18"/>
          <w:szCs w:val="18"/>
          <w:color w:val="auto"/>
        </w:rPr>
        <w:t xml:space="preserve"> </w:t>
      </w:r>
      <w:r>
        <w:rPr>
          <w:rFonts w:ascii="Arial" w:cs="Arial" w:eastAsia="Arial" w:hAnsi="Arial"/>
          <w:sz w:val="16"/>
          <w:szCs w:val="16"/>
          <w:color w:val="auto"/>
        </w:rPr>
        <w:t xml:space="preserve">activity, including the duration and magnitude of its impact on unemployment rates and consumer discretionary spending; its short and longer-term impact on the demand for travel, transient and group business, and levels of consumer confidence; the ability of our owners and franchisees to successfully navigate the impacts of </w:t>
      </w:r>
      <w:r>
        <w:rPr>
          <w:rFonts w:ascii="Arial" w:cs="Arial" w:eastAsia="Arial" w:hAnsi="Arial"/>
          <w:sz w:val="18"/>
          <w:szCs w:val="18"/>
          <w:color w:val="auto"/>
        </w:rPr>
        <w:t>COVID-19</w:t>
      </w:r>
      <w:r>
        <w:rPr>
          <w:rFonts w:ascii="Arial" w:cs="Arial" w:eastAsia="Arial" w:hAnsi="Arial"/>
          <w:sz w:val="16"/>
          <w:szCs w:val="16"/>
          <w:color w:val="auto"/>
        </w:rPr>
        <w:t>; and how quickly economies, travel activity, and demand for lodging recovers after the pandemic subsides.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 xml:space="preserve">COVID-19 </w:t>
      </w:r>
      <w:r>
        <w:rPr>
          <w:rFonts w:ascii="Arial" w:cs="Arial" w:eastAsia="Arial" w:hAnsi="Arial"/>
          <w:sz w:val="17"/>
          <w:szCs w:val="17"/>
          <w:color w:val="auto"/>
        </w:rPr>
        <w:t>has subjected our business, operations and financial condition to a number of risks, including, but not limited to, those discussed below:</w:t>
      </w:r>
    </w:p>
    <w:p>
      <w:pPr>
        <w:spacing w:after="0" w:line="163" w:lineRule="exact"/>
        <w:rPr>
          <w:sz w:val="20"/>
          <w:szCs w:val="20"/>
          <w:color w:val="auto"/>
        </w:rPr>
      </w:pPr>
    </w:p>
    <w:p>
      <w:pPr>
        <w:ind w:left="640" w:hanging="319"/>
        <w:spacing w:after="0" w:line="277" w:lineRule="auto"/>
        <w:tabs>
          <w:tab w:leader="none" w:pos="636" w:val="left"/>
        </w:tabs>
        <w:numPr>
          <w:ilvl w:val="0"/>
          <w:numId w:val="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Risks Related to Revenue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7"/>
          <w:szCs w:val="17"/>
          <w:color w:val="auto"/>
        </w:rPr>
        <w:t>COVID-19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negatively impacted, and will in the future negatively impact to an extent we are unable to predict,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revenues from managed and franchised hotels, which are primarily based on hotels’ revenues or profits. In addition, </w:t>
      </w:r>
      <w:r>
        <w:rPr>
          <w:rFonts w:ascii="Arial" w:cs="Arial" w:eastAsia="Arial" w:hAnsi="Arial"/>
          <w:sz w:val="17"/>
          <w:szCs w:val="17"/>
          <w:color w:val="auto"/>
        </w:rPr>
        <w:t>COVID-19</w:t>
      </w:r>
      <w:r>
        <w:rPr>
          <w:rFonts w:ascii="Arial" w:cs="Arial" w:eastAsia="Arial" w:hAnsi="Arial"/>
          <w:sz w:val="16"/>
          <w:szCs w:val="16"/>
          <w:color w:val="auto"/>
        </w:rPr>
        <w:t xml:space="preserve"> and its impact on global and regional economies, and the hospitality industry in particular, has made it difficult for hotel owners and franchisees to obtain financing on attractive terms, or at all, and increased the probability that hotel owners and franchisees will be unable or unwilling to service, repay or refinance existing indebtedness. This has caused, and may in the future continue to cause, some lenders to declare a default, accelerate the related debt, foreclose on the property or exercise other remedies, and some hotel owners or franchisees to declare bankruptcy. If a significant number of our management or franchise agreements are terminated as a result of bankruptcies, sales or foreclosures, our results of operations could be materially adversely affected. Hotel owners or franchisees in bankruptcy may not have sufficient assets to pay us termination fees or other unpaid fees or reimbursements we are owed under their agreements with us. Even if hotel owners or franchisees do not declare bankruptcy, the significant decline in revenues for most hotels has impacted the timely payment of amounts owed to us by some hotel owners and franchisees, and could in the future materially impact the ability or willingness of hotel owners and franchisees to fund working capital or pay us other amounts that we are entitled to on a timely basis or at all, which would adversely affect our liquidity. If a significant number of hotels exit our system as a result of </w:t>
      </w:r>
      <w:r>
        <w:rPr>
          <w:rFonts w:ascii="Arial" w:cs="Arial" w:eastAsia="Arial" w:hAnsi="Arial"/>
          <w:sz w:val="17"/>
          <w:szCs w:val="17"/>
          <w:color w:val="auto"/>
        </w:rPr>
        <w:t>COVID-19</w:t>
      </w:r>
      <w:r>
        <w:rPr>
          <w:rFonts w:ascii="Arial" w:cs="Arial" w:eastAsia="Arial" w:hAnsi="Arial"/>
          <w:sz w:val="16"/>
          <w:szCs w:val="16"/>
          <w:color w:val="auto"/>
        </w:rPr>
        <w:t xml:space="preserve">, whether as a result of a hotel owner or franchisee bankruptcy, failure to pay amounts owed to us, a negotiated termination, the exercise of contractual termination rights, or otherwise, our revenues and liquidity could be materially adversely affected. </w:t>
      </w:r>
      <w:r>
        <w:rPr>
          <w:rFonts w:ascii="Arial" w:cs="Arial" w:eastAsia="Arial" w:hAnsi="Arial"/>
          <w:sz w:val="17"/>
          <w:szCs w:val="17"/>
          <w:color w:val="auto"/>
        </w:rPr>
        <w:t>COVID-19</w:t>
      </w:r>
      <w:r>
        <w:rPr>
          <w:rFonts w:ascii="Arial" w:cs="Arial" w:eastAsia="Arial" w:hAnsi="Arial"/>
          <w:sz w:val="16"/>
          <w:szCs w:val="16"/>
          <w:color w:val="auto"/>
        </w:rPr>
        <w:t xml:space="preserve"> has also materially impacted, and could in the future materially impact, other non-hotel related sources of revenues for us, including for example our fees from our co-brand credit card arrangements, which have been and may continue to be affected by </w:t>
      </w:r>
      <w:r>
        <w:rPr>
          <w:rFonts w:ascii="Arial" w:cs="Arial" w:eastAsia="Arial" w:hAnsi="Arial"/>
          <w:sz w:val="17"/>
          <w:szCs w:val="17"/>
          <w:color w:val="auto"/>
        </w:rPr>
        <w:t>COVID-19</w:t>
      </w:r>
      <w:r>
        <w:rPr>
          <w:rFonts w:ascii="Arial" w:cs="Arial" w:eastAsia="Arial" w:hAnsi="Arial"/>
          <w:sz w:val="16"/>
          <w:szCs w:val="16"/>
          <w:color w:val="auto"/>
        </w:rPr>
        <w:t>’s impact on spending patterns of co-brand cardholders and acquisition of new co-brand cardholders. Also, testing our intangible assets or goodwill for impairments due to reduced revenues or cash flows could result in additional charges, which could be material.</w:t>
      </w:r>
    </w:p>
    <w:p>
      <w:pPr>
        <w:spacing w:after="0" w:line="124" w:lineRule="exact"/>
        <w:rPr>
          <w:rFonts w:ascii="Arial" w:cs="Arial" w:eastAsia="Arial" w:hAnsi="Arial"/>
          <w:sz w:val="16"/>
          <w:szCs w:val="16"/>
          <w:b w:val="1"/>
          <w:bCs w:val="1"/>
          <w:i w:val="1"/>
          <w:iCs w:val="1"/>
          <w:color w:val="auto"/>
        </w:rPr>
      </w:pPr>
    </w:p>
    <w:p>
      <w:pPr>
        <w:ind w:left="640" w:right="160" w:hanging="319"/>
        <w:spacing w:after="0" w:line="283" w:lineRule="auto"/>
        <w:tabs>
          <w:tab w:leader="none" w:pos="636" w:val="left"/>
        </w:tabs>
        <w:numPr>
          <w:ilvl w:val="0"/>
          <w:numId w:val="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Risks Related to Owned and Leased Hotels and Other Real Estate Investments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7"/>
          <w:szCs w:val="17"/>
          <w:color w:val="auto"/>
        </w:rPr>
        <w:t>COVID-19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its impact on travel has reduced demand at nearly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 hotels, including our owned and leased hotels and properties owned by entities in which we have an equity investment. As a result, most of our owned and leased hotels and properties in which we have an investment are not generating revenue sufficient to meet expenses, which is adversely affecting our income and could in the future more significantly adversely affect the value of our owned and leased properties or investments. In addition, we have seen and could continue to see entities in which we have an investment experience challenges securing additional or replacement financing to satisfy maturing indebtedness. As a result of the foregoing, we have recognized, and may in the future be required to recognize, significant non-cash impairment charges to our results of operations.</w:t>
      </w:r>
    </w:p>
    <w:p>
      <w:pPr>
        <w:spacing w:after="0" w:line="111" w:lineRule="exact"/>
        <w:rPr>
          <w:rFonts w:ascii="Arial" w:cs="Arial" w:eastAsia="Arial" w:hAnsi="Arial"/>
          <w:sz w:val="16"/>
          <w:szCs w:val="16"/>
          <w:b w:val="1"/>
          <w:bCs w:val="1"/>
          <w:i w:val="1"/>
          <w:iCs w:val="1"/>
          <w:color w:val="auto"/>
        </w:rPr>
      </w:pPr>
    </w:p>
    <w:p>
      <w:pPr>
        <w:ind w:left="640" w:right="20" w:hanging="319"/>
        <w:spacing w:after="0" w:line="279" w:lineRule="auto"/>
        <w:tabs>
          <w:tab w:leader="none" w:pos="636" w:val="left"/>
        </w:tabs>
        <w:numPr>
          <w:ilvl w:val="0"/>
          <w:numId w:val="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Risks Related to Operations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Because of the significant decline in the demand for hotel rooms, we have taken steps to reduce operating costs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improve efficiency, including furloughing a substantial number of our associates and implementing reduced work weeks for other associates, implementing a voluntary transition program for certain associates, eliminating a significant number of above-property and on-property positions, and modifying food and beverage offerings and other services and amenities. Such steps, and further changes we could make in the future to reduce costs for us or our hotel owners or franchisees (including ongoing property-level restructuring plans), may negatively impact guest loyalty, owner preference, or our ability to attract and retain associates, and our reputation and market share may suffer as a result. For example, loss of our personnel may cause us to experience operational challenges that impact guest loyalty, owner preference, and our market share, which could limit our ability to maintain or expand our business and could reduce our profits. Further, reputational damage from, and the financial impact of, position eliminations, furloughs or reduced work weeks could lead associates to depart the Company and could make it harder for us or the managers of our franchised properties to recruit new associates in the future. In addition, if we or our hotel owners or franchisees are unable to access capital to make physical improvements to our hotels, the quality of our hotels may suffer, which may negatively impact our reputation and guest loyalty, and our revenue and market share may suffer as a result. We have received demands or requests from labor unions that represent our associates and</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40" w:right="120"/>
        <w:spacing w:after="0" w:line="265" w:lineRule="auto"/>
        <w:rPr>
          <w:sz w:val="20"/>
          <w:szCs w:val="20"/>
          <w:color w:val="auto"/>
        </w:rPr>
      </w:pPr>
      <w:r>
        <w:rPr>
          <w:rFonts w:ascii="Arial" w:cs="Arial" w:eastAsia="Arial" w:hAnsi="Arial"/>
          <w:sz w:val="17"/>
          <w:szCs w:val="17"/>
          <w:color w:val="auto"/>
        </w:rPr>
        <w:t xml:space="preserve">may face additional demands, whether in the course of our periodic renegotiation of our collective bargaining agreements or otherwise, for additional compensation, healthcare benefits or other terms as a result of </w:t>
      </w:r>
      <w:r>
        <w:rPr>
          <w:rFonts w:ascii="Arial" w:cs="Arial" w:eastAsia="Arial" w:hAnsi="Arial"/>
          <w:sz w:val="18"/>
          <w:szCs w:val="18"/>
          <w:color w:val="auto"/>
        </w:rPr>
        <w:t>COVID-19</w:t>
      </w:r>
      <w:r>
        <w:rPr>
          <w:rFonts w:ascii="Arial" w:cs="Arial" w:eastAsia="Arial" w:hAnsi="Arial"/>
          <w:sz w:val="17"/>
          <w:szCs w:val="17"/>
          <w:color w:val="auto"/>
        </w:rPr>
        <w:t xml:space="preserve"> that could increase costs, and we could experience labor disputes or disruptions as we continue to operate under our </w:t>
      </w:r>
      <w:r>
        <w:rPr>
          <w:rFonts w:ascii="Arial" w:cs="Arial" w:eastAsia="Arial" w:hAnsi="Arial"/>
          <w:sz w:val="18"/>
          <w:szCs w:val="18"/>
          <w:color w:val="auto"/>
        </w:rPr>
        <w:t>COVID-19</w:t>
      </w:r>
      <w:r>
        <w:rPr>
          <w:rFonts w:ascii="Arial" w:cs="Arial" w:eastAsia="Arial" w:hAnsi="Arial"/>
          <w:sz w:val="17"/>
          <w:szCs w:val="17"/>
          <w:color w:val="auto"/>
        </w:rPr>
        <w:t xml:space="preserve"> mitigation and recovery plans. </w:t>
      </w:r>
      <w:r>
        <w:rPr>
          <w:rFonts w:ascii="Arial" w:cs="Arial" w:eastAsia="Arial" w:hAnsi="Arial"/>
          <w:sz w:val="18"/>
          <w:szCs w:val="18"/>
          <w:color w:val="auto"/>
        </w:rPr>
        <w:t>COVID-19</w:t>
      </w:r>
      <w:r>
        <w:rPr>
          <w:rFonts w:ascii="Arial" w:cs="Arial" w:eastAsia="Arial" w:hAnsi="Arial"/>
          <w:sz w:val="17"/>
          <w:szCs w:val="17"/>
          <w:color w:val="auto"/>
        </w:rPr>
        <w:t xml:space="preserve"> could also negatively affect our internal control over financial and other reporting, as many of our personnel have departed the Company as a result of our voluntary transition program and position eliminations, and our remaining personnel are often working from home. In addition, new processes, procedures and controls could be required to respond to changes in our business environment.</w:t>
      </w:r>
    </w:p>
    <w:p>
      <w:pPr>
        <w:spacing w:after="0" w:line="123" w:lineRule="exact"/>
        <w:rPr>
          <w:sz w:val="20"/>
          <w:szCs w:val="20"/>
          <w:color w:val="auto"/>
        </w:rPr>
      </w:pPr>
    </w:p>
    <w:p>
      <w:pPr>
        <w:ind w:left="640" w:hanging="319"/>
        <w:spacing w:after="0" w:line="277" w:lineRule="auto"/>
        <w:tabs>
          <w:tab w:leader="none" w:pos="636" w:val="left"/>
        </w:tabs>
        <w:numPr>
          <w:ilvl w:val="0"/>
          <w:numId w:val="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Risks Related to Expenses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7"/>
          <w:szCs w:val="17"/>
          <w:color w:val="auto"/>
        </w:rPr>
        <w:t>COVID-19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caused us to incur additional expenses and will continue to cause us to incur additional expenses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future which are not fully reimbursed or offset by revenues. For example, we have already incurred certain expenses related to furloughs, our voluntary transition program and position eliminations, and we expect additional charges related to our property-level restructuring activities discussed in Note 3 in future periods. Also, if a hotel closes and has employees covered by an underfunded multi-employer pension plan, we may need to pay withdrawal liability to the plan as result of such closure if it is determined that there has been a complete or partial withdrawal from the plan, and we may be unable to collect reimbursement from the hotel owner. In addition, </w:t>
      </w:r>
      <w:r>
        <w:rPr>
          <w:rFonts w:ascii="Arial" w:cs="Arial" w:eastAsia="Arial" w:hAnsi="Arial"/>
          <w:sz w:val="17"/>
          <w:szCs w:val="17"/>
          <w:color w:val="auto"/>
        </w:rPr>
        <w:t>COVID-19</w:t>
      </w:r>
      <w:r>
        <w:rPr>
          <w:rFonts w:ascii="Arial" w:cs="Arial" w:eastAsia="Arial" w:hAnsi="Arial"/>
          <w:sz w:val="16"/>
          <w:szCs w:val="16"/>
          <w:color w:val="auto"/>
        </w:rPr>
        <w:t xml:space="preserve"> could make it more likely that we have to fund shortfalls in operating profit under our agreements with some hotel owners or fund financial guarantees we have made to third-party lenders for the timely repayment of all or a portion of certain hotel owners’ or franchisees’ debt related to hotels that we manage or franchise, beyond the amounts funded or the additional guarantee reserves recorded in 2020. </w:t>
      </w:r>
      <w:r>
        <w:rPr>
          <w:rFonts w:ascii="Arial" w:cs="Arial" w:eastAsia="Arial" w:hAnsi="Arial"/>
          <w:sz w:val="17"/>
          <w:szCs w:val="17"/>
          <w:color w:val="auto"/>
        </w:rPr>
        <w:t>COVID-19</w:t>
      </w:r>
      <w:r>
        <w:rPr>
          <w:rFonts w:ascii="Arial" w:cs="Arial" w:eastAsia="Arial" w:hAnsi="Arial"/>
          <w:sz w:val="16"/>
          <w:szCs w:val="16"/>
          <w:color w:val="auto"/>
        </w:rPr>
        <w:t xml:space="preserve"> also makes it more likely our hotel owners or franchisees will default on loans we have made to them or will fail to reimburse us for guarantee advances. Our ability to recover loans and guarantee advances from hotel operations or from hotel owners or franchisees through the proceeds of hotel sales, refinancing of debt or otherwise may also affect our ability to recycle and raise new capital. Even in situations where we are not obligated to provide funding to hotel owners, franchisees or entities in which we have a noncontrolling interest, we may choose to provide financial or other types of support to certain of these parties, which could materially increase our expenses. While governments have and may continue to implement various stimulus and relief programs, it is uncertain whether existing programs will be effective in mitigating the impacts of </w:t>
      </w:r>
      <w:r>
        <w:rPr>
          <w:rFonts w:ascii="Arial" w:cs="Arial" w:eastAsia="Arial" w:hAnsi="Arial"/>
          <w:sz w:val="17"/>
          <w:szCs w:val="17"/>
          <w:color w:val="auto"/>
        </w:rPr>
        <w:t>COVID-19</w:t>
      </w:r>
      <w:r>
        <w:rPr>
          <w:rFonts w:ascii="Arial" w:cs="Arial" w:eastAsia="Arial" w:hAnsi="Arial"/>
          <w:sz w:val="16"/>
          <w:szCs w:val="16"/>
          <w:color w:val="auto"/>
        </w:rPr>
        <w:t xml:space="preserve"> and, with respect to future programs, to what extent we or our hotel owners or franchisees will be eligible to participate and whether conditions or restrictions imposed under such programs will be acceptable. As a result of </w:t>
      </w:r>
      <w:r>
        <w:rPr>
          <w:rFonts w:ascii="Arial" w:cs="Arial" w:eastAsia="Arial" w:hAnsi="Arial"/>
          <w:sz w:val="17"/>
          <w:szCs w:val="17"/>
          <w:color w:val="auto"/>
        </w:rPr>
        <w:t>COVID-19</w:t>
      </w:r>
      <w:r>
        <w:rPr>
          <w:rFonts w:ascii="Arial" w:cs="Arial" w:eastAsia="Arial" w:hAnsi="Arial"/>
          <w:sz w:val="16"/>
          <w:szCs w:val="16"/>
          <w:color w:val="auto"/>
        </w:rPr>
        <w:t>, we and our hotel owners and franchisees have experienced and could continue to experience other short or longer-term impacts on costs, for example, related to enhanced health and hygiene requirements. These effects have and could continue to impact our ability to generate profits even after revenues improve.</w:t>
      </w:r>
    </w:p>
    <w:p>
      <w:pPr>
        <w:spacing w:after="0" w:line="122" w:lineRule="exact"/>
        <w:rPr>
          <w:rFonts w:ascii="Arial" w:cs="Arial" w:eastAsia="Arial" w:hAnsi="Arial"/>
          <w:sz w:val="16"/>
          <w:szCs w:val="16"/>
          <w:b w:val="1"/>
          <w:bCs w:val="1"/>
          <w:i w:val="1"/>
          <w:iCs w:val="1"/>
          <w:color w:val="auto"/>
        </w:rPr>
      </w:pPr>
    </w:p>
    <w:p>
      <w:pPr>
        <w:ind w:left="640" w:right="60" w:hanging="319"/>
        <w:spacing w:after="0" w:line="270" w:lineRule="auto"/>
        <w:tabs>
          <w:tab w:leader="none" w:pos="636" w:val="left"/>
        </w:tabs>
        <w:numPr>
          <w:ilvl w:val="0"/>
          <w:numId w:val="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Risks Related to Growth</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growth has been, and may continue to be, harmed by</w:t>
      </w:r>
      <w:r>
        <w:rPr>
          <w:rFonts w:ascii="Arial" w:cs="Arial" w:eastAsia="Arial" w:hAnsi="Arial"/>
          <w:sz w:val="17"/>
          <w:szCs w:val="17"/>
          <w:b w:val="1"/>
          <w:bCs w:val="1"/>
          <w:i w:val="1"/>
          <w:iCs w:val="1"/>
          <w:color w:val="auto"/>
        </w:rPr>
        <w:t xml:space="preserve"> </w:t>
      </w:r>
      <w:r>
        <w:rPr>
          <w:rFonts w:ascii="Arial" w:cs="Arial" w:eastAsia="Arial" w:hAnsi="Arial"/>
          <w:sz w:val="18"/>
          <w:szCs w:val="18"/>
          <w:color w:val="auto"/>
        </w:rPr>
        <w:t>COVID-19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its various impacts as discussed above. Many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current and prospective hotel owners and franchisees are finding it difficult or impossible to obtain hotel financing on commercially viable terms. </w:t>
      </w:r>
      <w:r>
        <w:rPr>
          <w:rFonts w:ascii="Arial" w:cs="Arial" w:eastAsia="Arial" w:hAnsi="Arial"/>
          <w:sz w:val="18"/>
          <w:szCs w:val="18"/>
          <w:color w:val="auto"/>
        </w:rPr>
        <w:t xml:space="preserve">COVID-19 </w:t>
      </w:r>
      <w:r>
        <w:rPr>
          <w:rFonts w:ascii="Arial" w:cs="Arial" w:eastAsia="Arial" w:hAnsi="Arial"/>
          <w:sz w:val="16"/>
          <w:szCs w:val="16"/>
          <w:color w:val="auto"/>
        </w:rPr>
        <w:t>has caused and may continue to cause some projects that are in construction or development to be unable to draw on existing financing</w:t>
      </w:r>
      <w:r>
        <w:rPr>
          <w:rFonts w:ascii="Arial" w:cs="Arial" w:eastAsia="Arial" w:hAnsi="Arial"/>
          <w:sz w:val="18"/>
          <w:szCs w:val="18"/>
          <w:color w:val="auto"/>
        </w:rPr>
        <w:t xml:space="preserve"> </w:t>
      </w:r>
      <w:r>
        <w:rPr>
          <w:rFonts w:ascii="Arial" w:cs="Arial" w:eastAsia="Arial" w:hAnsi="Arial"/>
          <w:sz w:val="16"/>
          <w:szCs w:val="16"/>
          <w:color w:val="auto"/>
        </w:rPr>
        <w:t xml:space="preserve">commitments or secure additional or replacement financing to complete construction, and additional or replacement financing that is available may be on less favorable terms. </w:t>
      </w:r>
      <w:r>
        <w:rPr>
          <w:rFonts w:ascii="Arial" w:cs="Arial" w:eastAsia="Arial" w:hAnsi="Arial"/>
          <w:sz w:val="18"/>
          <w:szCs w:val="18"/>
          <w:color w:val="auto"/>
        </w:rPr>
        <w:t>COVID-19</w:t>
      </w:r>
      <w:r>
        <w:rPr>
          <w:rFonts w:ascii="Arial" w:cs="Arial" w:eastAsia="Arial" w:hAnsi="Arial"/>
          <w:sz w:val="16"/>
          <w:szCs w:val="16"/>
          <w:color w:val="auto"/>
        </w:rPr>
        <w:t xml:space="preserve"> has caused and may continue to cause construction delays due to government restrictions and shortages of workers or supplies. As a result, some of the properties in our development pipeline will not enter our system when we anticipated, or at all. We have seen, and may continue to see, opening delays and a decrease in the rate at which new projects enter our pipeline, and we may see an increase in the number of projects that fall out of our pipeline as a result of project cancellations or other factors. These effects on our pipeline have reduced and will continue to reduce our ability to realize fees or realize returns on equity investments from such projects. We expect we could potentially see more existing hotels exit our system as a result of COVID-19, and a significant number of such exits could negatively impact the overall growth of our system and our business prospects.</w:t>
      </w:r>
    </w:p>
    <w:p>
      <w:pPr>
        <w:spacing w:after="0" w:line="118" w:lineRule="exact"/>
        <w:rPr>
          <w:rFonts w:ascii="Arial" w:cs="Arial" w:eastAsia="Arial" w:hAnsi="Arial"/>
          <w:sz w:val="17"/>
          <w:szCs w:val="17"/>
          <w:b w:val="1"/>
          <w:bCs w:val="1"/>
          <w:i w:val="1"/>
          <w:iCs w:val="1"/>
          <w:color w:val="auto"/>
        </w:rPr>
      </w:pPr>
    </w:p>
    <w:p>
      <w:pPr>
        <w:ind w:left="640" w:right="20" w:hanging="319"/>
        <w:spacing w:after="0" w:line="281" w:lineRule="auto"/>
        <w:tabs>
          <w:tab w:leader="none" w:pos="636"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Risks Related to Liquidity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2020, we made significant borrowings under our $4.5 billion Credit Facility and completed offerings of $3.6 billion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aggregate principal amount of senior notes to preserve financial flexibility in light of the impact on global markets resulting from </w:t>
      </w:r>
      <w:r>
        <w:rPr>
          <w:rFonts w:ascii="Arial" w:cs="Arial" w:eastAsia="Arial" w:hAnsi="Arial"/>
          <w:sz w:val="17"/>
          <w:szCs w:val="17"/>
          <w:color w:val="auto"/>
        </w:rPr>
        <w:t>COVID-19</w:t>
      </w:r>
      <w:r>
        <w:rPr>
          <w:rFonts w:ascii="Arial" w:cs="Arial" w:eastAsia="Arial" w:hAnsi="Arial"/>
          <w:sz w:val="16"/>
          <w:szCs w:val="16"/>
          <w:color w:val="auto"/>
        </w:rPr>
        <w:t xml:space="preserve">. We may be required to raise additional capital again in the future to fund our operating expenses and repay maturing debt. In 2020, we raised $920 million of cash through amendments to agreements with the U.S. issuers of our co-brand credit cards associated with our Loyalty Program, and this option to raise capital will likely not be available again to us in the near future and will reduce the amount of cash we will receive in the future from these card issuers, which may increase the need for us to raise additional capital from other sources. In addition, we have seen increases in our cost of borrowing as a result of </w:t>
      </w:r>
      <w:r>
        <w:rPr>
          <w:rFonts w:ascii="Arial" w:cs="Arial" w:eastAsia="Arial" w:hAnsi="Arial"/>
          <w:sz w:val="17"/>
          <w:szCs w:val="17"/>
          <w:color w:val="auto"/>
        </w:rPr>
        <w:t>COVID-19</w:t>
      </w:r>
      <w:r>
        <w:rPr>
          <w:rFonts w:ascii="Arial" w:cs="Arial" w:eastAsia="Arial" w:hAnsi="Arial"/>
          <w:sz w:val="16"/>
          <w:szCs w:val="16"/>
          <w:color w:val="auto"/>
        </w:rPr>
        <w:t xml:space="preserve"> and such costs may increase even further for a time we are unable to determine. If we are required to raise additional capital, our access to and cost of financing will depend on, among other things, conditions in the global financing markets, the availability of sufficient amounts of financing, our prospects, our credit ratings, and the outlook for the hotel industry as a whole. As a result of </w:t>
      </w:r>
      <w:r>
        <w:rPr>
          <w:rFonts w:ascii="Arial" w:cs="Arial" w:eastAsia="Arial" w:hAnsi="Arial"/>
          <w:sz w:val="17"/>
          <w:szCs w:val="17"/>
          <w:color w:val="auto"/>
        </w:rPr>
        <w:t>COVID-19</w:t>
      </w:r>
      <w:r>
        <w:rPr>
          <w:rFonts w:ascii="Arial" w:cs="Arial" w:eastAsia="Arial" w:hAnsi="Arial"/>
          <w:sz w:val="16"/>
          <w:szCs w:val="16"/>
          <w:color w:val="auto"/>
        </w:rPr>
        <w:t>, credit agencies have downgraded our credit ratings. If our credit ratings were to</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640"/>
        <w:spacing w:after="0" w:line="297" w:lineRule="auto"/>
        <w:rPr>
          <w:sz w:val="20"/>
          <w:szCs w:val="20"/>
          <w:color w:val="auto"/>
        </w:rPr>
      </w:pPr>
      <w:r>
        <w:rPr>
          <w:rFonts w:ascii="Arial" w:cs="Arial" w:eastAsia="Arial" w:hAnsi="Arial"/>
          <w:sz w:val="15"/>
          <w:szCs w:val="15"/>
          <w:color w:val="auto"/>
        </w:rPr>
        <w:t>be further downgraded, or general market conditions were to ascribe higher risk to our credit rating levels, our industry, or our Company, our access to capital and the cost of debt financing will be further negatively impacted. The interest rate we pay on many of our existing debt instruments, including the Credit Facility and some of our senior notes, is affected by our credit ratings. Accordingly, a downgrade may cause our cost of borrowing to further increase. Additionally, certain of our existing commercial agreements may require us to post or increase collateral in the event of further downgrades.</w:t>
      </w:r>
    </w:p>
    <w:p>
      <w:pPr>
        <w:ind w:left="640" w:right="40"/>
        <w:spacing w:after="0" w:line="261" w:lineRule="auto"/>
        <w:rPr>
          <w:sz w:val="20"/>
          <w:szCs w:val="20"/>
          <w:color w:val="auto"/>
        </w:rPr>
      </w:pPr>
      <w:r>
        <w:rPr>
          <w:rFonts w:ascii="Arial" w:cs="Arial" w:eastAsia="Arial" w:hAnsi="Arial"/>
          <w:sz w:val="17"/>
          <w:szCs w:val="17"/>
          <w:color w:val="auto"/>
        </w:rPr>
        <w:t xml:space="preserve">In addition, our latest amendments to our Credit Facility increase the minimum liquidity we are required to maintain for the duration of the waiver period as discussed in Note 10, and the terms of future debt agreements could include more restrictive covenants, or require incremental collateral, which may further restrict our business operations or cause future financing to be unavailable due to our covenant restrictions then in effect. Also, if we are unable to comply with the covenants under our Credit Facility, the lenders under our Credit Facility will have the right to terminate their commitments thereunder and declare the outstanding loans thereunder to be immediately due and payable. A default under our Credit Facility could trigger a cross-default, acceleration or other consequences under other indebtedness, financial instruments or agreements to which we are a party. There is no guarantee that debt financings will be available in the future to fund our obligations, or will be available on terms consistent with our expectations. Additionally, the impact of </w:t>
      </w:r>
      <w:r>
        <w:rPr>
          <w:rFonts w:ascii="Arial" w:cs="Arial" w:eastAsia="Arial" w:hAnsi="Arial"/>
          <w:sz w:val="18"/>
          <w:szCs w:val="18"/>
          <w:color w:val="auto"/>
        </w:rPr>
        <w:t>COVID-19</w:t>
      </w:r>
      <w:r>
        <w:rPr>
          <w:rFonts w:ascii="Arial" w:cs="Arial" w:eastAsia="Arial" w:hAnsi="Arial"/>
          <w:sz w:val="17"/>
          <w:szCs w:val="17"/>
          <w:color w:val="auto"/>
        </w:rPr>
        <w:t xml:space="preserve"> on the financial markets is expected to adversely impact our ability to raise funds through equity financings.</w:t>
      </w:r>
    </w:p>
    <w:p>
      <w:pPr>
        <w:spacing w:after="0" w:line="124" w:lineRule="exact"/>
        <w:rPr>
          <w:sz w:val="20"/>
          <w:szCs w:val="20"/>
          <w:color w:val="auto"/>
        </w:rPr>
      </w:pPr>
    </w:p>
    <w:p>
      <w:pPr>
        <w:ind w:right="200" w:firstLine="395"/>
        <w:spacing w:after="0" w:line="299" w:lineRule="auto"/>
        <w:rPr>
          <w:sz w:val="20"/>
          <w:szCs w:val="20"/>
          <w:color w:val="auto"/>
        </w:rPr>
      </w:pPr>
      <w:r>
        <w:rPr>
          <w:rFonts w:ascii="Arial" w:cs="Arial" w:eastAsia="Arial" w:hAnsi="Arial"/>
          <w:sz w:val="17"/>
          <w:szCs w:val="17"/>
          <w:color w:val="auto"/>
        </w:rPr>
        <w:t>COVID-19</w:t>
      </w:r>
      <w:r>
        <w:rPr>
          <w:rFonts w:ascii="Arial" w:cs="Arial" w:eastAsia="Arial" w:hAnsi="Arial"/>
          <w:sz w:val="15"/>
          <w:szCs w:val="15"/>
          <w:color w:val="auto"/>
        </w:rPr>
        <w:t>, and the volatile regional and global economic conditions stemming from</w:t>
      </w:r>
      <w:r>
        <w:rPr>
          <w:rFonts w:ascii="Arial" w:cs="Arial" w:eastAsia="Arial" w:hAnsi="Arial"/>
          <w:sz w:val="17"/>
          <w:szCs w:val="17"/>
          <w:color w:val="auto"/>
        </w:rPr>
        <w:t xml:space="preserve"> COVID-19</w:t>
      </w:r>
      <w:r>
        <w:rPr>
          <w:rFonts w:ascii="Arial" w:cs="Arial" w:eastAsia="Arial" w:hAnsi="Arial"/>
          <w:sz w:val="15"/>
          <w:szCs w:val="15"/>
          <w:color w:val="auto"/>
        </w:rPr>
        <w:t>, as well as reactions to future pandemics or</w:t>
      </w:r>
      <w:r>
        <w:rPr>
          <w:rFonts w:ascii="Arial" w:cs="Arial" w:eastAsia="Arial" w:hAnsi="Arial"/>
          <w:sz w:val="17"/>
          <w:szCs w:val="17"/>
          <w:color w:val="auto"/>
        </w:rPr>
        <w:t xml:space="preserve"> </w:t>
      </w:r>
      <w:r>
        <w:rPr>
          <w:rFonts w:ascii="Arial" w:cs="Arial" w:eastAsia="Arial" w:hAnsi="Arial"/>
          <w:sz w:val="15"/>
          <w:szCs w:val="15"/>
          <w:color w:val="auto"/>
        </w:rPr>
        <w:t xml:space="preserve">resurgences of </w:t>
      </w:r>
      <w:r>
        <w:rPr>
          <w:rFonts w:ascii="Arial" w:cs="Arial" w:eastAsia="Arial" w:hAnsi="Arial"/>
          <w:sz w:val="17"/>
          <w:szCs w:val="17"/>
          <w:color w:val="auto"/>
        </w:rPr>
        <w:t>COVID-19</w:t>
      </w:r>
      <w:r>
        <w:rPr>
          <w:rFonts w:ascii="Arial" w:cs="Arial" w:eastAsia="Arial" w:hAnsi="Arial"/>
          <w:sz w:val="15"/>
          <w:szCs w:val="15"/>
          <w:color w:val="auto"/>
        </w:rPr>
        <w:t xml:space="preserve">, could also give rise to, aggravate and impact our ability to allocate resources to mitigate the other risks that we identify below, which in turn could materially adversely affect our business, liquidity, financial condition, and results of operations. Further, </w:t>
      </w:r>
      <w:r>
        <w:rPr>
          <w:rFonts w:ascii="Arial" w:cs="Arial" w:eastAsia="Arial" w:hAnsi="Arial"/>
          <w:sz w:val="17"/>
          <w:szCs w:val="17"/>
          <w:color w:val="auto"/>
        </w:rPr>
        <w:t>COVID-19</w:t>
      </w:r>
      <w:r>
        <w:rPr>
          <w:rFonts w:ascii="Arial" w:cs="Arial" w:eastAsia="Arial" w:hAnsi="Arial"/>
          <w:sz w:val="15"/>
          <w:szCs w:val="15"/>
          <w:color w:val="auto"/>
        </w:rPr>
        <w:t xml:space="preserve"> may also affect our operating and financial results in a manner that is not presently known to us or that we currently do not consider to present significant risks to our operations.</w:t>
      </w:r>
    </w:p>
    <w:p>
      <w:pPr>
        <w:spacing w:after="0" w:line="9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Risks Relating to Our Industry</w:t>
      </w:r>
    </w:p>
    <w:p>
      <w:pPr>
        <w:spacing w:after="0" w:line="167" w:lineRule="exact"/>
        <w:rPr>
          <w:sz w:val="20"/>
          <w:szCs w:val="20"/>
          <w:color w:val="auto"/>
        </w:rPr>
      </w:pPr>
    </w:p>
    <w:p>
      <w:pPr>
        <w:ind w:right="60" w:firstLine="395"/>
        <w:spacing w:after="0" w:line="281" w:lineRule="auto"/>
        <w:rPr>
          <w:sz w:val="20"/>
          <w:szCs w:val="20"/>
          <w:color w:val="auto"/>
        </w:rPr>
      </w:pPr>
      <w:r>
        <w:rPr>
          <w:rFonts w:ascii="Arial" w:cs="Arial" w:eastAsia="Arial" w:hAnsi="Arial"/>
          <w:sz w:val="16"/>
          <w:szCs w:val="16"/>
          <w:b w:val="1"/>
          <w:bCs w:val="1"/>
          <w:i w:val="1"/>
          <w:iCs w:val="1"/>
          <w:color w:val="auto"/>
        </w:rPr>
        <w:t xml:space="preserve">Our industry is highly competitive, which may impact our ability to compete successfully for guests with other hotel properties and home sharing or rental services. </w:t>
      </w:r>
      <w:r>
        <w:rPr>
          <w:rFonts w:ascii="Arial" w:cs="Arial" w:eastAsia="Arial" w:hAnsi="Arial"/>
          <w:sz w:val="16"/>
          <w:szCs w:val="16"/>
          <w:color w:val="auto"/>
        </w:rPr>
        <w:t>We operate in markets that contain many competitors. Each of our hotel brands and our home rental offering competes with major hotel chains,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regional hotel chains, independent hotels, and home sharing and rental services across national and international venues. Our ability to remain competitive and attract and retain business and leisure travelers depends on our success in distinguishing the quality, value, and efficiency of our lodging products and services, including our Loyalty Program, direct booking channels, and consumer-facing technology platforms and services, from those offered by others. If we cannot compete successfully in these areas, our operating margins could contract, our market share could decrease, and our earnings could decline. Further, new lodging supply in individual markets could have a negative impact on the hotel industry and hamper our ability to increase room rates or occupancy in those markets.</w:t>
      </w:r>
    </w:p>
    <w:p>
      <w:pPr>
        <w:spacing w:after="0" w:line="119" w:lineRule="exact"/>
        <w:rPr>
          <w:sz w:val="20"/>
          <w:szCs w:val="20"/>
          <w:color w:val="auto"/>
        </w:rPr>
      </w:pPr>
    </w:p>
    <w:p>
      <w:pPr>
        <w:ind w:right="140" w:firstLine="395"/>
        <w:spacing w:after="0" w:line="287" w:lineRule="auto"/>
        <w:rPr>
          <w:sz w:val="20"/>
          <w:szCs w:val="20"/>
          <w:color w:val="auto"/>
        </w:rPr>
      </w:pPr>
      <w:r>
        <w:rPr>
          <w:rFonts w:ascii="Arial" w:cs="Arial" w:eastAsia="Arial" w:hAnsi="Arial"/>
          <w:sz w:val="16"/>
          <w:szCs w:val="16"/>
          <w:b w:val="1"/>
          <w:bCs w:val="1"/>
          <w:i w:val="1"/>
          <w:iCs w:val="1"/>
          <w:color w:val="auto"/>
        </w:rPr>
        <w:t xml:space="preserve">Economic downturns and other global, national, and regional conditions could further impact our financial results and growth. </w:t>
      </w:r>
      <w:r>
        <w:rPr>
          <w:rFonts w:ascii="Arial" w:cs="Arial" w:eastAsia="Arial" w:hAnsi="Arial"/>
          <w:sz w:val="16"/>
          <w:szCs w:val="16"/>
          <w:color w:val="auto"/>
        </w:rPr>
        <w:t>Because we conduct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business on a global platform, changes in global, national, or regional economies, governmental policies (including in areas such as trade, travel, immigration, healthcare, and related issues), and geopolitical and social conditions impact our activities. Our business is impacted by decreases in travel resulting from weak economic conditions, changes in energy prices and currency values, political instability, heightened travel security measures, travel advisories, disruptions in air travel, and concerns over disease, violence, war, or terrorism.</w:t>
      </w:r>
    </w:p>
    <w:p>
      <w:pPr>
        <w:spacing w:after="0" w:line="106" w:lineRule="exact"/>
        <w:rPr>
          <w:sz w:val="20"/>
          <w:szCs w:val="20"/>
          <w:color w:val="auto"/>
        </w:rPr>
      </w:pPr>
    </w:p>
    <w:p>
      <w:pPr>
        <w:ind w:right="140" w:firstLine="395"/>
        <w:spacing w:after="0" w:line="252" w:lineRule="auto"/>
        <w:rPr>
          <w:sz w:val="20"/>
          <w:szCs w:val="20"/>
          <w:color w:val="auto"/>
        </w:rPr>
      </w:pPr>
      <w:r>
        <w:rPr>
          <w:rFonts w:ascii="Arial" w:cs="Arial" w:eastAsia="Arial" w:hAnsi="Arial"/>
          <w:sz w:val="18"/>
          <w:szCs w:val="18"/>
          <w:color w:val="auto"/>
        </w:rPr>
        <w:t xml:space="preserve">As discussed in “Risks Relating to </w:t>
      </w:r>
      <w:r>
        <w:rPr>
          <w:rFonts w:ascii="Arial" w:cs="Arial" w:eastAsia="Arial" w:hAnsi="Arial"/>
          <w:sz w:val="19"/>
          <w:szCs w:val="19"/>
          <w:color w:val="auto"/>
        </w:rPr>
        <w:t>COVID-19</w:t>
      </w:r>
      <w:r>
        <w:rPr>
          <w:rFonts w:ascii="Arial" w:cs="Arial" w:eastAsia="Arial" w:hAnsi="Arial"/>
          <w:sz w:val="18"/>
          <w:szCs w:val="18"/>
          <w:color w:val="auto"/>
        </w:rPr>
        <w:t xml:space="preserve">,” our performance has been materially affected by some of these conditions and could be further materially affected if these conditions worsen, arise in the future, or extend longer than anticipated, or in other circumstances that we are not able to predict or mitigate. Even after </w:t>
      </w:r>
      <w:r>
        <w:rPr>
          <w:rFonts w:ascii="Arial" w:cs="Arial" w:eastAsia="Arial" w:hAnsi="Arial"/>
          <w:sz w:val="19"/>
          <w:szCs w:val="19"/>
          <w:color w:val="auto"/>
        </w:rPr>
        <w:t>COVID-19</w:t>
      </w:r>
      <w:r>
        <w:rPr>
          <w:rFonts w:ascii="Arial" w:cs="Arial" w:eastAsia="Arial" w:hAnsi="Arial"/>
          <w:sz w:val="18"/>
          <w:szCs w:val="18"/>
          <w:color w:val="auto"/>
        </w:rPr>
        <w:t xml:space="preserve"> subsides or effective vaccines or treatments become widely available, our business, markets, growth prospects and business model could continue to be materially impacted or altered.</w:t>
      </w:r>
    </w:p>
    <w:p>
      <w:pPr>
        <w:spacing w:after="0" w:line="13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Risks Relating to Our Business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Operational Risks</w:t>
      </w:r>
    </w:p>
    <w:p>
      <w:pPr>
        <w:spacing w:after="0" w:line="161" w:lineRule="exact"/>
        <w:rPr>
          <w:sz w:val="20"/>
          <w:szCs w:val="20"/>
          <w:color w:val="auto"/>
        </w:rPr>
      </w:pPr>
    </w:p>
    <w:p>
      <w:pPr>
        <w:ind w:right="100" w:firstLine="395"/>
        <w:spacing w:after="0" w:line="282" w:lineRule="auto"/>
        <w:rPr>
          <w:sz w:val="20"/>
          <w:szCs w:val="20"/>
          <w:color w:val="auto"/>
        </w:rPr>
      </w:pPr>
      <w:r>
        <w:rPr>
          <w:rFonts w:ascii="Arial" w:cs="Arial" w:eastAsia="Arial" w:hAnsi="Arial"/>
          <w:sz w:val="16"/>
          <w:szCs w:val="16"/>
          <w:b w:val="1"/>
          <w:bCs w:val="1"/>
          <w:i w:val="1"/>
          <w:iCs w:val="1"/>
          <w:color w:val="auto"/>
        </w:rPr>
        <w:t xml:space="preserve">Premature termination of our management or franchise agreements could hurt our financial performance. </w:t>
      </w:r>
      <w:r>
        <w:rPr>
          <w:rFonts w:ascii="Arial" w:cs="Arial" w:eastAsia="Arial" w:hAnsi="Arial"/>
          <w:sz w:val="16"/>
          <w:szCs w:val="16"/>
          <w:color w:val="auto"/>
        </w:rPr>
        <w:t>Our hotel management and franchise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agreements may be subject to premature termination in certain circumstances, such as the bankruptcy of a hotel owner or franchisee, the failure of the hotel owner or franchisee to comply with its payment or other obligations under the agreement, a failure under some agreements to meet specified financial or performance criteria that are subject to the risks described in this section, which we fail or elect not to cure, or in certain limited cases, other negotiated contractual termination rights. Some courts have also applied agency law principles and related fiduciary standards to managers of third-party hotel properties, including us (or have interpreted hotel management agreements to be “personal services contracts”). Property owners may assert the right to terminate management agreements even where the agreements provide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otherwise, and some courts have upheld such assertions about our management agreements and may do so in the future. When terminations occur for these or other reasons, we may need to enforce our right to damages for breach of contract and related claims, which may cause us to incur significant legal fees and expenses. We may have difficulty collecting damages from the hotel owner or franchisee, and any damages we ultimately collect could be less than the projected future value of the fees and other amounts we would have otherwise collected under the management or franchise agreement. A significant loss of these agreements could hurt our financial performance or our ability to grow our business.</w:t>
      </w:r>
    </w:p>
    <w:p>
      <w:pPr>
        <w:spacing w:after="0" w:line="111" w:lineRule="exact"/>
        <w:rPr>
          <w:sz w:val="20"/>
          <w:szCs w:val="20"/>
          <w:color w:val="auto"/>
        </w:rPr>
      </w:pPr>
    </w:p>
    <w:p>
      <w:pPr>
        <w:ind w:right="60" w:firstLine="395"/>
        <w:spacing w:after="0" w:line="280" w:lineRule="auto"/>
        <w:rPr>
          <w:sz w:val="20"/>
          <w:szCs w:val="20"/>
          <w:color w:val="auto"/>
        </w:rPr>
      </w:pPr>
      <w:r>
        <w:rPr>
          <w:rFonts w:ascii="Arial" w:cs="Arial" w:eastAsia="Arial" w:hAnsi="Arial"/>
          <w:sz w:val="16"/>
          <w:szCs w:val="16"/>
          <w:b w:val="1"/>
          <w:bCs w:val="1"/>
          <w:i w:val="1"/>
          <w:iCs w:val="1"/>
          <w:color w:val="auto"/>
        </w:rPr>
        <w:t xml:space="preserve">Disagreements with owners of hotels that we manage or franchise may result in litigation or delay implementation of product or service initiatives. </w:t>
      </w:r>
      <w:r>
        <w:rPr>
          <w:rFonts w:ascii="Arial" w:cs="Arial" w:eastAsia="Arial" w:hAnsi="Arial"/>
          <w:sz w:val="16"/>
          <w:szCs w:val="16"/>
          <w:color w:val="auto"/>
        </w:rPr>
        <w:t>Consistent with our focus on management and franchising, we own very few of our lodging properties. The nature of our responsibilities under our management agreements to manage each hotel and enforce the standards required for our brands under both management and franchise agreements may be subject to interpretation and will from time to time give rise to disagreements, which may include disagreements over the need for or payment for new product, service or systems initiatives, the timing and amount of capital investments, and reimbursement for operating costs, system costs, or other amounts. Such disagreements may become more likely in the current environment and during other periods when hotel returns are weaker. We seek to resolve any disagreements to develop and maintain positive relations with current and potential hotel owners, franchisees, and real estate investment partners, but we cannot always do so. Failure to resolve such disagreements has resulted in litigation, and could do so in the future. If any such litigation results in an adverse judgment, settlement, or court order, we could suffer significant losses, our profits could be reduced, or our future ability to operate our business could be constrained.</w:t>
      </w:r>
    </w:p>
    <w:p>
      <w:pPr>
        <w:spacing w:after="0" w:line="117" w:lineRule="exact"/>
        <w:rPr>
          <w:sz w:val="20"/>
          <w:szCs w:val="20"/>
          <w:color w:val="auto"/>
        </w:rPr>
      </w:pPr>
    </w:p>
    <w:p>
      <w:pPr>
        <w:ind w:right="40" w:firstLine="395"/>
        <w:spacing w:after="0" w:line="278" w:lineRule="auto"/>
        <w:rPr>
          <w:sz w:val="20"/>
          <w:szCs w:val="20"/>
          <w:color w:val="auto"/>
        </w:rPr>
      </w:pPr>
      <w:r>
        <w:rPr>
          <w:rFonts w:ascii="Arial" w:cs="Arial" w:eastAsia="Arial" w:hAnsi="Arial"/>
          <w:sz w:val="16"/>
          <w:szCs w:val="16"/>
          <w:b w:val="1"/>
          <w:bCs w:val="1"/>
          <w:i w:val="1"/>
          <w:iCs w:val="1"/>
          <w:color w:val="auto"/>
        </w:rPr>
        <w:t xml:space="preserve">An increase in the use of third-party Internet services to book online hotel reservations could adversely impact our business. </w:t>
      </w:r>
      <w:r>
        <w:rPr>
          <w:rFonts w:ascii="Arial" w:cs="Arial" w:eastAsia="Arial" w:hAnsi="Arial"/>
          <w:sz w:val="16"/>
          <w:szCs w:val="16"/>
          <w:color w:val="auto"/>
        </w:rPr>
        <w:t>Some of our hotel rooms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booked through Internet travel intermediaries such as Expedia.com, Priceline.com, Booking.com, Travelocity.com, and Orbitz.com, as well as lesser-known online travel service providers. These intermediaries initially focused on leisure travel, but now also provide offerings for corporate travel and group meetings. Although our Best Rate Guarantee and Member Rate programs have helped limit guest preference shift to intermediaries and greatly reduced the ability of intermediaries to undercut the published rates at our hotels, intermediaries continue to use a variety of aggressive online marketing methods to attract guests, including the purchase by certain companies of trademarked online keywords such as “Marriott” from Internet search engines such as Google, Bing, Yahoo, and Baidu to steer guests toward their websites (a practice that has been challenged by various trademark owners in federal court). Our business and profitability could be harmed to the extent that online intermediaries succeed in significantly shifting loyalties from our lodging brands to their travel services, diverting bookings away from our direct online channels, or through their fees, increasing the overall cost of Internet bookings for our hotels. In addition, if we are not able to negotiate new agreements on satisfactory terms when our existing contracts with intermediaries (which generally have 2- to 3- year terms) come up for renewal, our business and prospects could be negatively impacted in a number of ways. For example, if newly negotiated agreements are on terms less favorable to our hotels than the expiring agreements, or if we are not able to negotiate new agreements and our hotels no longer appear on intermediary websites, our bookings could decline, our profits (and the operating profits of hotels in our system) could decline, and customers and owners may be less attracted to our brands. We may not be able to recapture or offset any such loss of business through actions we take to enhance our direct marketing and reservation channels or to rely on other channels or other intermediary websites.</w:t>
      </w:r>
    </w:p>
    <w:p>
      <w:pPr>
        <w:spacing w:after="0" w:line="119" w:lineRule="exact"/>
        <w:rPr>
          <w:sz w:val="20"/>
          <w:szCs w:val="20"/>
          <w:color w:val="auto"/>
        </w:rPr>
      </w:pPr>
    </w:p>
    <w:p>
      <w:pPr>
        <w:ind w:right="40" w:firstLine="395"/>
        <w:spacing w:after="0" w:line="233" w:lineRule="auto"/>
        <w:rPr>
          <w:sz w:val="20"/>
          <w:szCs w:val="20"/>
          <w:color w:val="auto"/>
        </w:rPr>
      </w:pPr>
      <w:r>
        <w:rPr>
          <w:rFonts w:ascii="Arial" w:cs="Arial" w:eastAsia="Arial" w:hAnsi="Arial"/>
          <w:sz w:val="18"/>
          <w:szCs w:val="18"/>
          <w:b w:val="1"/>
          <w:bCs w:val="1"/>
          <w:i w:val="1"/>
          <w:iCs w:val="1"/>
          <w:color w:val="auto"/>
        </w:rPr>
        <w:t xml:space="preserve">Our growth strategy depends upon attracting third-party owners and franchisees to our platform, and future arrangements with these third parties may be less favorable to us, depending on the terms offered by our competitors. </w:t>
      </w:r>
      <w:r>
        <w:rPr>
          <w:rFonts w:ascii="Arial" w:cs="Arial" w:eastAsia="Arial" w:hAnsi="Arial"/>
          <w:sz w:val="18"/>
          <w:szCs w:val="18"/>
          <w:color w:val="auto"/>
        </w:rPr>
        <w:t>Our growth strategy for adding lodging facilities entails entering into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maintaining various arrangements with property owners. The terms of our management agreements and franchise agreements for each of our lodging facilities are influenced by contract terms offered by our competitors, among other things. We cannot assure you that any of our current arrangements will continue or that we will be able to enter into future arrangements, renew agreements, or enter into new agreements in the future on terms that are as favorable to us as those that exist today.</w:t>
      </w:r>
    </w:p>
    <w:p>
      <w:pPr>
        <w:spacing w:after="0" w:line="136" w:lineRule="exact"/>
        <w:rPr>
          <w:sz w:val="20"/>
          <w:szCs w:val="20"/>
          <w:color w:val="auto"/>
        </w:rPr>
      </w:pPr>
    </w:p>
    <w:p>
      <w:pPr>
        <w:ind w:firstLine="395"/>
        <w:spacing w:after="0" w:line="280" w:lineRule="auto"/>
        <w:rPr>
          <w:sz w:val="20"/>
          <w:szCs w:val="20"/>
          <w:color w:val="auto"/>
        </w:rPr>
      </w:pPr>
      <w:r>
        <w:rPr>
          <w:rFonts w:ascii="Arial" w:cs="Arial" w:eastAsia="Arial" w:hAnsi="Arial"/>
          <w:sz w:val="16"/>
          <w:szCs w:val="16"/>
          <w:b w:val="1"/>
          <w:bCs w:val="1"/>
          <w:i w:val="1"/>
          <w:iCs w:val="1"/>
          <w:color w:val="auto"/>
        </w:rPr>
        <w:t xml:space="preserve">The growing significance of our operations outside of the U.S. makes us increasingly susceptible to the risks of doing business internationally, which could lower our revenues, increase our costs, reduce our profits, disrupt our business, or damage our reputation. </w:t>
      </w:r>
      <w:r>
        <w:rPr>
          <w:rFonts w:ascii="Arial" w:cs="Arial" w:eastAsia="Arial" w:hAnsi="Arial"/>
          <w:sz w:val="16"/>
          <w:szCs w:val="16"/>
          <w:color w:val="auto"/>
        </w:rPr>
        <w:t>A significant number of rooms in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system are located outside of the U.S. and its territories. To the extent that our international operations continue to grow, this increasingly exposes us to the challenges and risks of doing business outside the U.S., many of which are outside of our control, and which could materially reduce our revenues or profits, materially increase our costs, result in significant liabilities or sanctions, significantly disrupt our business, or significantly damage our reputation. These challenges and risks include: (1) compliance with complex and changing laws, regulations and government policies that may impact our operations, such as foreign ownership restrictions, import and export controls, trade restrictions, and health and safety requirements; (2) compliance with U.S. and foreign laws that affect the activities of companies abroad, such as competition laws, cybersecurity and privacy laws, data localization requirements, currency regulations, national security laws, trade and economic sanctions, and other laws affecting dealings with certain nations; (3) the difficulties involved in managing an organization doing business in many different countries; (4) uncertainties as to the</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enforceability of contract and intellectual property rights under local laws; and (5) rapid changes in government policy, political or civil unrest, acts of terrorism, war, pandemics or other health emergencies, border control measures or other travel restrictions, or the threat of international boycotts or U.S. anti-boycott legislation.</w:t>
      </w:r>
    </w:p>
    <w:p>
      <w:pPr>
        <w:spacing w:after="0" w:line="138" w:lineRule="exact"/>
        <w:rPr>
          <w:sz w:val="20"/>
          <w:szCs w:val="20"/>
          <w:color w:val="auto"/>
        </w:rPr>
      </w:pPr>
    </w:p>
    <w:p>
      <w:pPr>
        <w:ind w:firstLine="395"/>
        <w:spacing w:after="0" w:line="277" w:lineRule="auto"/>
        <w:rPr>
          <w:sz w:val="20"/>
          <w:szCs w:val="20"/>
          <w:color w:val="auto"/>
        </w:rPr>
      </w:pPr>
      <w:r>
        <w:rPr>
          <w:rFonts w:ascii="Arial" w:cs="Arial" w:eastAsia="Arial" w:hAnsi="Arial"/>
          <w:sz w:val="16"/>
          <w:szCs w:val="16"/>
          <w:b w:val="1"/>
          <w:bCs w:val="1"/>
          <w:i w:val="1"/>
          <w:iCs w:val="1"/>
          <w:color w:val="auto"/>
        </w:rPr>
        <w:t xml:space="preserve">Any failure by our international operations to comply with anti-corruption laws or trade sanctions could increase our costs, reduce our profits, limit our growth, harm our reputation, or subject us to broader liability. </w:t>
      </w:r>
      <w:r>
        <w:rPr>
          <w:rFonts w:ascii="Arial" w:cs="Arial" w:eastAsia="Arial" w:hAnsi="Arial"/>
          <w:sz w:val="16"/>
          <w:szCs w:val="16"/>
          <w:color w:val="auto"/>
        </w:rPr>
        <w:t>We are subject to restrictions imposed by the U.S. Foreign Corrupt Practices Act and anti-corruption laws and regulations of other countries applicable to our operations, such as the U.K. Bribery Act. Anti-corruption laws and regulations generally prohibit companies and their intermediaries from making certain payments to government officials or other persons in order to influence official acts or decisions or to obtain or retain business. These laws also require us to maintain adequate internal controls and accurate books and records. We have properties in many parts of the world where corruption is common, and our compliance with anti-corruption laws may potentially conflict with local customs and practices. The compliance programs, internal controls and policies we maintain and enforce to promote compliance with applicable anti-bribery and anti-corruption laws may not prevent our associates, contractors, or agents from acting in ways prohibited by these laws and regulations. We are also subject to trade sanctions and regulations administered by the U.S. Office of Foreign Assets Control, the U.S. Department of Commerce, and other U.S. government agencies, and authorities in other countries where we do business. Our compliance programs and internal controls also may not prevent conduct that is prohibited under these rules. The U.S. or other countries may impose additional sanctions at any time against any country in or with which, or persons or entities with whom, we do business. Depending on the nature of the sanctions imposed, our operations in the relevant country or with the relevant individual or entity could be restricted or otherwise adversely affected. Any violations of anti-corruption laws and regulations or trade sanctions could result in significant civil and criminal penalties, reduce our profits, disrupt or have a material adverse effect on our business, damage our reputation, or result in lawsuits or regulatory actions being brought against the Company or its officers or directors. In addition, the operation of these laws and regulations or an imposition of further restrictions in these areas could increase our cost of operations, reduce our profits, or cause us to forgo development opportunities, cease operations in certain countries, or limit certain business operations that would otherwise support growth.</w:t>
      </w:r>
    </w:p>
    <w:p>
      <w:pPr>
        <w:spacing w:after="0" w:line="127" w:lineRule="exact"/>
        <w:rPr>
          <w:sz w:val="20"/>
          <w:szCs w:val="20"/>
          <w:color w:val="auto"/>
        </w:rPr>
      </w:pPr>
    </w:p>
    <w:p>
      <w:pPr>
        <w:ind w:firstLine="395"/>
        <w:spacing w:after="0" w:line="300" w:lineRule="auto"/>
        <w:rPr>
          <w:sz w:val="20"/>
          <w:szCs w:val="20"/>
          <w:color w:val="auto"/>
        </w:rPr>
      </w:pPr>
      <w:r>
        <w:rPr>
          <w:rFonts w:ascii="Arial" w:cs="Arial" w:eastAsia="Arial" w:hAnsi="Arial"/>
          <w:sz w:val="15"/>
          <w:szCs w:val="15"/>
          <w:b w:val="1"/>
          <w:bCs w:val="1"/>
          <w:i w:val="1"/>
          <w:iCs w:val="1"/>
          <w:color w:val="auto"/>
        </w:rPr>
        <w:t xml:space="preserve">Exchange rate fluctuations and foreign exchange hedging arrangements could result in significant foreign currency gains and losses and affect our business results. </w:t>
      </w:r>
      <w:r>
        <w:rPr>
          <w:rFonts w:ascii="Arial" w:cs="Arial" w:eastAsia="Arial" w:hAnsi="Arial"/>
          <w:sz w:val="15"/>
          <w:szCs w:val="15"/>
          <w:color w:val="auto"/>
        </w:rPr>
        <w:t>We earn revenues and incur expenses in foreign currencies as part of our operations outside of the U.S. Accordingly, fluctuations in currency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exchange rates may significantly increase the amount of U.S. dollars required for foreign currency expenses or significantly decrease the U.S. dollars we receive from foreign currency revenues. We are also exposed to currency translation risk because the results of our non-U.S. business are generally reported in local currency, which we then translate to U.S. dollars for inclusion in our Financial Statements. As a result, exchange rate changes between foreign currencies and the U.S. dollar affect the amounts we record for our foreign assets, liabilities, revenues and expenses, and could have a negative effect on our financial results. We expect that our exposure to foreign currency exchange rate fluctuations will grow as the relative contribution of our non-U.S. operations increases. We enter into foreign exchange hedging agreements with financial institutions to mitigate exposure to some of the foreign currency fluctuations, but these efforts may not be successful. These hedging agreements also do not cover all currencies in which we do business, do not eliminate foreign currency risk entirely for the currencies that they do cover, and involve costs and risks of their own in the form of transaction costs, credit requirements and counterparty risk.</w:t>
      </w:r>
    </w:p>
    <w:p>
      <w:pPr>
        <w:spacing w:after="0" w:line="107" w:lineRule="exact"/>
        <w:rPr>
          <w:sz w:val="20"/>
          <w:szCs w:val="20"/>
          <w:color w:val="auto"/>
        </w:rPr>
      </w:pPr>
    </w:p>
    <w:p>
      <w:pPr>
        <w:ind w:firstLine="395"/>
        <w:spacing w:after="0" w:line="299" w:lineRule="auto"/>
        <w:rPr>
          <w:sz w:val="20"/>
          <w:szCs w:val="20"/>
          <w:color w:val="auto"/>
        </w:rPr>
      </w:pPr>
      <w:r>
        <w:rPr>
          <w:rFonts w:ascii="Arial" w:cs="Arial" w:eastAsia="Arial" w:hAnsi="Arial"/>
          <w:sz w:val="15"/>
          <w:szCs w:val="15"/>
          <w:b w:val="1"/>
          <w:bCs w:val="1"/>
          <w:i w:val="1"/>
          <w:iCs w:val="1"/>
          <w:color w:val="auto"/>
        </w:rPr>
        <w:t xml:space="preserve">Our business depends on the quality and reputation of our Company and our brands, and any deterioration could adversely impact our market share, reputation, business, financial condition, or results of operations. </w:t>
      </w:r>
      <w:r>
        <w:rPr>
          <w:rFonts w:ascii="Arial" w:cs="Arial" w:eastAsia="Arial" w:hAnsi="Arial"/>
          <w:sz w:val="15"/>
          <w:szCs w:val="15"/>
          <w:color w:val="auto"/>
        </w:rPr>
        <w:t>Many factors can affect the reputation of one or more of our properties or brands and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value of our brands, including service, food quality and safety, safety of our guests and associates, our approach to health and cleanliness, our approach to managing and reducing our carbon footprint, availability and management of scarce natural resources, supply chain management, ability to protect and use our brands and trademarks, diversity, human rights, and support for local communities. Reputational value is also based on perceptions, and broad access to social media makes it easy for anyone to provide public feedback that can influence perceptions of us, our brands and our hotels, and it may be difficult to control or effectively manage negative publicity, regardless of whether it is accurate. While reputations may take decades to build, negative incidents can quickly erode trust and confidence, particularly if they result in adverse mainstream and social media publicity, governmental investigations or penalties, or litigation. Negative incidents could lead to tangible adverse effects on our business, including lost sales, boycotts, reduced enrollment and/or participation in our Loyalty Program, loss of development opportunities, adverse government attention, or associate retention and recruiting difficulties. Any material decline in the reputation or perceived quality of our brands or corporate image could affect our market share, reputation, business, financial condition, or results of operations.</w:t>
      </w:r>
    </w:p>
    <w:p>
      <w:pPr>
        <w:spacing w:after="0" w:line="110" w:lineRule="exact"/>
        <w:rPr>
          <w:sz w:val="20"/>
          <w:szCs w:val="20"/>
          <w:color w:val="auto"/>
        </w:rPr>
      </w:pPr>
    </w:p>
    <w:p>
      <w:pPr>
        <w:ind w:right="60" w:firstLine="395"/>
        <w:spacing w:after="0" w:line="291" w:lineRule="auto"/>
        <w:rPr>
          <w:sz w:val="20"/>
          <w:szCs w:val="20"/>
          <w:color w:val="auto"/>
        </w:rPr>
      </w:pPr>
      <w:r>
        <w:rPr>
          <w:rFonts w:ascii="Arial" w:cs="Arial" w:eastAsia="Arial" w:hAnsi="Arial"/>
          <w:sz w:val="16"/>
          <w:szCs w:val="16"/>
          <w:b w:val="1"/>
          <w:bCs w:val="1"/>
          <w:i w:val="1"/>
          <w:iCs w:val="1"/>
          <w:color w:val="auto"/>
        </w:rPr>
        <w:t xml:space="preserve">Actions by our franchisees and licensees or others could adversely affect our image and reputation. </w:t>
      </w:r>
      <w:r>
        <w:rPr>
          <w:rFonts w:ascii="Arial" w:cs="Arial" w:eastAsia="Arial" w:hAnsi="Arial"/>
          <w:sz w:val="16"/>
          <w:szCs w:val="16"/>
          <w:color w:val="auto"/>
        </w:rPr>
        <w:t>We franchise and license many of our brand names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trademarks to third parties for lodging, timeshare, and residential properties, and with respect to our credit card programs. Under the terms of their agreements with us, these third parties interact directly with guests and others under our brand and trade names. If these third parties fail to maintain or act in accordance with applicable brand standards; experience operational problems, including any data or privacy incident involving guest information or a</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circumstance involving guest or associate health or safety; or project a brand image inconsistent with ours, then our image and reputation could</w:t>
      </w:r>
    </w:p>
    <w:p>
      <w:pPr>
        <w:spacing w:after="0" w:line="3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suffer. Although our agreements with these parties provide us with recourse and remedies in the event of a breach, including termination of the agreements under certain circumstances, it could be expensive or time consuming for us to pursue such remedies</w:t>
      </w:r>
      <w:r>
        <w:rPr>
          <w:rFonts w:ascii="Arial" w:cs="Arial" w:eastAsia="Arial" w:hAnsi="Arial"/>
          <w:sz w:val="16"/>
          <w:szCs w:val="16"/>
          <w:color w:val="1F497D"/>
        </w:rPr>
        <w:t>.</w:t>
      </w:r>
      <w:r>
        <w:rPr>
          <w:rFonts w:ascii="Arial" w:cs="Arial" w:eastAsia="Arial" w:hAnsi="Arial"/>
          <w:sz w:val="16"/>
          <w:szCs w:val="16"/>
          <w:color w:val="auto"/>
        </w:rPr>
        <w:t xml:space="preserve"> We also cannot assure you that in every instance a court would ultimately enforce our contractual termination rights or that we could collect any awarded damages from the defaulting party.</w:t>
      </w:r>
    </w:p>
    <w:p>
      <w:pPr>
        <w:spacing w:after="0" w:line="109" w:lineRule="exact"/>
        <w:rPr>
          <w:sz w:val="20"/>
          <w:szCs w:val="20"/>
          <w:color w:val="auto"/>
        </w:rPr>
      </w:pPr>
    </w:p>
    <w:p>
      <w:pPr>
        <w:ind w:right="20" w:firstLine="395"/>
        <w:spacing w:after="0" w:line="301" w:lineRule="auto"/>
        <w:rPr>
          <w:sz w:val="20"/>
          <w:szCs w:val="20"/>
          <w:color w:val="auto"/>
        </w:rPr>
      </w:pPr>
      <w:r>
        <w:rPr>
          <w:rFonts w:ascii="Arial" w:cs="Arial" w:eastAsia="Arial" w:hAnsi="Arial"/>
          <w:sz w:val="15"/>
          <w:szCs w:val="15"/>
          <w:b w:val="1"/>
          <w:bCs w:val="1"/>
          <w:i w:val="1"/>
          <w:iCs w:val="1"/>
          <w:color w:val="auto"/>
        </w:rPr>
        <w:t>Collective bargaining activity and strikes could disrupt our operations, increase our labor costs, and interfere with the ability of our management to focus on executing our business strategies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 significant number of associates at our managed, leased, and owned hotels are covered by collective bargaining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agreements. If relationships with our organized associates or the unions that represent them become adverse, then the properties we operate could experience labor disruptions such as strikes, lockouts, boycotts, and public demonstrations. Numerous collective bargaining agreements are typically subject to negotiation each year, and our ability in the past to resolve such negotiations does not mean that we will be able to resolve future negotiations without strikes, disruptions, or on terms that we consider reasonable. Labor disputes and disruptions have in the past, and could in the future, result in adverse publicity and adversely affect operations and revenues at affected hotels. In addition, labor disputes and disruptions could harm our relationship with our associates, result in increased regulatory inquiries and enforcement by governmental authorities, harm our relationships with our guests and customers, divert management attention, and reduce customer demand for our services, all of which could have an adverse effect on our reputation, business, financial condition, or results of operations.</w:t>
      </w:r>
    </w:p>
    <w:p>
      <w:pPr>
        <w:spacing w:after="0" w:line="106" w:lineRule="exact"/>
        <w:rPr>
          <w:sz w:val="20"/>
          <w:szCs w:val="20"/>
          <w:color w:val="auto"/>
        </w:rPr>
      </w:pPr>
    </w:p>
    <w:p>
      <w:pPr>
        <w:ind w:right="60" w:firstLine="395"/>
        <w:spacing w:after="0" w:line="287" w:lineRule="auto"/>
        <w:rPr>
          <w:sz w:val="20"/>
          <w:szCs w:val="20"/>
          <w:color w:val="auto"/>
        </w:rPr>
      </w:pPr>
      <w:r>
        <w:rPr>
          <w:rFonts w:ascii="Arial" w:cs="Arial" w:eastAsia="Arial" w:hAnsi="Arial"/>
          <w:sz w:val="16"/>
          <w:szCs w:val="16"/>
          <w:color w:val="auto"/>
        </w:rPr>
        <w:t>In addition, labor regulation and the negotiation of new or existing collective bargaining agreements could lead to higher wage and benefit costs, changes in work rules that raise operating expenses and legal costs, and could impose limitations on our ability or the ability of our third-party property owners to take cost saving measures during economic downturns. We do not have the ability to control the negotiations of collective bargaining agreements covering unionized labor employed by the operators of our franchised properties. Increased unionization of our workforce, new labor legislation or changes in regulations could disrupt our operations, reduce our profitability or interfere with the ability of our management to focus on executing our business strategies.</w:t>
      </w:r>
    </w:p>
    <w:p>
      <w:pPr>
        <w:spacing w:after="0" w:line="111" w:lineRule="exact"/>
        <w:rPr>
          <w:sz w:val="20"/>
          <w:szCs w:val="20"/>
          <w:color w:val="auto"/>
        </w:rPr>
      </w:pPr>
    </w:p>
    <w:p>
      <w:pPr>
        <w:ind w:firstLine="395"/>
        <w:spacing w:after="0" w:line="280" w:lineRule="auto"/>
        <w:rPr>
          <w:sz w:val="20"/>
          <w:szCs w:val="20"/>
          <w:color w:val="auto"/>
        </w:rPr>
      </w:pPr>
      <w:r>
        <w:rPr>
          <w:rFonts w:ascii="Arial" w:cs="Arial" w:eastAsia="Arial" w:hAnsi="Arial"/>
          <w:sz w:val="16"/>
          <w:szCs w:val="16"/>
          <w:b w:val="1"/>
          <w:bCs w:val="1"/>
          <w:i w:val="1"/>
          <w:iCs w:val="1"/>
          <w:color w:val="auto"/>
        </w:rPr>
        <w:t xml:space="preserve">Our business could suffer as the result of the loss of the services of our senior executives or if we cannot attract and retain talented associates. </w:t>
      </w:r>
      <w:r>
        <w:rPr>
          <w:rFonts w:ascii="Arial" w:cs="Arial" w:eastAsia="Arial" w:hAnsi="Arial"/>
          <w:sz w:val="16"/>
          <w:szCs w:val="16"/>
          <w:color w:val="auto"/>
        </w:rPr>
        <w:t>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compete with other companies both within and outside of our industry for talented personnel. If we cannot recruit, train, develop, and retain sufficient numbers of talented associates, we could experience increased associate turnover, decreased guest satisfaction, low morale, inefficiency, or internal control failures. Insufficient numbers of talented associates could also limit our ability to grow and expand our businesses. A shortage of skilled labor could also result in higher wages that would increase our labor costs, which could reduce our profits. In addition, the efforts and abilities of our senior executives are important elements of maintaining our competitive position and driving future growth, and the loss of the services of one or more of our senior executives could result in challenges executing our business strategies or other adverse effects on our business. The impact of </w:t>
      </w:r>
      <w:r>
        <w:rPr>
          <w:rFonts w:ascii="Arial" w:cs="Arial" w:eastAsia="Arial" w:hAnsi="Arial"/>
          <w:sz w:val="17"/>
          <w:szCs w:val="17"/>
          <w:color w:val="auto"/>
        </w:rPr>
        <w:t>COVID-19</w:t>
      </w:r>
      <w:r>
        <w:rPr>
          <w:rFonts w:ascii="Arial" w:cs="Arial" w:eastAsia="Arial" w:hAnsi="Arial"/>
          <w:sz w:val="16"/>
          <w:szCs w:val="16"/>
          <w:color w:val="auto"/>
        </w:rPr>
        <w:t xml:space="preserve"> on the hospitality industry, and actions that we and others in the hospitality industry have taken and may take in the future with respect to our associates and executives in response to </w:t>
      </w:r>
      <w:r>
        <w:rPr>
          <w:rFonts w:ascii="Arial" w:cs="Arial" w:eastAsia="Arial" w:hAnsi="Arial"/>
          <w:sz w:val="17"/>
          <w:szCs w:val="17"/>
          <w:color w:val="auto"/>
        </w:rPr>
        <w:t>COVID-19</w:t>
      </w:r>
      <w:r>
        <w:rPr>
          <w:rFonts w:ascii="Arial" w:cs="Arial" w:eastAsia="Arial" w:hAnsi="Arial"/>
          <w:sz w:val="16"/>
          <w:szCs w:val="16"/>
          <w:color w:val="auto"/>
        </w:rPr>
        <w:t>, may adversely affect our ability to attract and retain associates and executives in the future.</w:t>
      </w:r>
    </w:p>
    <w:p>
      <w:pPr>
        <w:spacing w:after="0" w:line="120" w:lineRule="exact"/>
        <w:rPr>
          <w:sz w:val="20"/>
          <w:szCs w:val="20"/>
          <w:color w:val="auto"/>
        </w:rPr>
      </w:pPr>
    </w:p>
    <w:p>
      <w:pPr>
        <w:ind w:firstLine="395"/>
        <w:spacing w:after="0" w:line="280" w:lineRule="auto"/>
        <w:rPr>
          <w:sz w:val="20"/>
          <w:szCs w:val="20"/>
          <w:color w:val="auto"/>
        </w:rPr>
      </w:pPr>
      <w:r>
        <w:rPr>
          <w:rFonts w:ascii="Arial" w:cs="Arial" w:eastAsia="Arial" w:hAnsi="Arial"/>
          <w:sz w:val="16"/>
          <w:szCs w:val="16"/>
          <w:b w:val="1"/>
          <w:bCs w:val="1"/>
          <w:i w:val="1"/>
          <w:iCs w:val="1"/>
          <w:color w:val="auto"/>
        </w:rPr>
        <w:t xml:space="preserve">Risks relating to natural or man-made disasters, contagious disease, violence, or war have reduced the demand for lodging, which has adversely affected our revenues. </w:t>
      </w:r>
      <w:r>
        <w:rPr>
          <w:rFonts w:ascii="Arial" w:cs="Arial" w:eastAsia="Arial" w:hAnsi="Arial"/>
          <w:sz w:val="16"/>
          <w:szCs w:val="16"/>
          <w:color w:val="auto"/>
        </w:rPr>
        <w:t>We have seen a decline in travel and reduced demand for lodging due to so called “Acts of God,” such as hurricanes, earthquakes,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tsunamis, floods, volcanic activity, wildfires, and other natural disasters, as well as man-made disasters and the spread of contagious diseases in locations where we own, manage, or franchise properties and areas of the world from which we draw a large number of guests, and these circumstances could continue or worsen in the future to an extent and for durations that we are not able to predict. Actual or threatened war, terrorist activity, political unrest, civil or geopolitical strife, and other acts of violence could have a similar effect. As with the effects we have already experienced from the </w:t>
      </w:r>
      <w:r>
        <w:rPr>
          <w:rFonts w:ascii="Arial" w:cs="Arial" w:eastAsia="Arial" w:hAnsi="Arial"/>
          <w:sz w:val="17"/>
          <w:szCs w:val="17"/>
          <w:color w:val="auto"/>
        </w:rPr>
        <w:t>COVID-19</w:t>
      </w:r>
      <w:r>
        <w:rPr>
          <w:rFonts w:ascii="Arial" w:cs="Arial" w:eastAsia="Arial" w:hAnsi="Arial"/>
          <w:sz w:val="16"/>
          <w:szCs w:val="16"/>
          <w:color w:val="auto"/>
        </w:rPr>
        <w:t xml:space="preserve"> pandemic, any one or more of these events may reduce the overall demand for lodging, limit the room rates that can be charged, and/or increase our operating costs, all of which could adversely affect our profits. If a terrorist event or other incident of violence were to involve one or more of our branded properties, demand for our properties in particular could suffer disproportionately, which could further hurt our revenues and profits.</w:t>
      </w:r>
    </w:p>
    <w:p>
      <w:pPr>
        <w:spacing w:after="0" w:line="121" w:lineRule="exact"/>
        <w:rPr>
          <w:sz w:val="20"/>
          <w:szCs w:val="20"/>
          <w:color w:val="auto"/>
        </w:rPr>
      </w:pPr>
    </w:p>
    <w:p>
      <w:pPr>
        <w:ind w:right="140" w:firstLine="395"/>
        <w:spacing w:after="0" w:line="281" w:lineRule="auto"/>
        <w:rPr>
          <w:sz w:val="20"/>
          <w:szCs w:val="20"/>
          <w:color w:val="auto"/>
        </w:rPr>
      </w:pPr>
      <w:r>
        <w:rPr>
          <w:rFonts w:ascii="Arial" w:cs="Arial" w:eastAsia="Arial" w:hAnsi="Arial"/>
          <w:sz w:val="16"/>
          <w:szCs w:val="16"/>
          <w:b w:val="1"/>
          <w:bCs w:val="1"/>
          <w:i w:val="1"/>
          <w:iCs w:val="1"/>
          <w:color w:val="auto"/>
        </w:rPr>
        <w:t xml:space="preserve">Insurance may not cover damage to, or losses involving, properties that we own, manage, or franchise, or other aspects of our business, and the cost of such insurance could increase. </w:t>
      </w:r>
      <w:r>
        <w:rPr>
          <w:rFonts w:ascii="Arial" w:cs="Arial" w:eastAsia="Arial" w:hAnsi="Arial"/>
          <w:sz w:val="16"/>
          <w:szCs w:val="16"/>
          <w:color w:val="auto"/>
        </w:rPr>
        <w:t>We require comprehensive property and liability insurance policies for our managed, leased, and owned properties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coverage features and insured limits that we believe are customary. We also require our franchisees to maintain similar levels of insurance. Market forces beyond our control may nonetheless limit the scope of the insurance coverage we, our hotel owners, or our franchisees can obtain, or our or their ability to obtain coverage at reasonable rates. Certain types of losses, generally of a catastrophic nature, such as earthquakes, hurricanes and floods, terrorist acts, pandemics, or liabilities that result from incidents involving the security of information systems, may result in high deductibles, low limits, or may be uninsurable, or the cost of obtaining insurance may be unacceptably high. As a result, we, our hotel owners, and our franchisees may not be successful in obtaining insurance without increases in cost or</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60"/>
        <w:spacing w:after="0" w:line="280" w:lineRule="auto"/>
        <w:rPr>
          <w:sz w:val="20"/>
          <w:szCs w:val="20"/>
          <w:color w:val="auto"/>
        </w:rPr>
      </w:pPr>
      <w:r>
        <w:rPr>
          <w:rFonts w:ascii="Arial" w:cs="Arial" w:eastAsia="Arial" w:hAnsi="Arial"/>
          <w:sz w:val="16"/>
          <w:szCs w:val="16"/>
          <w:color w:val="auto"/>
        </w:rPr>
        <w:t>decreases in coverage levels, or may not be successful in obtaining insurance at all. For example, over the past several years following the severe and widespread damage caused by the 2017 Atlantic hurricane season and other natural disasters coupled with continued large global losses, the property, liability and other insurance markets have seen significant cost increases. Also, due to the data security incident involving unauthorized access to the Starwood reservations database, which we initially reported in November 2018 (the “Data Security Incident”), and the state of the cyber insurance market generally, the costs for our cyber insurance increased with both our 2019 and 2020 renewals, and the cost of such insurance could continue to increase for future policy periods. Further, in the event of a substantial loss, the insurance coverage we, our hotel owners, or our franchisees carry may not be sufficient to pay the full market value or replacement cost of any lost investment or in some cases could result in certain losses being totally uninsured. As a result, our revenues and profits could be adversely affected, and for properties we own or lease, we could lose some or all of the capital that we have invested in the property and we could remain obligated for guarantees, debt, or other financial obligations.</w:t>
      </w:r>
    </w:p>
    <w:p>
      <w:pPr>
        <w:spacing w:after="0" w:line="121" w:lineRule="exact"/>
        <w:rPr>
          <w:sz w:val="20"/>
          <w:szCs w:val="20"/>
          <w:color w:val="auto"/>
        </w:rPr>
      </w:pPr>
    </w:p>
    <w:p>
      <w:pPr>
        <w:ind w:right="180" w:firstLine="395"/>
        <w:spacing w:after="0" w:line="282" w:lineRule="auto"/>
        <w:rPr>
          <w:sz w:val="20"/>
          <w:szCs w:val="20"/>
          <w:color w:val="auto"/>
        </w:rPr>
      </w:pPr>
      <w:r>
        <w:rPr>
          <w:rFonts w:ascii="Arial" w:cs="Arial" w:eastAsia="Arial" w:hAnsi="Arial"/>
          <w:sz w:val="16"/>
          <w:szCs w:val="16"/>
          <w:b w:val="1"/>
          <w:bCs w:val="1"/>
          <w:i w:val="1"/>
          <w:iCs w:val="1"/>
          <w:color w:val="auto"/>
        </w:rPr>
        <w:t xml:space="preserve">If our brands, goodwill or other intangible assets become impaired, we may be required to record significant non-cash charges to earnings. </w:t>
      </w:r>
      <w:r>
        <w:rPr>
          <w:rFonts w:ascii="Arial" w:cs="Arial" w:eastAsia="Arial" w:hAnsi="Arial"/>
          <w:sz w:val="16"/>
          <w:szCs w:val="16"/>
          <w:color w:val="auto"/>
        </w:rPr>
        <w:t>As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2020, we had $18.2 billion of goodwill and other intangible assets. We review goodwill and indefinite-lived intangible assets for impairment annually or whenever events or circumstances indicate impairment may have occurred. Estimated fair values of our brands or reporting units could change if, for example, there are changes in the business climate, unanticipated changes in the competitive environment, adverse legal or regulatory actions or developments, changes in guests’ perception and the reputation of our brands, or changes in interest rates, operating cash flows, or market capitalization. Because of the significance of our goodwill and other intangible assets, any future impairment of these assets could require material non-cash charges to our results of operations, which could have a material adverse effect on our reported financial condition and results of operations.</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Development and Financing Risks</w:t>
      </w:r>
    </w:p>
    <w:p>
      <w:pPr>
        <w:spacing w:after="0" w:line="161" w:lineRule="exact"/>
        <w:rPr>
          <w:sz w:val="20"/>
          <w:szCs w:val="20"/>
          <w:color w:val="auto"/>
        </w:rPr>
      </w:pPr>
    </w:p>
    <w:p>
      <w:pPr>
        <w:ind w:firstLine="395"/>
        <w:spacing w:after="0" w:line="282" w:lineRule="auto"/>
        <w:rPr>
          <w:sz w:val="20"/>
          <w:szCs w:val="20"/>
          <w:color w:val="auto"/>
        </w:rPr>
      </w:pPr>
      <w:r>
        <w:rPr>
          <w:rFonts w:ascii="Arial" w:cs="Arial" w:eastAsia="Arial" w:hAnsi="Arial"/>
          <w:sz w:val="16"/>
          <w:szCs w:val="16"/>
          <w:b w:val="1"/>
          <w:bCs w:val="1"/>
          <w:i w:val="1"/>
          <w:iCs w:val="1"/>
          <w:color w:val="auto"/>
        </w:rPr>
        <w:t xml:space="preserve">While we are predominantly a manager and franchisor of hotel properties, our hotel owners and franchisees depend on capital to buy, develop, and improve hotels, and they may be unable to access capital when necessary. </w:t>
      </w:r>
      <w:r>
        <w:rPr>
          <w:rFonts w:ascii="Arial" w:cs="Arial" w:eastAsia="Arial" w:hAnsi="Arial"/>
          <w:sz w:val="16"/>
          <w:szCs w:val="16"/>
          <w:color w:val="auto"/>
        </w:rPr>
        <w:t>Both we and current and potential hotel owners and franchisees must periodically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spend money to fund new hotel investments, as well as to refurbish and improve existing hotels. The availability of funds for new investments and improvement of existing hotels by our current and potential hotel owners and franchisees depends in large measure on their ability to access the capital markets, over which we have little control. Obtaining financing on attractive terms has been, and may in the future be further, constrained by the capital markets for hotel and real estate investments. In addition, owners of existing hotels that we franchise or manage may have difficulty meeting required debt service payments or refinancing loans at maturity.</w:t>
      </w:r>
    </w:p>
    <w:p>
      <w:pPr>
        <w:spacing w:after="0" w:line="118" w:lineRule="exact"/>
        <w:rPr>
          <w:sz w:val="20"/>
          <w:szCs w:val="20"/>
          <w:color w:val="auto"/>
        </w:rPr>
      </w:pPr>
    </w:p>
    <w:p>
      <w:pPr>
        <w:ind w:right="60" w:firstLine="395"/>
        <w:spacing w:after="0" w:line="267" w:lineRule="auto"/>
        <w:rPr>
          <w:sz w:val="20"/>
          <w:szCs w:val="20"/>
          <w:color w:val="auto"/>
        </w:rPr>
      </w:pPr>
      <w:r>
        <w:rPr>
          <w:rFonts w:ascii="Arial" w:cs="Arial" w:eastAsia="Arial" w:hAnsi="Arial"/>
          <w:sz w:val="16"/>
          <w:szCs w:val="16"/>
          <w:b w:val="1"/>
          <w:bCs w:val="1"/>
          <w:i w:val="1"/>
          <w:iCs w:val="1"/>
          <w:color w:val="auto"/>
        </w:rPr>
        <w:t xml:space="preserve">Our ability to grow our management and franchise systems is subject to the range of risks associated with real estate investments. </w:t>
      </w:r>
      <w:r>
        <w:rPr>
          <w:rFonts w:ascii="Arial" w:cs="Arial" w:eastAsia="Arial" w:hAnsi="Arial"/>
          <w:sz w:val="16"/>
          <w:szCs w:val="16"/>
          <w:color w:val="auto"/>
        </w:rPr>
        <w:t>Our ability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sustain continued growth through management or franchise agreements for new hotels and the conversion of existing facilities to managed or franchised Marriott brands is affected, and may potentially be limited, by a variety of factors influencing real estate development generally. These include site availability, financing availability, planning, zoning and other local approvals, and other limitations that may be imposed by market and submarket factors, such as projected room occupancy and rate, changes in growth in demand compared to projected supply, territorial restrictions in our management and franchise agreements, costs of construction, demand for construction resources, and other disruptive conditions in global, regional, or local markets.</w:t>
      </w:r>
    </w:p>
    <w:p>
      <w:pPr>
        <w:spacing w:after="0" w:line="114" w:lineRule="exact"/>
        <w:rPr>
          <w:sz w:val="20"/>
          <w:szCs w:val="20"/>
          <w:color w:val="auto"/>
        </w:rPr>
      </w:pPr>
    </w:p>
    <w:p>
      <w:pPr>
        <w:ind w:firstLine="395"/>
        <w:spacing w:after="0" w:line="304" w:lineRule="auto"/>
        <w:rPr>
          <w:sz w:val="20"/>
          <w:szCs w:val="20"/>
          <w:color w:val="auto"/>
        </w:rPr>
      </w:pPr>
      <w:r>
        <w:rPr>
          <w:rFonts w:ascii="Arial" w:cs="Arial" w:eastAsia="Arial" w:hAnsi="Arial"/>
          <w:sz w:val="15"/>
          <w:szCs w:val="15"/>
          <w:b w:val="1"/>
          <w:bCs w:val="1"/>
          <w:i w:val="1"/>
          <w:iCs w:val="1"/>
          <w:color w:val="auto"/>
        </w:rPr>
        <w:t xml:space="preserve">Our renovation activities expose us to project cost, completion, and resale risks. </w:t>
      </w:r>
      <w:r>
        <w:rPr>
          <w:rFonts w:ascii="Arial" w:cs="Arial" w:eastAsia="Arial" w:hAnsi="Arial"/>
          <w:sz w:val="15"/>
          <w:szCs w:val="15"/>
          <w:color w:val="auto"/>
        </w:rPr>
        <w:t>We occasionally acquire and renovate hotel properties, both directly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through partnerships and other business structures with third parties. This presents a number of risks, including that: (1) weakness in the capital markets may limit our ability, or that of third parties with whom we partner, to raise capital for completion of projects; (2) properties that we renovate could become less attractive due to decreases in demand for hotel properties, market absorption or oversupply, with the result that we may not be able to sell such properties for a profit or at the prices or time we anticipate, or we may be required to record additional impairment charges; and (3) construction delays or cost overruns, including those due to shortages or increased costs of skilled labor and/or materials, lender financial defaults, or so called “Acts of God” such as earthquakes, hurricanes, floods, or fires may increase project costs. We could face similar risks to the extent we undertake development activities again in the future.</w:t>
      </w:r>
    </w:p>
    <w:p>
      <w:pPr>
        <w:spacing w:after="0" w:line="96" w:lineRule="exact"/>
        <w:rPr>
          <w:sz w:val="20"/>
          <w:szCs w:val="20"/>
          <w:color w:val="auto"/>
        </w:rPr>
      </w:pPr>
    </w:p>
    <w:p>
      <w:pPr>
        <w:ind w:right="20" w:firstLine="395"/>
        <w:spacing w:after="0" w:line="284" w:lineRule="auto"/>
        <w:rPr>
          <w:sz w:val="20"/>
          <w:szCs w:val="20"/>
          <w:color w:val="auto"/>
        </w:rPr>
      </w:pPr>
      <w:r>
        <w:rPr>
          <w:rFonts w:ascii="Arial" w:cs="Arial" w:eastAsia="Arial" w:hAnsi="Arial"/>
          <w:sz w:val="16"/>
          <w:szCs w:val="16"/>
          <w:b w:val="1"/>
          <w:bCs w:val="1"/>
          <w:i w:val="1"/>
          <w:iCs w:val="1"/>
          <w:color w:val="auto"/>
        </w:rPr>
        <w:t>Our owned properties and other real estate investments subject us to numerous risks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a number of owned and leased properties, which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subject to the risks that generally relate to investments in real property. We may seek to sell some of these properties over time; however, equity real estate investments can be difficult to sell quickly and </w:t>
      </w:r>
      <w:r>
        <w:rPr>
          <w:rFonts w:ascii="Arial" w:cs="Arial" w:eastAsia="Arial" w:hAnsi="Arial"/>
          <w:sz w:val="17"/>
          <w:szCs w:val="17"/>
          <w:color w:val="auto"/>
        </w:rPr>
        <w:t>COVID-19</w:t>
      </w:r>
      <w:r>
        <w:rPr>
          <w:rFonts w:ascii="Arial" w:cs="Arial" w:eastAsia="Arial" w:hAnsi="Arial"/>
          <w:sz w:val="16"/>
          <w:szCs w:val="16"/>
          <w:color w:val="auto"/>
        </w:rPr>
        <w:t xml:space="preserve"> has disrupted the transaction markets for hospitality assets. We may not be able to complete asset sales at prices we find acceptable, or at all. Moreover, the investment returns available from equity investments in real estate depend in large part on the amount of income earned and capital appreciation generated, if any, by the related properties, and the expenses incurred. A variety of other factors also affect income from properties and real estate values, including local market conditions and new supply of hotels, availability and costs of staffing, governmental regulations, insurance, zoning, tax and eminent domain laws, interest rate levels,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and the availability of financing. Our real estate properties have been, and could in the future be, impacted by any of these factors, resulting in a material adverse impact on our results of operations or financial condition. If our properties continue to not generate revenue sufficient to meet operating expenses, including needed capital expenditures, our income could be further adversely affected and we could be required to record additional significant non-cash impairment charges to our results of operations.</w:t>
      </w:r>
    </w:p>
    <w:p>
      <w:pPr>
        <w:spacing w:after="0" w:line="138" w:lineRule="exact"/>
        <w:rPr>
          <w:sz w:val="20"/>
          <w:szCs w:val="20"/>
          <w:color w:val="auto"/>
        </w:rPr>
      </w:pPr>
    </w:p>
    <w:p>
      <w:pPr>
        <w:ind w:right="160" w:firstLine="395"/>
        <w:spacing w:after="0" w:line="302" w:lineRule="auto"/>
        <w:rPr>
          <w:sz w:val="20"/>
          <w:szCs w:val="20"/>
          <w:color w:val="auto"/>
        </w:rPr>
      </w:pPr>
      <w:r>
        <w:rPr>
          <w:rFonts w:ascii="Arial" w:cs="Arial" w:eastAsia="Arial" w:hAnsi="Arial"/>
          <w:sz w:val="15"/>
          <w:szCs w:val="15"/>
          <w:b w:val="1"/>
          <w:bCs w:val="1"/>
          <w:i w:val="1"/>
          <w:iCs w:val="1"/>
          <w:color w:val="auto"/>
        </w:rPr>
        <w:t xml:space="preserve">Risks associated with development and sale of residential properties associated with our lodging properties or brands may reduce our profits. </w:t>
      </w:r>
      <w:r>
        <w:rPr>
          <w:rFonts w:ascii="Arial" w:cs="Arial" w:eastAsia="Arial" w:hAnsi="Arial"/>
          <w:sz w:val="15"/>
          <w:szCs w:val="15"/>
          <w:color w:val="auto"/>
        </w:rPr>
        <w:t>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participate, through licensing agreements, in the development and sale of residential properties associated with our brands, including residences and condominiums under many of our luxury and premium brand names and trademarks. Such projects pose further risks beyond those generally associated with our lodging business, which may reduce our profits or compromise our brand equity, including risks that: (1) weakness in residential real estate and demand generally may reduce our profits and could make it more difficult to convince future project developers of the value added by our brands; (2) increases in interest rates, reductions in mortgage availability or the tax benefits of mortgage financing or residential ownership generally, or increases in the costs of residential ownership could prevent potential customers from buying residential products or reduce the prices they are willing to pay; and (3) residential construction may be subject to warranty and liability claims or claims related to purchaser deposits, and the costs of resolving such claims may be significant.</w:t>
      </w:r>
    </w:p>
    <w:p>
      <w:pPr>
        <w:spacing w:after="0" w:line="106" w:lineRule="exact"/>
        <w:rPr>
          <w:sz w:val="20"/>
          <w:szCs w:val="20"/>
          <w:color w:val="auto"/>
        </w:rPr>
      </w:pPr>
    </w:p>
    <w:p>
      <w:pPr>
        <w:ind w:right="20" w:firstLine="395"/>
        <w:spacing w:after="0" w:line="281" w:lineRule="auto"/>
        <w:rPr>
          <w:sz w:val="20"/>
          <w:szCs w:val="20"/>
          <w:color w:val="auto"/>
        </w:rPr>
      </w:pPr>
      <w:r>
        <w:rPr>
          <w:rFonts w:ascii="Arial" w:cs="Arial" w:eastAsia="Arial" w:hAnsi="Arial"/>
          <w:sz w:val="16"/>
          <w:szCs w:val="16"/>
          <w:b w:val="1"/>
          <w:bCs w:val="1"/>
          <w:i w:val="1"/>
          <w:iCs w:val="1"/>
          <w:color w:val="auto"/>
        </w:rPr>
        <w:t xml:space="preserve">More hotel projects in our development pipeline may be cancelled or delayed in opening, which could adversely affect our growth prospects. </w:t>
      </w:r>
      <w:r>
        <w:rPr>
          <w:rFonts w:ascii="Arial" w:cs="Arial" w:eastAsia="Arial" w:hAnsi="Arial"/>
          <w:sz w:val="16"/>
          <w:szCs w:val="16"/>
          <w:color w:val="auto"/>
        </w:rPr>
        <w:t>We report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significant number of hotels in our development pipeline, including hotels under construction, hotels subject to signed contracts, and hotels approved for development but not yet under contract. The eventual opening of such pipeline hotels and, in particular, the approved hotels that are not yet under contract, is subject to numerous risks, including the risks described above in the risk factors entitled “</w:t>
      </w:r>
      <w:r>
        <w:rPr>
          <w:rFonts w:ascii="Arial" w:cs="Arial" w:eastAsia="Arial" w:hAnsi="Arial"/>
          <w:sz w:val="16"/>
          <w:szCs w:val="16"/>
          <w:b w:val="1"/>
          <w:bCs w:val="1"/>
          <w:i w:val="1"/>
          <w:iCs w:val="1"/>
          <w:color w:val="auto"/>
        </w:rPr>
        <w:t>Our ability to grow our management and franchise systems is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subject to the range of risks associated with real estate investments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w:t>
      </w:r>
      <w:r>
        <w:rPr>
          <w:rFonts w:ascii="Arial" w:cs="Arial" w:eastAsia="Arial" w:hAnsi="Arial"/>
          <w:sz w:val="17"/>
          <w:szCs w:val="17"/>
          <w:i w:val="1"/>
          <w:iCs w:val="1"/>
          <w:color w:val="auto"/>
        </w:rPr>
        <w:t>COVID-19</w:t>
      </w:r>
      <w:r>
        <w:rPr>
          <w:rFonts w:ascii="Arial" w:cs="Arial" w:eastAsia="Arial" w:hAnsi="Arial"/>
          <w:sz w:val="16"/>
          <w:szCs w:val="16"/>
          <w:b w:val="1"/>
          <w:bCs w:val="1"/>
          <w:i w:val="1"/>
          <w:iCs w:val="1"/>
          <w:color w:val="auto"/>
        </w:rPr>
        <w:t xml:space="preserve"> has had a material detrimental impact on our business and financial results, and such impact could continue and may worsen for an unknown period of time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Risks Related to Growth</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seen construction timelines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pipeline hotels lengthen due to competition for skilled construction labor, disruption in the supply chain for materials, and the impact of </w:t>
      </w:r>
      <w:r>
        <w:rPr>
          <w:rFonts w:ascii="Arial" w:cs="Arial" w:eastAsia="Arial" w:hAnsi="Arial"/>
          <w:sz w:val="17"/>
          <w:szCs w:val="17"/>
          <w:color w:val="auto"/>
        </w:rPr>
        <w:t>COVID-19</w:t>
      </w:r>
      <w:r>
        <w:rPr>
          <w:rFonts w:ascii="Arial" w:cs="Arial" w:eastAsia="Arial" w:hAnsi="Arial"/>
          <w:sz w:val="16"/>
          <w:szCs w:val="16"/>
          <w:color w:val="auto"/>
        </w:rPr>
        <w:t xml:space="preserve"> generally, and these circumstances could continue or worsen in the future. Accordingly, we cannot assure you that all of our development pipeline will result in new hotels entering our system, or that those hotels will open when we anticipate.</w:t>
      </w:r>
    </w:p>
    <w:p>
      <w:pPr>
        <w:spacing w:after="0" w:line="113"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b w:val="1"/>
          <w:bCs w:val="1"/>
          <w:i w:val="1"/>
          <w:iCs w:val="1"/>
          <w:color w:val="auto"/>
        </w:rPr>
        <w:t xml:space="preserve">Losses on loans or loan guarantees that we have made to third parties impact our profits. </w:t>
      </w:r>
      <w:r>
        <w:rPr>
          <w:rFonts w:ascii="Arial" w:cs="Arial" w:eastAsia="Arial" w:hAnsi="Arial"/>
          <w:sz w:val="16"/>
          <w:szCs w:val="16"/>
          <w:color w:val="auto"/>
        </w:rPr>
        <w:t>At times, we make loans for hotel development, acquisition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renovation expenditures when we enter into or amend management or franchise agreements. From time to time we also provide third-party lenders with financial guarantees for the timely repayment of all or a portion of debt related to hotels that we manage or franchise, generally subject to an obligation that the owner reimburse us for any fundings. We have suffered losses, and could suffer losses in the future, when hotel owners or franchisees default on loans that we provide or fail to reimburse us for loan guarantees that we have funded.</w:t>
      </w:r>
    </w:p>
    <w:p>
      <w:pPr>
        <w:spacing w:after="0" w:line="111" w:lineRule="exact"/>
        <w:rPr>
          <w:sz w:val="20"/>
          <w:szCs w:val="20"/>
          <w:color w:val="auto"/>
        </w:rPr>
      </w:pPr>
    </w:p>
    <w:p>
      <w:pPr>
        <w:ind w:firstLine="395"/>
        <w:spacing w:after="0" w:line="282" w:lineRule="auto"/>
        <w:rPr>
          <w:sz w:val="20"/>
          <w:szCs w:val="20"/>
          <w:color w:val="auto"/>
        </w:rPr>
      </w:pPr>
      <w:r>
        <w:rPr>
          <w:rFonts w:ascii="Arial" w:cs="Arial" w:eastAsia="Arial" w:hAnsi="Arial"/>
          <w:sz w:val="16"/>
          <w:szCs w:val="16"/>
          <w:b w:val="1"/>
          <w:bCs w:val="1"/>
          <w:i w:val="1"/>
          <w:iCs w:val="1"/>
          <w:color w:val="auto"/>
        </w:rPr>
        <w:t xml:space="preserve">If owners of hotels that we manage or franchise cannot repay or refinance mortgage loans secured by their properties, our revenues and profits could decrease and our business could be harmed. </w:t>
      </w:r>
      <w:r>
        <w:rPr>
          <w:rFonts w:ascii="Arial" w:cs="Arial" w:eastAsia="Arial" w:hAnsi="Arial"/>
          <w:sz w:val="16"/>
          <w:szCs w:val="16"/>
          <w:color w:val="auto"/>
        </w:rPr>
        <w:t>The owners of many of our managed or franchised properties have pledged their hotels as collateral for mortgage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loans that they entered into when those properties were purchased or refinanced. If those owners cannot repay or refinance maturing indebtedness on favorable terms or at all, the lenders could declare a default, accelerate the related debt, and foreclose on the property, or the owners could declare bankruptcy, as we have seen in the past and could see in the future. Such foreclosures or bankruptcies have in the past and could in the future, in some cases, result in the termination of our management or franchise agreements and eliminate our anticipated income and cash flows, which could have a significant negative effect our results of operations.</w:t>
      </w:r>
    </w:p>
    <w:p>
      <w:pPr>
        <w:spacing w:after="0" w:line="118" w:lineRule="exact"/>
        <w:rPr>
          <w:sz w:val="20"/>
          <w:szCs w:val="20"/>
          <w:color w:val="auto"/>
        </w:rPr>
      </w:pPr>
    </w:p>
    <w:p>
      <w:pPr>
        <w:ind w:firstLine="395"/>
        <w:spacing w:after="0" w:line="279" w:lineRule="auto"/>
        <w:rPr>
          <w:sz w:val="20"/>
          <w:szCs w:val="20"/>
          <w:color w:val="auto"/>
        </w:rPr>
      </w:pPr>
      <w:r>
        <w:rPr>
          <w:rFonts w:ascii="Arial" w:cs="Arial" w:eastAsia="Arial" w:hAnsi="Arial"/>
          <w:sz w:val="16"/>
          <w:szCs w:val="16"/>
          <w:b w:val="1"/>
          <w:bCs w:val="1"/>
          <w:i w:val="1"/>
          <w:iCs w:val="1"/>
          <w:color w:val="auto"/>
        </w:rPr>
        <w:t xml:space="preserve">Changes affecting the availability of the London Interbank Offered Rate (“LIBOR”) may have consequences that we cannot yet reasonably predict. </w:t>
      </w:r>
      <w:r>
        <w:rPr>
          <w:rFonts w:ascii="Arial" w:cs="Arial" w:eastAsia="Arial" w:hAnsi="Arial"/>
          <w:sz w:val="16"/>
          <w:szCs w:val="16"/>
          <w:color w:val="auto"/>
        </w:rPr>
        <w:t>We are a party to various agreements and other instruments where obligations by or to us are calculated based on or otherwise dependent on LIBOR. In July 2017, the U.K. Financial Conduct Authority announced that it intends to stop persuading or compelling banks to submit rates for calculation of LIBOR as early as the end of 2021. As a result, LIBOR may perform differently than in the past and may ultimately cease to be utilized or to exist, either during or after 2021. Alternative benchmark rate(s) may replace LIBOR and could affect our agreements that reference LIBOR, not all of which contain alternative rate provisions. Certain of our agreements reference LIBOR, including for example, our Credit Facility and certain other financial agreements like loans, guaranties, and derivatives. At this time, it is difficult for us to predict the effect of any changes to LIBOR, any phase out of LIBOR, or any establishment of alternative benchmark rates to replace LIBOR. There is uncertainty about how we, the financial markets, applicable law and the courts will address the replacement of LIBOR with alternative benchmark rates for contracts that do not include fallback provisions to provide for such alternative benchmark rates. In addition, any changes from LIBOR to an alternative benchmark rate may have an uncertain impact on our cost of funds, our receipts or payments under agreements that reference LIBOR, and the valuation of derivative or other contracts to which we are a party, any of which could impact our results of operations and cash flows.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Technology, Information Protection, and Privacy Risks</w:t>
      </w:r>
    </w:p>
    <w:p>
      <w:pPr>
        <w:spacing w:after="0" w:line="161" w:lineRule="exact"/>
        <w:rPr>
          <w:sz w:val="20"/>
          <w:szCs w:val="20"/>
          <w:color w:val="auto"/>
        </w:rPr>
      </w:pPr>
    </w:p>
    <w:p>
      <w:pPr>
        <w:ind w:right="20" w:firstLine="395"/>
        <w:spacing w:after="0" w:line="284" w:lineRule="auto"/>
        <w:rPr>
          <w:sz w:val="20"/>
          <w:szCs w:val="20"/>
          <w:color w:val="auto"/>
        </w:rPr>
      </w:pPr>
      <w:r>
        <w:rPr>
          <w:rFonts w:ascii="Arial" w:cs="Arial" w:eastAsia="Arial" w:hAnsi="Arial"/>
          <w:sz w:val="16"/>
          <w:szCs w:val="16"/>
          <w:b w:val="1"/>
          <w:bCs w:val="1"/>
          <w:i w:val="1"/>
          <w:iCs w:val="1"/>
          <w:color w:val="auto"/>
        </w:rPr>
        <w:t xml:space="preserve">Any disruption in the functioning of our reservation systems could adversely affect our performance and results. </w:t>
      </w:r>
      <w:r>
        <w:rPr>
          <w:rFonts w:ascii="Arial" w:cs="Arial" w:eastAsia="Arial" w:hAnsi="Arial"/>
          <w:sz w:val="16"/>
          <w:szCs w:val="16"/>
          <w:color w:val="auto"/>
        </w:rPr>
        <w:t>We manage global reservation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systems that communicate reservations to our hotels from individuals who book reservations directly with us online, through our mobile apps, through our telephone call centers, or through intermediaries like travel agents, Internet travel websites, and other distribution channels. The cost, speed, accuracy and efficiency of our reservation systems are critical aspects of our business and are important considerations for hotel owners when choosing our brands. Our business may suffer if we fail to maintain, upgrade, or prevent disruption to our reservation systems. Disruptions in or changes to our reservation systems could result in a disruption to our business and the loss of important data.</w:t>
      </w:r>
    </w:p>
    <w:p>
      <w:pPr>
        <w:spacing w:after="0" w:line="115" w:lineRule="exact"/>
        <w:rPr>
          <w:sz w:val="20"/>
          <w:szCs w:val="20"/>
          <w:color w:val="auto"/>
        </w:rPr>
      </w:pPr>
    </w:p>
    <w:p>
      <w:pPr>
        <w:ind w:right="40" w:firstLine="395"/>
        <w:spacing w:after="0" w:line="284" w:lineRule="auto"/>
        <w:rPr>
          <w:sz w:val="20"/>
          <w:szCs w:val="20"/>
          <w:color w:val="auto"/>
        </w:rPr>
      </w:pPr>
      <w:r>
        <w:rPr>
          <w:rFonts w:ascii="Arial" w:cs="Arial" w:eastAsia="Arial" w:hAnsi="Arial"/>
          <w:sz w:val="16"/>
          <w:szCs w:val="16"/>
          <w:b w:val="1"/>
          <w:bCs w:val="1"/>
          <w:i w:val="1"/>
          <w:iCs w:val="1"/>
          <w:color w:val="auto"/>
        </w:rPr>
        <w:t xml:space="preserve">A failure to keep pace with developments in technology could impair our operations or competitive position. </w:t>
      </w:r>
      <w:r>
        <w:rPr>
          <w:rFonts w:ascii="Arial" w:cs="Arial" w:eastAsia="Arial" w:hAnsi="Arial"/>
          <w:sz w:val="16"/>
          <w:szCs w:val="16"/>
          <w:color w:val="auto"/>
        </w:rPr>
        <w:t>The lodging industry continues to demand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use of sophisticated technology and systems, including those used for our reservation, revenue management, property management, human resources and payroll systems, our Loyalty Program, and technologies we make available to our guests and for our associates. These technologies and systems must be refined, updated, and/or replaced with more advanced systems on a regular basis, and our business could suffer if we cannot do that as quickly or effectively as our competitors or within budgeted costs and time frames. We also may not achieve the benefits that we anticipate from any new technology or system, and a failure to do so could result in higher than anticipated costs or could impair our operating results.</w:t>
      </w:r>
    </w:p>
    <w:p>
      <w:pPr>
        <w:spacing w:after="0" w:line="115" w:lineRule="exact"/>
        <w:rPr>
          <w:sz w:val="20"/>
          <w:szCs w:val="20"/>
          <w:color w:val="auto"/>
        </w:rPr>
      </w:pPr>
    </w:p>
    <w:p>
      <w:pPr>
        <w:ind w:firstLine="395"/>
        <w:spacing w:after="0" w:line="299" w:lineRule="auto"/>
        <w:rPr>
          <w:sz w:val="20"/>
          <w:szCs w:val="20"/>
          <w:color w:val="auto"/>
        </w:rPr>
      </w:pPr>
      <w:r>
        <w:rPr>
          <w:rFonts w:ascii="Arial" w:cs="Arial" w:eastAsia="Arial" w:hAnsi="Arial"/>
          <w:sz w:val="15"/>
          <w:szCs w:val="15"/>
          <w:b w:val="1"/>
          <w:bCs w:val="1"/>
          <w:i w:val="1"/>
          <w:iCs w:val="1"/>
          <w:color w:val="auto"/>
        </w:rPr>
        <w:t xml:space="preserve">We are exposed to risks and costs associated with protecting the integrity and security of Company, associate, and guest data. </w:t>
      </w:r>
      <w:r>
        <w:rPr>
          <w:rFonts w:ascii="Arial" w:cs="Arial" w:eastAsia="Arial" w:hAnsi="Arial"/>
          <w:sz w:val="15"/>
          <w:szCs w:val="15"/>
          <w:color w:val="auto"/>
        </w:rPr>
        <w:t>In the operation of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business, we collect, store, use, and transmit large volumes of data regarding associates, guests, customers, owners, licensees, franchisees, and our own business operations, including credit card numbers, reservation and loyalty data, and other personal information, in various information systems that we maintain and in systems maintained by third parties, including our owners, franchisees, licensees, and service providers. The integrity and protection of this data is critical to our business. Our guests and associates also have a high expectation that we, as well as our owners, franchisees, licensees, and service providers, will adequately protect and appropriately use their personal information. The information, security, and privacy requirements imposed by laws and governmental regulation, our contractual obligations, and the requirements of the payment card industry are also becoming more stringent in many jurisdictions in which we operate. Our systems and the systems maintained or used by our owners, franchisees, licensees, and service providers may not be able to satisfy these changing legal and regulatory requirements and associate and guest expectations, or may require significant additional investments or time to do so. We may incur significant additional costs to meet these requirements, obligations, and expectations, and in the event of alleged or actual noncompliance, we may experience increased operating costs, increased exposure to fines and litigation, and increased risk of damage to our reputation and brand.</w:t>
      </w:r>
    </w:p>
    <w:p>
      <w:pPr>
        <w:spacing w:after="0" w:line="110" w:lineRule="exact"/>
        <w:rPr>
          <w:sz w:val="20"/>
          <w:szCs w:val="20"/>
          <w:color w:val="auto"/>
        </w:rPr>
      </w:pPr>
    </w:p>
    <w:p>
      <w:pPr>
        <w:ind w:right="20" w:firstLine="395"/>
        <w:spacing w:after="0" w:line="296" w:lineRule="auto"/>
        <w:rPr>
          <w:sz w:val="20"/>
          <w:szCs w:val="20"/>
          <w:color w:val="auto"/>
        </w:rPr>
      </w:pPr>
      <w:r>
        <w:rPr>
          <w:rFonts w:ascii="Arial" w:cs="Arial" w:eastAsia="Arial" w:hAnsi="Arial"/>
          <w:sz w:val="15"/>
          <w:szCs w:val="15"/>
          <w:b w:val="1"/>
          <w:bCs w:val="1"/>
          <w:i w:val="1"/>
          <w:iCs w:val="1"/>
          <w:color w:val="auto"/>
        </w:rPr>
        <w:t xml:space="preserve">The Data Security Incident, and other information security incidents, could have numerous adverse effects on our business. </w:t>
      </w:r>
      <w:r>
        <w:rPr>
          <w:rFonts w:ascii="Arial" w:cs="Arial" w:eastAsia="Arial" w:hAnsi="Arial"/>
          <w:sz w:val="15"/>
          <w:szCs w:val="15"/>
          <w:color w:val="auto"/>
        </w:rPr>
        <w:t>As a result of the Data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Security Incident, we are a party to or have been named as a defendant in numerous lawsuits, primarily putative class actions, brought by consumers and others in the U.S. and Canada, one securities class action lawsuit in the U.S., three shareholder derivative lawsuits in the U.S., and one purported representative action brought by a purported consumer class in the U.K. We may be named as a party in additional lawsuits and other claims may be asserted by or on behalf of guests, customers, hotel owners, stockholders or others seeking monetary damages or other relief related to the Data Security Incident. A number of federal, state and foreign governmental authorities have also made inquiries, opened investigations, or requested information and/or documents related to the Data Security Incident, including under various data protection and privacy regulations. Responding to and resolving these lawsuits, claims and/or investigations has resulted in fines, such as the fine imposed by the Information Commissioner’s Office in the United Kingdom (the “ICO”) as discussed in Note 8, and could result in material additional fines or remedial or other expenses. These fines and other expenses may not be covered by insurance. Governmental authorities investigating or seeking information about the Data Security Incident also may seek to impose undertakings, injunctive relief, consent decrees, or other civil or criminal penalties, which could, among other things, materially increase our data security costs or otherwise require us to alter how we operate our business. Significant management time and Company resources have been, and will continue to be, devoted to the Data Security Incident. Future publicity or developments related to the Data Security Incident, including as a result of subsequent reports or regulatory actions or developments, could have a range of other adverse effects on our business or prospects, including causing or contributing to loss of consumer confidence, reduced consumer demand, reduced enrollment and/or participation in our Loyalty Program, loss of development opportunities, and associate retention and recruiting difficulties. Insurance coverage designed to limit our exposure to losses such as those related to the Data Security Incident may not be sufficient or available to cover all of our expenses or other losses (including the final fine imposed by the ICO and any other fines or penalties) related to the Data Security Incident. In addition, following our March 31, 2020 announcement of an incident involving information for approximately 5.5 million guests that we believe may have been improperly accessed through an application using the login credentials of two franchise employees at a franchise property (the “Unauthorized Application Access Incident”), various governmental authorities opened investigations or requested information about the incident, and two lawsuits were filed against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us related to the incident. The Unauthorized Application Access Incident or publicity related to it could negatively affect our business or reputation.</w:t>
      </w:r>
    </w:p>
    <w:p>
      <w:pPr>
        <w:spacing w:after="0" w:line="184" w:lineRule="exact"/>
        <w:rPr>
          <w:sz w:val="20"/>
          <w:szCs w:val="20"/>
          <w:color w:val="auto"/>
        </w:rPr>
      </w:pPr>
    </w:p>
    <w:p>
      <w:pPr>
        <w:ind w:firstLine="395"/>
        <w:spacing w:after="0" w:line="296" w:lineRule="auto"/>
        <w:rPr>
          <w:sz w:val="20"/>
          <w:szCs w:val="20"/>
          <w:color w:val="auto"/>
        </w:rPr>
      </w:pPr>
      <w:r>
        <w:rPr>
          <w:rFonts w:ascii="Arial" w:cs="Arial" w:eastAsia="Arial" w:hAnsi="Arial"/>
          <w:sz w:val="15"/>
          <w:szCs w:val="15"/>
          <w:b w:val="1"/>
          <w:bCs w:val="1"/>
          <w:i w:val="1"/>
          <w:iCs w:val="1"/>
          <w:color w:val="auto"/>
        </w:rPr>
        <w:t xml:space="preserve">Additional cybersecurity incidents could have adverse effects on our business. </w:t>
      </w:r>
      <w:r>
        <w:rPr>
          <w:rFonts w:ascii="Arial" w:cs="Arial" w:eastAsia="Arial" w:hAnsi="Arial"/>
          <w:sz w:val="15"/>
          <w:szCs w:val="15"/>
          <w:color w:val="auto"/>
        </w:rPr>
        <w:t>We have implemented security measures to safeguard our systems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data, and we intend to continue implementing additional measures in the future, but, as we have seen in the past, our measures may not be sufficient to maintain the confidentiality, security, or availability of the data we collect, store, and use to operate our business. Measures taken by our service providers or our owners, franchisees, licensees, other business partners or their service providers also may not be sufficient. Efforts to hack or circumvent security measures, efforts to gain unauthorized access to, exploit or disrupt the operation or integrity of our data or systems, failures of systems or software to operate as designed or intended, viruses, “ransomware” or other malware, “supply chain” attacks, “phishing” or other types of business communications compromises, operator error, or inadvertent releases of data have impacted, and may in the future impact, our information systems and records or those of our owners, franchisees, licensees, other business partners, or service providers. Our reliance on computer, Internet-based, and mobile systems and communications, and the frequency and sophistication of efforts by third parties to gain unauthorized access or prevent authorized access to such systems, have greatly increased in recent years. Our increased reliance on cloud-based services and on remote access to information systems in response to </w:t>
      </w:r>
      <w:r>
        <w:rPr>
          <w:rFonts w:ascii="Arial" w:cs="Arial" w:eastAsia="Arial" w:hAnsi="Arial"/>
          <w:sz w:val="16"/>
          <w:szCs w:val="16"/>
          <w:color w:val="auto"/>
        </w:rPr>
        <w:t>COVID-19</w:t>
      </w:r>
      <w:r>
        <w:rPr>
          <w:rFonts w:ascii="Arial" w:cs="Arial" w:eastAsia="Arial" w:hAnsi="Arial"/>
          <w:sz w:val="15"/>
          <w:szCs w:val="15"/>
          <w:color w:val="auto"/>
        </w:rPr>
        <w:t xml:space="preserve"> increases the Company’s exposure to potential cybersecurity incidents. We have experienced cyberattacks, attempts to disrupt access to our systems and data, and attempts to affect the operation or integrity of our data or systems, and the frequency and sophistication of such efforts could continue to increase. Any additional significant theft of, unauthorized access to, compromise or loss of, loss of access to, or fraudulent use of guest, associate, owner, franchisee, licensee, or Company data could adversely impact our reputation and could result in legal, regulatory and other consequences, including remedial and other expenses, fines, or litigation. Depending on the nature and scope of the event, future compromises in the security of our information systems or those of our owners, franchisees, licensees, other business partners, or service providers or other future disruptions or compromises of data or systems could lead to an interruption in or other adverse effects on the operation of our systems or those of our owners, franchisees, licensees, other business partners, or service providers, resulting in operational inefficiencies and a loss of profits, and could result in negative publicity and other adverse effects on our business, including lost sales, loss of consumer confidence, boycotts, reduced enrollment and/or participation in our Loyalty Program, litigation, loss of development opportunities, or associate satisfaction, retention and recruiting difficulties, all of which could materially affect our market share, reputation, business, financial condition, or results of operations.</w:t>
      </w:r>
    </w:p>
    <w:p>
      <w:pPr>
        <w:spacing w:after="0" w:line="326" w:lineRule="exact"/>
        <w:rPr>
          <w:sz w:val="20"/>
          <w:szCs w:val="20"/>
          <w:color w:val="auto"/>
        </w:rPr>
      </w:pPr>
    </w:p>
    <w:p>
      <w:pPr>
        <w:ind w:right="40" w:firstLine="395"/>
        <w:spacing w:after="0" w:line="280" w:lineRule="auto"/>
        <w:rPr>
          <w:sz w:val="20"/>
          <w:szCs w:val="20"/>
          <w:color w:val="auto"/>
        </w:rPr>
      </w:pPr>
      <w:r>
        <w:rPr>
          <w:rFonts w:ascii="Arial" w:cs="Arial" w:eastAsia="Arial" w:hAnsi="Arial"/>
          <w:sz w:val="16"/>
          <w:szCs w:val="16"/>
          <w:color w:val="auto"/>
        </w:rPr>
        <w:t>Because we have experienced cybersecurity incidents in the past, additional incidents or the failure to detect and appropriately respond to additional incidents could magnify the severity of the adverse effects on our business. The techniques used to obtain unauthorized access, disable or degrade service, or sabotage information systems change frequently, can be difficult to detect for long periods of time, and can involve difficult or prolonged assessment or remediation periods even once detected, which could also magnify the severity of these adverse effects. We cannot assure you that all potential causes of past significant incidents have been identified and remediated; additional measures may be needed to prevent significant incidents in the future. The steps we take may not be sufficient to prevent future significant incidents and as a result, such incidents may occur again. Although we carry cyber insurance that is designed to protect us against certain losses related to cyber risks, that insurance coverage may not be sufficient or available to cover all expenses or other losses (including fines) or all types of claims that may arise in connection with cyberattacks, security compromises, and other related incidents. Furthermore, in the future such insurance may not be available on commercially reasonable terms, or at all.</w:t>
      </w:r>
    </w:p>
    <w:p>
      <w:pPr>
        <w:spacing w:after="0" w:line="121" w:lineRule="exact"/>
        <w:rPr>
          <w:sz w:val="20"/>
          <w:szCs w:val="20"/>
          <w:color w:val="auto"/>
        </w:rPr>
      </w:pPr>
    </w:p>
    <w:p>
      <w:pPr>
        <w:ind w:right="20" w:firstLine="395"/>
        <w:spacing w:after="0" w:line="280" w:lineRule="auto"/>
        <w:rPr>
          <w:sz w:val="20"/>
          <w:szCs w:val="20"/>
          <w:color w:val="auto"/>
        </w:rPr>
      </w:pPr>
      <w:r>
        <w:rPr>
          <w:rFonts w:ascii="Arial" w:cs="Arial" w:eastAsia="Arial" w:hAnsi="Arial"/>
          <w:sz w:val="16"/>
          <w:szCs w:val="16"/>
          <w:b w:val="1"/>
          <w:bCs w:val="1"/>
          <w:i w:val="1"/>
          <w:iCs w:val="1"/>
          <w:color w:val="auto"/>
        </w:rPr>
        <w:t xml:space="preserve">Changes in privacy and data security laws could increase our operating costs and increase our exposure to fines and litigation. </w:t>
      </w:r>
      <w:r>
        <w:rPr>
          <w:rFonts w:ascii="Arial" w:cs="Arial" w:eastAsia="Arial" w:hAnsi="Arial"/>
          <w:sz w:val="16"/>
          <w:szCs w:val="16"/>
          <w:color w:val="auto"/>
        </w:rPr>
        <w:t>We are subject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numerous, complex, and frequently changing laws, regulations, and contractual obligations designed to protect personal information. Non-U.S. data privacy and data security laws, various U.S. federal and state laws, payment card industry security standards, and other information privacy and security standards are all applicable to us. Significant legislative, judicial, or regulatory changes could be issued in the future. Compliance with changes in applicable data privacy laws and regulations and contractual obligations, including responding to investigations into our compliance, may restrict our business operations, increase our operating costs, increase our exposure to fines and litigation in the event of alleged non-compliance, and adversely affect our reputation. Following the Data Security Incident, certain regulators also opened investigations into our privacy and security policies and practices. As a result of these investigations, we could be exposed to significant fines and remediation costs in addition to those imposed as a result of the Data Security Incident, and adverse publicity related to the investigations could adversely affect our reputation.</w:t>
      </w:r>
    </w:p>
    <w:p>
      <w:pPr>
        <w:spacing w:after="0" w:line="121" w:lineRule="exact"/>
        <w:rPr>
          <w:sz w:val="20"/>
          <w:szCs w:val="20"/>
          <w:color w:val="auto"/>
        </w:rPr>
      </w:pPr>
    </w:p>
    <w:p>
      <w:pPr>
        <w:ind w:firstLine="395"/>
        <w:spacing w:after="0" w:line="284" w:lineRule="auto"/>
        <w:rPr>
          <w:sz w:val="20"/>
          <w:szCs w:val="20"/>
          <w:color w:val="auto"/>
        </w:rPr>
      </w:pPr>
      <w:r>
        <w:rPr>
          <w:rFonts w:ascii="Arial" w:cs="Arial" w:eastAsia="Arial" w:hAnsi="Arial"/>
          <w:sz w:val="16"/>
          <w:szCs w:val="16"/>
          <w:b w:val="1"/>
          <w:bCs w:val="1"/>
          <w:i w:val="1"/>
          <w:iCs w:val="1"/>
          <w:color w:val="auto"/>
        </w:rPr>
        <w:t xml:space="preserve">Changes in laws could adversely affect our ability to market our products effectively. </w:t>
      </w:r>
      <w:r>
        <w:rPr>
          <w:rFonts w:ascii="Arial" w:cs="Arial" w:eastAsia="Arial" w:hAnsi="Arial"/>
          <w:sz w:val="16"/>
          <w:szCs w:val="16"/>
          <w:color w:val="auto"/>
        </w:rPr>
        <w:t>We rely on a variety of direct marketing techniques,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email marketing, online advertising, and postal mailings. Any further restrictions in laws such as the CANSPAM Act, and various U.S. state laws, or new federal or state laws on marketing and solicitation or international privacy, e-privacy, and anti-spam laws that govern these activities could adversely affect the continuing effectiveness of email, online advertising, and postal mailing techniques and could force further changes in our marketing strategy. If this occurs, we may not be able to develop adequate alternative marketing strategies, which could impact the amount and timing of our sales of certain products. We also obtain access to potential guests and customers from travel service providers or other companies with</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60"/>
        <w:spacing w:after="0" w:line="252" w:lineRule="auto"/>
        <w:rPr>
          <w:sz w:val="20"/>
          <w:szCs w:val="20"/>
          <w:color w:val="auto"/>
        </w:rPr>
      </w:pPr>
      <w:r>
        <w:rPr>
          <w:rFonts w:ascii="Arial" w:cs="Arial" w:eastAsia="Arial" w:hAnsi="Arial"/>
          <w:sz w:val="18"/>
          <w:szCs w:val="18"/>
          <w:color w:val="auto"/>
        </w:rPr>
        <w:t>whom we have substantial relationships, and we market to some individuals on these lists directly or by including our marketing message in the other companies’ marketing materials. If access to these lists were to be prohibited or otherwise restricted, our ability to develop new guests and customers and introduce them to our products could be impaired.</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Governance Risk</w:t>
      </w:r>
    </w:p>
    <w:p>
      <w:pPr>
        <w:spacing w:after="0" w:line="161"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b w:val="1"/>
          <w:bCs w:val="1"/>
          <w:i w:val="1"/>
          <w:iCs w:val="1"/>
          <w:color w:val="auto"/>
        </w:rPr>
        <w:t xml:space="preserve">Delaware law and our governing corporate documents contain, and our Board of Directors could implement, anti-takeover provisions that could deter takeover attempts. </w:t>
      </w:r>
      <w:r>
        <w:rPr>
          <w:rFonts w:ascii="Arial" w:cs="Arial" w:eastAsia="Arial" w:hAnsi="Arial"/>
          <w:sz w:val="16"/>
          <w:szCs w:val="16"/>
          <w:color w:val="auto"/>
        </w:rPr>
        <w:t>Under the Delaware business combination statute, a stockholder holding 15 percent or more of our outstanding voting stock could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acquire us without Board of Directors consent for at least three years after the date the stockholder first held 15 percent or more of the voting stock. Our governing corporate documents also, among other things, require supermajority votes for mergers and similar transactions. In addition, our Board of Directors could, without stockholder approval, implement other anti-takeover defenses, such as a stockholder rights plan.</w:t>
      </w:r>
    </w:p>
    <w:p>
      <w:pPr>
        <w:spacing w:after="0" w:line="10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5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161" w:lineRule="exact"/>
        <w:rPr>
          <w:sz w:val="20"/>
          <w:szCs w:val="20"/>
          <w:color w:val="auto"/>
        </w:rPr>
      </w:pPr>
    </w:p>
    <w:p>
      <w:pPr>
        <w:ind w:right="60" w:firstLine="395"/>
        <w:spacing w:after="0" w:line="293" w:lineRule="auto"/>
        <w:rPr>
          <w:sz w:val="20"/>
          <w:szCs w:val="20"/>
          <w:color w:val="auto"/>
        </w:rPr>
      </w:pPr>
      <w:r>
        <w:rPr>
          <w:rFonts w:ascii="Arial" w:cs="Arial" w:eastAsia="Arial" w:hAnsi="Arial"/>
          <w:sz w:val="16"/>
          <w:szCs w:val="16"/>
          <w:color w:val="auto"/>
        </w:rPr>
        <w:t>We describe our company-operated properties in Part I, Item 1. “</w:t>
      </w:r>
      <w:r>
        <w:rPr>
          <w:rFonts w:ascii="Arial" w:cs="Arial" w:eastAsia="Arial" w:hAnsi="Arial"/>
          <w:sz w:val="16"/>
          <w:szCs w:val="16"/>
          <w:b w:val="1"/>
          <w:bCs w:val="1"/>
          <w:color w:val="auto"/>
        </w:rPr>
        <w:t>Business</w:t>
      </w:r>
      <w:r>
        <w:rPr>
          <w:rFonts w:ascii="Arial" w:cs="Arial" w:eastAsia="Arial" w:hAnsi="Arial"/>
          <w:sz w:val="16"/>
          <w:szCs w:val="16"/>
          <w:color w:val="auto"/>
        </w:rPr>
        <w:t>” earlier in this report, and under the “</w:t>
      </w:r>
      <w:r>
        <w:rPr>
          <w:rFonts w:ascii="Arial" w:cs="Arial" w:eastAsia="Arial" w:hAnsi="Arial"/>
          <w:sz w:val="16"/>
          <w:szCs w:val="16"/>
          <w:b w:val="1"/>
          <w:bCs w:val="1"/>
          <w:color w:val="auto"/>
        </w:rPr>
        <w:t>Properties and Rooms</w:t>
      </w:r>
      <w:r>
        <w:rPr>
          <w:rFonts w:ascii="Arial" w:cs="Arial" w:eastAsia="Arial" w:hAnsi="Arial"/>
          <w:sz w:val="16"/>
          <w:szCs w:val="16"/>
          <w:color w:val="auto"/>
        </w:rPr>
        <w:t>” caption in Part II, Item 7. “</w:t>
      </w:r>
      <w:r>
        <w:rPr>
          <w:rFonts w:ascii="Arial" w:cs="Arial" w:eastAsia="Arial" w:hAnsi="Arial"/>
          <w:sz w:val="16"/>
          <w:szCs w:val="16"/>
          <w:b w:val="1"/>
          <w:bCs w:val="1"/>
          <w:color w:val="auto"/>
        </w:rPr>
        <w:t>Management’s Discussion and Analysis of Financial Condition and Results of Operations</w:t>
      </w:r>
      <w:r>
        <w:rPr>
          <w:rFonts w:ascii="Arial" w:cs="Arial" w:eastAsia="Arial" w:hAnsi="Arial"/>
          <w:sz w:val="16"/>
          <w:szCs w:val="16"/>
          <w:color w:val="auto"/>
        </w:rPr>
        <w:t>.” We believe our owned and leased properties are in generally good physical condition with the need for only routine repairs and maintenance and periodic capital improvements. Most of our regional offices, reservation centers, and sales offices, as well as our corporate headquarters, are in leased facilities, both domestically and internationally.</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December 31, 2020, we owned or leased the following hotel properties:</w:t>
      </w:r>
    </w:p>
    <w:p>
      <w:pPr>
        <w:spacing w:after="0" w:line="191" w:lineRule="exact"/>
        <w:rPr>
          <w:sz w:val="20"/>
          <w:szCs w:val="20"/>
          <w:color w:val="auto"/>
        </w:rPr>
      </w:pPr>
    </w:p>
    <w:tbl>
      <w:tblPr>
        <w:tblLayout w:type="fixed"/>
        <w:tblInd w:w="400" w:type="dxa"/>
        <w:tblCellMar>
          <w:top w:w="0" w:type="dxa"/>
          <w:left w:w="0" w:type="dxa"/>
          <w:bottom w:w="0" w:type="dxa"/>
          <w:right w:w="0" w:type="dxa"/>
        </w:tblCellMar>
      </w:tblPr>
      <w:tr>
        <w:trPr>
          <w:trHeight w:val="188"/>
        </w:trPr>
        <w:tc>
          <w:tcPr>
            <w:tcW w:w="61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Properties</w:t>
            </w:r>
          </w:p>
        </w:tc>
        <w:tc>
          <w:tcPr>
            <w:tcW w:w="440" w:type="dxa"/>
            <w:vAlign w:val="bottom"/>
            <w:tcBorders>
              <w:bottom w:val="single" w:sz="8" w:color="CCEEFF"/>
            </w:tcBorders>
          </w:tcPr>
          <w:p>
            <w:pPr>
              <w:spacing w:after="0"/>
              <w:rPr>
                <w:sz w:val="16"/>
                <w:szCs w:val="16"/>
                <w:color w:val="auto"/>
              </w:rPr>
            </w:pPr>
          </w:p>
        </w:tc>
        <w:tc>
          <w:tcPr>
            <w:tcW w:w="26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Location</w:t>
            </w:r>
          </w:p>
        </w:tc>
        <w:tc>
          <w:tcPr>
            <w:tcW w:w="4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Rooms</w:t>
            </w:r>
          </w:p>
        </w:tc>
      </w:tr>
      <w:tr>
        <w:trPr>
          <w:trHeight w:val="341"/>
        </w:trPr>
        <w:tc>
          <w:tcPr>
            <w:tcW w:w="6540" w:type="dxa"/>
            <w:vAlign w:val="bottom"/>
            <w:gridSpan w:val="2"/>
            <w:shd w:val="clear" w:color="auto" w:fill="CCEEFF"/>
          </w:tcPr>
          <w:p>
            <w:pPr>
              <w:ind w:left="420"/>
              <w:spacing w:after="0"/>
              <w:rPr>
                <w:sz w:val="20"/>
                <w:szCs w:val="20"/>
                <w:color w:val="auto"/>
              </w:rPr>
            </w:pPr>
            <w:r>
              <w:rPr>
                <w:rFonts w:ascii="Arial" w:cs="Arial" w:eastAsia="Arial" w:hAnsi="Arial"/>
                <w:sz w:val="14"/>
                <w:szCs w:val="14"/>
                <w:i w:val="1"/>
                <w:iCs w:val="1"/>
                <w:color w:val="auto"/>
              </w:rPr>
              <w:t>U.S. &amp; Canada Owned Hotels</w:t>
            </w:r>
          </w:p>
        </w:tc>
        <w:tc>
          <w:tcPr>
            <w:tcW w:w="26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182"/>
        </w:trPr>
        <w:tc>
          <w:tcPr>
            <w:tcW w:w="6540" w:type="dxa"/>
            <w:vAlign w:val="bottom"/>
            <w:gridSpan w:val="2"/>
          </w:tcPr>
          <w:p>
            <w:pPr>
              <w:ind w:left="840"/>
              <w:spacing w:after="0"/>
              <w:rPr>
                <w:sz w:val="20"/>
                <w:szCs w:val="20"/>
                <w:color w:val="auto"/>
              </w:rPr>
            </w:pPr>
            <w:r>
              <w:rPr>
                <w:rFonts w:ascii="Arial" w:cs="Arial" w:eastAsia="Arial" w:hAnsi="Arial"/>
                <w:sz w:val="14"/>
                <w:szCs w:val="14"/>
                <w:color w:val="auto"/>
              </w:rPr>
              <w:t>Courtyard Las Vegas Convention Center</w:t>
            </w:r>
          </w:p>
        </w:tc>
        <w:tc>
          <w:tcPr>
            <w:tcW w:w="3080" w:type="dxa"/>
            <w:vAlign w:val="bottom"/>
            <w:gridSpan w:val="2"/>
          </w:tcPr>
          <w:p>
            <w:pPr>
              <w:ind w:left="420"/>
              <w:spacing w:after="0"/>
              <w:rPr>
                <w:sz w:val="20"/>
                <w:szCs w:val="20"/>
                <w:color w:val="auto"/>
              </w:rPr>
            </w:pPr>
            <w:r>
              <w:rPr>
                <w:rFonts w:ascii="Arial" w:cs="Arial" w:eastAsia="Arial" w:hAnsi="Arial"/>
                <w:sz w:val="14"/>
                <w:szCs w:val="14"/>
                <w:color w:val="auto"/>
              </w:rPr>
              <w:t>Las Vegas, NV</w:t>
            </w:r>
          </w:p>
        </w:tc>
        <w:tc>
          <w:tcPr>
            <w:tcW w:w="106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187"/>
        </w:trPr>
        <w:tc>
          <w:tcPr>
            <w:tcW w:w="65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Las Vegas Marriott</w:t>
            </w:r>
          </w:p>
        </w:tc>
        <w:tc>
          <w:tcPr>
            <w:tcW w:w="30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Las Vegas, NV</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r>
      <w:tr>
        <w:trPr>
          <w:trHeight w:val="182"/>
        </w:trPr>
        <w:tc>
          <w:tcPr>
            <w:tcW w:w="6540" w:type="dxa"/>
            <w:vAlign w:val="bottom"/>
            <w:gridSpan w:val="2"/>
          </w:tcPr>
          <w:p>
            <w:pPr>
              <w:ind w:left="840"/>
              <w:spacing w:after="0"/>
              <w:rPr>
                <w:sz w:val="20"/>
                <w:szCs w:val="20"/>
                <w:color w:val="auto"/>
              </w:rPr>
            </w:pPr>
            <w:r>
              <w:rPr>
                <w:rFonts w:ascii="Arial" w:cs="Arial" w:eastAsia="Arial" w:hAnsi="Arial"/>
                <w:sz w:val="14"/>
                <w:szCs w:val="14"/>
                <w:color w:val="auto"/>
              </w:rPr>
              <w:t>Residence Inn Las Vegas Convention Center</w:t>
            </w:r>
          </w:p>
        </w:tc>
        <w:tc>
          <w:tcPr>
            <w:tcW w:w="3080" w:type="dxa"/>
            <w:vAlign w:val="bottom"/>
            <w:gridSpan w:val="2"/>
          </w:tcPr>
          <w:p>
            <w:pPr>
              <w:ind w:left="420"/>
              <w:spacing w:after="0"/>
              <w:rPr>
                <w:sz w:val="20"/>
                <w:szCs w:val="20"/>
                <w:color w:val="auto"/>
              </w:rPr>
            </w:pPr>
            <w:r>
              <w:rPr>
                <w:rFonts w:ascii="Arial" w:cs="Arial" w:eastAsia="Arial" w:hAnsi="Arial"/>
                <w:sz w:val="14"/>
                <w:szCs w:val="14"/>
                <w:color w:val="auto"/>
              </w:rPr>
              <w:t>Las Vegas, NV</w:t>
            </w:r>
          </w:p>
        </w:tc>
        <w:tc>
          <w:tcPr>
            <w:tcW w:w="1060" w:type="dxa"/>
            <w:vAlign w:val="bottom"/>
          </w:tcPr>
          <w:p>
            <w:pPr>
              <w:jc w:val="right"/>
              <w:spacing w:after="0"/>
              <w:rPr>
                <w:sz w:val="20"/>
                <w:szCs w:val="20"/>
                <w:color w:val="auto"/>
              </w:rPr>
            </w:pPr>
            <w:r>
              <w:rPr>
                <w:rFonts w:ascii="Arial" w:cs="Arial" w:eastAsia="Arial" w:hAnsi="Arial"/>
                <w:sz w:val="14"/>
                <w:szCs w:val="14"/>
                <w:color w:val="auto"/>
              </w:rPr>
              <w:t>192</w:t>
            </w:r>
          </w:p>
        </w:tc>
      </w:tr>
      <w:tr>
        <w:trPr>
          <w:trHeight w:val="187"/>
        </w:trPr>
        <w:tc>
          <w:tcPr>
            <w:tcW w:w="65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The Westin Peachtree Plaza, Atlanta</w:t>
            </w:r>
          </w:p>
        </w:tc>
        <w:tc>
          <w:tcPr>
            <w:tcW w:w="30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Atlanta, GA</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w:t>
            </w:r>
          </w:p>
        </w:tc>
      </w:tr>
      <w:tr>
        <w:trPr>
          <w:trHeight w:val="182"/>
        </w:trPr>
        <w:tc>
          <w:tcPr>
            <w:tcW w:w="6540" w:type="dxa"/>
            <w:vAlign w:val="bottom"/>
            <w:gridSpan w:val="2"/>
          </w:tcPr>
          <w:p>
            <w:pPr>
              <w:ind w:left="840"/>
              <w:spacing w:after="0"/>
              <w:rPr>
                <w:sz w:val="20"/>
                <w:szCs w:val="20"/>
                <w:color w:val="auto"/>
              </w:rPr>
            </w:pPr>
            <w:r>
              <w:rPr>
                <w:rFonts w:ascii="Arial" w:cs="Arial" w:eastAsia="Arial" w:hAnsi="Arial"/>
                <w:sz w:val="14"/>
                <w:szCs w:val="14"/>
                <w:color w:val="auto"/>
              </w:rPr>
              <w:t>W New York - Union Square</w:t>
            </w:r>
          </w:p>
        </w:tc>
        <w:tc>
          <w:tcPr>
            <w:tcW w:w="3080" w:type="dxa"/>
            <w:vAlign w:val="bottom"/>
            <w:gridSpan w:val="2"/>
          </w:tcPr>
          <w:p>
            <w:pPr>
              <w:ind w:left="420"/>
              <w:spacing w:after="0"/>
              <w:rPr>
                <w:sz w:val="20"/>
                <w:szCs w:val="20"/>
                <w:color w:val="auto"/>
              </w:rPr>
            </w:pPr>
            <w:r>
              <w:rPr>
                <w:rFonts w:ascii="Arial" w:cs="Arial" w:eastAsia="Arial" w:hAnsi="Arial"/>
                <w:sz w:val="14"/>
                <w:szCs w:val="14"/>
                <w:color w:val="auto"/>
              </w:rPr>
              <w:t>New York, NY</w:t>
            </w:r>
          </w:p>
        </w:tc>
        <w:tc>
          <w:tcPr>
            <w:tcW w:w="1060" w:type="dxa"/>
            <w:vAlign w:val="bottom"/>
          </w:tcPr>
          <w:p>
            <w:pPr>
              <w:jc w:val="right"/>
              <w:spacing w:after="0"/>
              <w:rPr>
                <w:sz w:val="20"/>
                <w:szCs w:val="20"/>
                <w:color w:val="auto"/>
              </w:rPr>
            </w:pPr>
            <w:r>
              <w:rPr>
                <w:rFonts w:ascii="Arial" w:cs="Arial" w:eastAsia="Arial" w:hAnsi="Arial"/>
                <w:sz w:val="14"/>
                <w:szCs w:val="14"/>
                <w:color w:val="auto"/>
              </w:rPr>
              <w:t>270</w:t>
            </w:r>
          </w:p>
        </w:tc>
      </w:tr>
      <w:tr>
        <w:trPr>
          <w:trHeight w:val="345"/>
        </w:trPr>
        <w:tc>
          <w:tcPr>
            <w:tcW w:w="6540" w:type="dxa"/>
            <w:vAlign w:val="bottom"/>
            <w:gridSpan w:val="2"/>
            <w:shd w:val="clear" w:color="auto" w:fill="CCEEFF"/>
          </w:tcPr>
          <w:p>
            <w:pPr>
              <w:ind w:left="420"/>
              <w:spacing w:after="0"/>
              <w:rPr>
                <w:sz w:val="20"/>
                <w:szCs w:val="20"/>
                <w:color w:val="auto"/>
              </w:rPr>
            </w:pPr>
            <w:r>
              <w:rPr>
                <w:rFonts w:ascii="Arial" w:cs="Arial" w:eastAsia="Arial" w:hAnsi="Arial"/>
                <w:sz w:val="14"/>
                <w:szCs w:val="14"/>
                <w:i w:val="1"/>
                <w:iCs w:val="1"/>
                <w:color w:val="auto"/>
              </w:rPr>
              <w:t>U.S. &amp; Canada Leased Hotels</w:t>
            </w:r>
          </w:p>
        </w:tc>
        <w:tc>
          <w:tcPr>
            <w:tcW w:w="26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182"/>
        </w:trPr>
        <w:tc>
          <w:tcPr>
            <w:tcW w:w="6540" w:type="dxa"/>
            <w:vAlign w:val="bottom"/>
            <w:gridSpan w:val="2"/>
          </w:tcPr>
          <w:p>
            <w:pPr>
              <w:ind w:left="840"/>
              <w:spacing w:after="0"/>
              <w:rPr>
                <w:sz w:val="20"/>
                <w:szCs w:val="20"/>
                <w:color w:val="auto"/>
              </w:rPr>
            </w:pPr>
            <w:r>
              <w:rPr>
                <w:rFonts w:ascii="Arial" w:cs="Arial" w:eastAsia="Arial" w:hAnsi="Arial"/>
                <w:sz w:val="14"/>
                <w:szCs w:val="14"/>
                <w:color w:val="auto"/>
              </w:rPr>
              <w:t>Albuquerque Airport Courtyard</w:t>
            </w:r>
          </w:p>
        </w:tc>
        <w:tc>
          <w:tcPr>
            <w:tcW w:w="3080" w:type="dxa"/>
            <w:vAlign w:val="bottom"/>
            <w:gridSpan w:val="2"/>
          </w:tcPr>
          <w:p>
            <w:pPr>
              <w:ind w:left="420"/>
              <w:spacing w:after="0"/>
              <w:rPr>
                <w:sz w:val="20"/>
                <w:szCs w:val="20"/>
                <w:color w:val="auto"/>
              </w:rPr>
            </w:pPr>
            <w:r>
              <w:rPr>
                <w:rFonts w:ascii="Arial" w:cs="Arial" w:eastAsia="Arial" w:hAnsi="Arial"/>
                <w:sz w:val="14"/>
                <w:szCs w:val="14"/>
                <w:color w:val="auto"/>
              </w:rPr>
              <w:t>Albuquerque, NM</w:t>
            </w:r>
          </w:p>
        </w:tc>
        <w:tc>
          <w:tcPr>
            <w:tcW w:w="106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187"/>
        </w:trPr>
        <w:tc>
          <w:tcPr>
            <w:tcW w:w="65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Anaheim Marriott</w:t>
            </w:r>
          </w:p>
        </w:tc>
        <w:tc>
          <w:tcPr>
            <w:tcW w:w="30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Anaheim, CA</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w:t>
            </w:r>
          </w:p>
        </w:tc>
      </w:tr>
      <w:tr>
        <w:trPr>
          <w:trHeight w:val="182"/>
        </w:trPr>
        <w:tc>
          <w:tcPr>
            <w:tcW w:w="6540" w:type="dxa"/>
            <w:vAlign w:val="bottom"/>
            <w:gridSpan w:val="2"/>
          </w:tcPr>
          <w:p>
            <w:pPr>
              <w:ind w:left="840"/>
              <w:spacing w:after="0"/>
              <w:rPr>
                <w:sz w:val="20"/>
                <w:szCs w:val="20"/>
                <w:color w:val="auto"/>
              </w:rPr>
            </w:pPr>
            <w:r>
              <w:rPr>
                <w:rFonts w:ascii="Arial" w:cs="Arial" w:eastAsia="Arial" w:hAnsi="Arial"/>
                <w:sz w:val="14"/>
                <w:szCs w:val="14"/>
                <w:color w:val="auto"/>
              </w:rPr>
              <w:t>Baltimore BWI Airport Courtyard</w:t>
            </w:r>
          </w:p>
        </w:tc>
        <w:tc>
          <w:tcPr>
            <w:tcW w:w="3080" w:type="dxa"/>
            <w:vAlign w:val="bottom"/>
            <w:gridSpan w:val="2"/>
          </w:tcPr>
          <w:p>
            <w:pPr>
              <w:ind w:left="420"/>
              <w:spacing w:after="0"/>
              <w:rPr>
                <w:sz w:val="20"/>
                <w:szCs w:val="20"/>
                <w:color w:val="auto"/>
              </w:rPr>
            </w:pPr>
            <w:r>
              <w:rPr>
                <w:rFonts w:ascii="Arial" w:cs="Arial" w:eastAsia="Arial" w:hAnsi="Arial"/>
                <w:sz w:val="14"/>
                <w:szCs w:val="14"/>
                <w:color w:val="auto"/>
              </w:rPr>
              <w:t>Linthicum, MD</w:t>
            </w:r>
          </w:p>
        </w:tc>
        <w:tc>
          <w:tcPr>
            <w:tcW w:w="106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187"/>
        </w:trPr>
        <w:tc>
          <w:tcPr>
            <w:tcW w:w="65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Baton Rouge Acadian Centre/LSU Area Courtyard</w:t>
            </w:r>
          </w:p>
        </w:tc>
        <w:tc>
          <w:tcPr>
            <w:tcW w:w="30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Baton Rouge, LA</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r>
      <w:tr>
        <w:trPr>
          <w:trHeight w:val="182"/>
        </w:trPr>
        <w:tc>
          <w:tcPr>
            <w:tcW w:w="6540" w:type="dxa"/>
            <w:vAlign w:val="bottom"/>
            <w:gridSpan w:val="2"/>
          </w:tcPr>
          <w:p>
            <w:pPr>
              <w:ind w:left="840"/>
              <w:spacing w:after="0"/>
              <w:rPr>
                <w:sz w:val="20"/>
                <w:szCs w:val="20"/>
                <w:color w:val="auto"/>
              </w:rPr>
            </w:pPr>
            <w:r>
              <w:rPr>
                <w:rFonts w:ascii="Arial" w:cs="Arial" w:eastAsia="Arial" w:hAnsi="Arial"/>
                <w:sz w:val="14"/>
                <w:szCs w:val="14"/>
                <w:color w:val="auto"/>
              </w:rPr>
              <w:t>Chicago O'Hare Courtyard</w:t>
            </w:r>
          </w:p>
        </w:tc>
        <w:tc>
          <w:tcPr>
            <w:tcW w:w="3080" w:type="dxa"/>
            <w:vAlign w:val="bottom"/>
            <w:gridSpan w:val="2"/>
          </w:tcPr>
          <w:p>
            <w:pPr>
              <w:ind w:left="420"/>
              <w:spacing w:after="0"/>
              <w:rPr>
                <w:sz w:val="20"/>
                <w:szCs w:val="20"/>
                <w:color w:val="auto"/>
              </w:rPr>
            </w:pPr>
            <w:r>
              <w:rPr>
                <w:rFonts w:ascii="Arial" w:cs="Arial" w:eastAsia="Arial" w:hAnsi="Arial"/>
                <w:sz w:val="14"/>
                <w:szCs w:val="14"/>
                <w:color w:val="auto"/>
              </w:rPr>
              <w:t>Des Plaines, IL</w:t>
            </w:r>
          </w:p>
        </w:tc>
        <w:tc>
          <w:tcPr>
            <w:tcW w:w="1060" w:type="dxa"/>
            <w:vAlign w:val="bottom"/>
          </w:tcPr>
          <w:p>
            <w:pPr>
              <w:jc w:val="right"/>
              <w:spacing w:after="0"/>
              <w:rPr>
                <w:sz w:val="20"/>
                <w:szCs w:val="20"/>
                <w:color w:val="auto"/>
              </w:rPr>
            </w:pPr>
            <w:r>
              <w:rPr>
                <w:rFonts w:ascii="Arial" w:cs="Arial" w:eastAsia="Arial" w:hAnsi="Arial"/>
                <w:sz w:val="14"/>
                <w:szCs w:val="14"/>
                <w:color w:val="auto"/>
              </w:rPr>
              <w:t>180</w:t>
            </w:r>
          </w:p>
        </w:tc>
      </w:tr>
      <w:tr>
        <w:trPr>
          <w:trHeight w:val="187"/>
        </w:trPr>
        <w:tc>
          <w:tcPr>
            <w:tcW w:w="65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Des Moines West/Clive Courtyard</w:t>
            </w:r>
          </w:p>
        </w:tc>
        <w:tc>
          <w:tcPr>
            <w:tcW w:w="30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Clive, IA</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r>
      <w:tr>
        <w:trPr>
          <w:trHeight w:val="182"/>
        </w:trPr>
        <w:tc>
          <w:tcPr>
            <w:tcW w:w="6540" w:type="dxa"/>
            <w:vAlign w:val="bottom"/>
            <w:gridSpan w:val="2"/>
          </w:tcPr>
          <w:p>
            <w:pPr>
              <w:ind w:left="840"/>
              <w:spacing w:after="0"/>
              <w:rPr>
                <w:sz w:val="20"/>
                <w:szCs w:val="20"/>
                <w:color w:val="auto"/>
              </w:rPr>
            </w:pPr>
            <w:r>
              <w:rPr>
                <w:rFonts w:ascii="Arial" w:cs="Arial" w:eastAsia="Arial" w:hAnsi="Arial"/>
                <w:sz w:val="14"/>
                <w:szCs w:val="14"/>
                <w:color w:val="auto"/>
              </w:rPr>
              <w:t>Fort Worth University Drive Courtyard</w:t>
            </w:r>
          </w:p>
        </w:tc>
        <w:tc>
          <w:tcPr>
            <w:tcW w:w="3080" w:type="dxa"/>
            <w:vAlign w:val="bottom"/>
            <w:gridSpan w:val="2"/>
          </w:tcPr>
          <w:p>
            <w:pPr>
              <w:ind w:left="420"/>
              <w:spacing w:after="0"/>
              <w:rPr>
                <w:sz w:val="20"/>
                <w:szCs w:val="20"/>
                <w:color w:val="auto"/>
              </w:rPr>
            </w:pPr>
            <w:r>
              <w:rPr>
                <w:rFonts w:ascii="Arial" w:cs="Arial" w:eastAsia="Arial" w:hAnsi="Arial"/>
                <w:sz w:val="14"/>
                <w:szCs w:val="14"/>
                <w:color w:val="auto"/>
              </w:rPr>
              <w:t>Fort Worth, TX</w:t>
            </w:r>
          </w:p>
        </w:tc>
        <w:tc>
          <w:tcPr>
            <w:tcW w:w="1060" w:type="dxa"/>
            <w:vAlign w:val="bottom"/>
          </w:tcPr>
          <w:p>
            <w:pPr>
              <w:jc w:val="right"/>
              <w:spacing w:after="0"/>
              <w:rPr>
                <w:sz w:val="20"/>
                <w:szCs w:val="20"/>
                <w:color w:val="auto"/>
              </w:rPr>
            </w:pPr>
            <w:r>
              <w:rPr>
                <w:rFonts w:ascii="Arial" w:cs="Arial" w:eastAsia="Arial" w:hAnsi="Arial"/>
                <w:sz w:val="14"/>
                <w:szCs w:val="14"/>
                <w:color w:val="auto"/>
              </w:rPr>
              <w:t>130</w:t>
            </w:r>
          </w:p>
        </w:tc>
      </w:tr>
      <w:tr>
        <w:trPr>
          <w:trHeight w:val="187"/>
        </w:trPr>
        <w:tc>
          <w:tcPr>
            <w:tcW w:w="65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Greensboro Courtyard</w:t>
            </w:r>
          </w:p>
        </w:tc>
        <w:tc>
          <w:tcPr>
            <w:tcW w:w="30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Greensboro, NC</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r>
      <w:tr>
        <w:trPr>
          <w:trHeight w:val="182"/>
        </w:trPr>
        <w:tc>
          <w:tcPr>
            <w:tcW w:w="6540" w:type="dxa"/>
            <w:vAlign w:val="bottom"/>
            <w:gridSpan w:val="2"/>
          </w:tcPr>
          <w:p>
            <w:pPr>
              <w:ind w:left="840"/>
              <w:spacing w:after="0"/>
              <w:rPr>
                <w:sz w:val="20"/>
                <w:szCs w:val="20"/>
                <w:color w:val="auto"/>
              </w:rPr>
            </w:pPr>
            <w:r>
              <w:rPr>
                <w:rFonts w:ascii="Arial" w:cs="Arial" w:eastAsia="Arial" w:hAnsi="Arial"/>
                <w:sz w:val="14"/>
                <w:szCs w:val="14"/>
                <w:color w:val="auto"/>
              </w:rPr>
              <w:t>Indianapolis Airport Courtyard</w:t>
            </w:r>
          </w:p>
        </w:tc>
        <w:tc>
          <w:tcPr>
            <w:tcW w:w="3080" w:type="dxa"/>
            <w:vAlign w:val="bottom"/>
            <w:gridSpan w:val="2"/>
          </w:tcPr>
          <w:p>
            <w:pPr>
              <w:ind w:left="420"/>
              <w:spacing w:after="0"/>
              <w:rPr>
                <w:sz w:val="20"/>
                <w:szCs w:val="20"/>
                <w:color w:val="auto"/>
              </w:rPr>
            </w:pPr>
            <w:r>
              <w:rPr>
                <w:rFonts w:ascii="Arial" w:cs="Arial" w:eastAsia="Arial" w:hAnsi="Arial"/>
                <w:sz w:val="14"/>
                <w:szCs w:val="14"/>
                <w:color w:val="auto"/>
              </w:rPr>
              <w:t>Indianapolis, IN</w:t>
            </w:r>
          </w:p>
        </w:tc>
        <w:tc>
          <w:tcPr>
            <w:tcW w:w="1060" w:type="dxa"/>
            <w:vAlign w:val="bottom"/>
          </w:tcPr>
          <w:p>
            <w:pPr>
              <w:jc w:val="right"/>
              <w:spacing w:after="0"/>
              <w:rPr>
                <w:sz w:val="20"/>
                <w:szCs w:val="20"/>
                <w:color w:val="auto"/>
              </w:rPr>
            </w:pPr>
            <w:r>
              <w:rPr>
                <w:rFonts w:ascii="Arial" w:cs="Arial" w:eastAsia="Arial" w:hAnsi="Arial"/>
                <w:sz w:val="14"/>
                <w:szCs w:val="14"/>
                <w:color w:val="auto"/>
              </w:rPr>
              <w:t>151</w:t>
            </w:r>
          </w:p>
        </w:tc>
      </w:tr>
      <w:tr>
        <w:trPr>
          <w:trHeight w:val="187"/>
        </w:trPr>
        <w:tc>
          <w:tcPr>
            <w:tcW w:w="65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Irvine John Wayne Airport/Orange County Courtyard</w:t>
            </w:r>
          </w:p>
        </w:tc>
        <w:tc>
          <w:tcPr>
            <w:tcW w:w="30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Irvine, CA</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r>
      <w:tr>
        <w:trPr>
          <w:trHeight w:val="182"/>
        </w:trPr>
        <w:tc>
          <w:tcPr>
            <w:tcW w:w="6540" w:type="dxa"/>
            <w:vAlign w:val="bottom"/>
            <w:gridSpan w:val="2"/>
          </w:tcPr>
          <w:p>
            <w:pPr>
              <w:ind w:left="840"/>
              <w:spacing w:after="0"/>
              <w:rPr>
                <w:sz w:val="20"/>
                <w:szCs w:val="20"/>
                <w:color w:val="auto"/>
              </w:rPr>
            </w:pPr>
            <w:r>
              <w:rPr>
                <w:rFonts w:ascii="Arial" w:cs="Arial" w:eastAsia="Arial" w:hAnsi="Arial"/>
                <w:sz w:val="14"/>
                <w:szCs w:val="14"/>
                <w:color w:val="auto"/>
              </w:rPr>
              <w:t>Louisville East Courtyard</w:t>
            </w:r>
          </w:p>
        </w:tc>
        <w:tc>
          <w:tcPr>
            <w:tcW w:w="3080" w:type="dxa"/>
            <w:vAlign w:val="bottom"/>
            <w:gridSpan w:val="2"/>
          </w:tcPr>
          <w:p>
            <w:pPr>
              <w:ind w:left="420"/>
              <w:spacing w:after="0"/>
              <w:rPr>
                <w:sz w:val="20"/>
                <w:szCs w:val="20"/>
                <w:color w:val="auto"/>
              </w:rPr>
            </w:pPr>
            <w:r>
              <w:rPr>
                <w:rFonts w:ascii="Arial" w:cs="Arial" w:eastAsia="Arial" w:hAnsi="Arial"/>
                <w:sz w:val="14"/>
                <w:szCs w:val="14"/>
                <w:color w:val="auto"/>
              </w:rPr>
              <w:t>Louisville, KY</w:t>
            </w:r>
          </w:p>
        </w:tc>
        <w:tc>
          <w:tcPr>
            <w:tcW w:w="1060" w:type="dxa"/>
            <w:vAlign w:val="bottom"/>
          </w:tcPr>
          <w:p>
            <w:pPr>
              <w:jc w:val="right"/>
              <w:spacing w:after="0"/>
              <w:rPr>
                <w:sz w:val="20"/>
                <w:szCs w:val="20"/>
                <w:color w:val="auto"/>
              </w:rPr>
            </w:pPr>
            <w:r>
              <w:rPr>
                <w:rFonts w:ascii="Arial" w:cs="Arial" w:eastAsia="Arial" w:hAnsi="Arial"/>
                <w:sz w:val="14"/>
                <w:szCs w:val="14"/>
                <w:color w:val="auto"/>
              </w:rPr>
              <w:t>151</w:t>
            </w:r>
          </w:p>
        </w:tc>
      </w:tr>
      <w:tr>
        <w:trPr>
          <w:trHeight w:val="187"/>
        </w:trPr>
        <w:tc>
          <w:tcPr>
            <w:tcW w:w="65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Mt. Laurel Courtyard</w:t>
            </w:r>
          </w:p>
        </w:tc>
        <w:tc>
          <w:tcPr>
            <w:tcW w:w="30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Mt Laurel, NJ</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r>
      <w:tr>
        <w:trPr>
          <w:trHeight w:val="182"/>
        </w:trPr>
        <w:tc>
          <w:tcPr>
            <w:tcW w:w="6540" w:type="dxa"/>
            <w:vAlign w:val="bottom"/>
            <w:gridSpan w:val="2"/>
          </w:tcPr>
          <w:p>
            <w:pPr>
              <w:ind w:left="840"/>
              <w:spacing w:after="0"/>
              <w:rPr>
                <w:sz w:val="20"/>
                <w:szCs w:val="20"/>
                <w:color w:val="auto"/>
              </w:rPr>
            </w:pPr>
            <w:r>
              <w:rPr>
                <w:rFonts w:ascii="Arial" w:cs="Arial" w:eastAsia="Arial" w:hAnsi="Arial"/>
                <w:sz w:val="14"/>
                <w:szCs w:val="14"/>
                <w:color w:val="auto"/>
              </w:rPr>
              <w:t>Newark Liberty International Airport Courtyard</w:t>
            </w:r>
          </w:p>
        </w:tc>
        <w:tc>
          <w:tcPr>
            <w:tcW w:w="3080" w:type="dxa"/>
            <w:vAlign w:val="bottom"/>
            <w:gridSpan w:val="2"/>
          </w:tcPr>
          <w:p>
            <w:pPr>
              <w:ind w:left="420"/>
              <w:spacing w:after="0"/>
              <w:rPr>
                <w:sz w:val="20"/>
                <w:szCs w:val="20"/>
                <w:color w:val="auto"/>
              </w:rPr>
            </w:pPr>
            <w:r>
              <w:rPr>
                <w:rFonts w:ascii="Arial" w:cs="Arial" w:eastAsia="Arial" w:hAnsi="Arial"/>
                <w:sz w:val="14"/>
                <w:szCs w:val="14"/>
                <w:color w:val="auto"/>
              </w:rPr>
              <w:t>Newark, NJ</w:t>
            </w:r>
          </w:p>
        </w:tc>
        <w:tc>
          <w:tcPr>
            <w:tcW w:w="1060" w:type="dxa"/>
            <w:vAlign w:val="bottom"/>
          </w:tcPr>
          <w:p>
            <w:pPr>
              <w:jc w:val="right"/>
              <w:spacing w:after="0"/>
              <w:rPr>
                <w:sz w:val="20"/>
                <w:szCs w:val="20"/>
                <w:color w:val="auto"/>
              </w:rPr>
            </w:pPr>
            <w:r>
              <w:rPr>
                <w:rFonts w:ascii="Arial" w:cs="Arial" w:eastAsia="Arial" w:hAnsi="Arial"/>
                <w:sz w:val="14"/>
                <w:szCs w:val="14"/>
                <w:color w:val="auto"/>
              </w:rPr>
              <w:t>146</w:t>
            </w:r>
          </w:p>
        </w:tc>
      </w:tr>
      <w:tr>
        <w:trPr>
          <w:trHeight w:val="187"/>
        </w:trPr>
        <w:tc>
          <w:tcPr>
            <w:tcW w:w="65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Orlando Airport Courtyard</w:t>
            </w:r>
          </w:p>
        </w:tc>
        <w:tc>
          <w:tcPr>
            <w:tcW w:w="30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Orlando, FL</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r>
      <w:tr>
        <w:trPr>
          <w:trHeight w:val="182"/>
        </w:trPr>
        <w:tc>
          <w:tcPr>
            <w:tcW w:w="6540" w:type="dxa"/>
            <w:vAlign w:val="bottom"/>
            <w:gridSpan w:val="2"/>
          </w:tcPr>
          <w:p>
            <w:pPr>
              <w:ind w:left="840"/>
              <w:spacing w:after="0"/>
              <w:rPr>
                <w:sz w:val="20"/>
                <w:szCs w:val="20"/>
                <w:color w:val="auto"/>
              </w:rPr>
            </w:pPr>
            <w:r>
              <w:rPr>
                <w:rFonts w:ascii="Arial" w:cs="Arial" w:eastAsia="Arial" w:hAnsi="Arial"/>
                <w:sz w:val="14"/>
                <w:szCs w:val="14"/>
                <w:color w:val="auto"/>
              </w:rPr>
              <w:t>Orlando International Drive/Convention Center Courtyard</w:t>
            </w:r>
          </w:p>
        </w:tc>
        <w:tc>
          <w:tcPr>
            <w:tcW w:w="3080" w:type="dxa"/>
            <w:vAlign w:val="bottom"/>
            <w:gridSpan w:val="2"/>
          </w:tcPr>
          <w:p>
            <w:pPr>
              <w:ind w:left="420"/>
              <w:spacing w:after="0"/>
              <w:rPr>
                <w:sz w:val="20"/>
                <w:szCs w:val="20"/>
                <w:color w:val="auto"/>
              </w:rPr>
            </w:pPr>
            <w:r>
              <w:rPr>
                <w:rFonts w:ascii="Arial" w:cs="Arial" w:eastAsia="Arial" w:hAnsi="Arial"/>
                <w:sz w:val="14"/>
                <w:szCs w:val="14"/>
                <w:color w:val="auto"/>
              </w:rPr>
              <w:t>Orlando, FL</w:t>
            </w:r>
          </w:p>
        </w:tc>
        <w:tc>
          <w:tcPr>
            <w:tcW w:w="1060" w:type="dxa"/>
            <w:vAlign w:val="bottom"/>
          </w:tcPr>
          <w:p>
            <w:pPr>
              <w:jc w:val="right"/>
              <w:spacing w:after="0"/>
              <w:rPr>
                <w:sz w:val="20"/>
                <w:szCs w:val="20"/>
                <w:color w:val="auto"/>
              </w:rPr>
            </w:pPr>
            <w:r>
              <w:rPr>
                <w:rFonts w:ascii="Arial" w:cs="Arial" w:eastAsia="Arial" w:hAnsi="Arial"/>
                <w:sz w:val="14"/>
                <w:szCs w:val="14"/>
                <w:color w:val="auto"/>
              </w:rPr>
              <w:t>151</w:t>
            </w:r>
          </w:p>
        </w:tc>
      </w:tr>
      <w:tr>
        <w:trPr>
          <w:trHeight w:val="187"/>
        </w:trPr>
        <w:tc>
          <w:tcPr>
            <w:tcW w:w="65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Renaissance New York Times Square Hotel</w:t>
            </w:r>
          </w:p>
        </w:tc>
        <w:tc>
          <w:tcPr>
            <w:tcW w:w="30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New York, NY</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w:t>
            </w:r>
          </w:p>
        </w:tc>
      </w:tr>
      <w:tr>
        <w:trPr>
          <w:trHeight w:val="182"/>
        </w:trPr>
        <w:tc>
          <w:tcPr>
            <w:tcW w:w="6540" w:type="dxa"/>
            <w:vAlign w:val="bottom"/>
            <w:gridSpan w:val="2"/>
          </w:tcPr>
          <w:p>
            <w:pPr>
              <w:ind w:left="840"/>
              <w:spacing w:after="0"/>
              <w:rPr>
                <w:sz w:val="20"/>
                <w:szCs w:val="20"/>
                <w:color w:val="auto"/>
              </w:rPr>
            </w:pPr>
            <w:r>
              <w:rPr>
                <w:rFonts w:ascii="Arial" w:cs="Arial" w:eastAsia="Arial" w:hAnsi="Arial"/>
                <w:sz w:val="14"/>
                <w:szCs w:val="14"/>
                <w:color w:val="auto"/>
              </w:rPr>
              <w:t>Sacramento Airport Natomas Courtyard</w:t>
            </w:r>
          </w:p>
        </w:tc>
        <w:tc>
          <w:tcPr>
            <w:tcW w:w="3080" w:type="dxa"/>
            <w:vAlign w:val="bottom"/>
            <w:gridSpan w:val="2"/>
          </w:tcPr>
          <w:p>
            <w:pPr>
              <w:ind w:left="420"/>
              <w:spacing w:after="0"/>
              <w:rPr>
                <w:sz w:val="20"/>
                <w:szCs w:val="20"/>
                <w:color w:val="auto"/>
              </w:rPr>
            </w:pPr>
            <w:r>
              <w:rPr>
                <w:rFonts w:ascii="Arial" w:cs="Arial" w:eastAsia="Arial" w:hAnsi="Arial"/>
                <w:sz w:val="14"/>
                <w:szCs w:val="14"/>
                <w:color w:val="auto"/>
              </w:rPr>
              <w:t>Sacramento, CA</w:t>
            </w:r>
          </w:p>
        </w:tc>
        <w:tc>
          <w:tcPr>
            <w:tcW w:w="106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187"/>
        </w:trPr>
        <w:tc>
          <w:tcPr>
            <w:tcW w:w="65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San Diego Sorrento Valley Courtyard</w:t>
            </w:r>
          </w:p>
        </w:tc>
        <w:tc>
          <w:tcPr>
            <w:tcW w:w="30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San Diego, CA</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r>
      <w:tr>
        <w:trPr>
          <w:trHeight w:val="182"/>
        </w:trPr>
        <w:tc>
          <w:tcPr>
            <w:tcW w:w="6540" w:type="dxa"/>
            <w:vAlign w:val="bottom"/>
            <w:gridSpan w:val="2"/>
          </w:tcPr>
          <w:p>
            <w:pPr>
              <w:ind w:left="840"/>
              <w:spacing w:after="0"/>
              <w:rPr>
                <w:sz w:val="20"/>
                <w:szCs w:val="20"/>
                <w:color w:val="auto"/>
              </w:rPr>
            </w:pPr>
            <w:r>
              <w:rPr>
                <w:rFonts w:ascii="Arial" w:cs="Arial" w:eastAsia="Arial" w:hAnsi="Arial"/>
                <w:sz w:val="14"/>
                <w:szCs w:val="14"/>
                <w:color w:val="auto"/>
              </w:rPr>
              <w:t>Spokane Downtown at the Convention Center Courtyard</w:t>
            </w:r>
          </w:p>
        </w:tc>
        <w:tc>
          <w:tcPr>
            <w:tcW w:w="3080" w:type="dxa"/>
            <w:vAlign w:val="bottom"/>
            <w:gridSpan w:val="2"/>
          </w:tcPr>
          <w:p>
            <w:pPr>
              <w:ind w:left="420"/>
              <w:spacing w:after="0"/>
              <w:rPr>
                <w:sz w:val="20"/>
                <w:szCs w:val="20"/>
                <w:color w:val="auto"/>
              </w:rPr>
            </w:pPr>
            <w:r>
              <w:rPr>
                <w:rFonts w:ascii="Arial" w:cs="Arial" w:eastAsia="Arial" w:hAnsi="Arial"/>
                <w:sz w:val="14"/>
                <w:szCs w:val="14"/>
                <w:color w:val="auto"/>
              </w:rPr>
              <w:t>Spokane, WA</w:t>
            </w:r>
          </w:p>
        </w:tc>
        <w:tc>
          <w:tcPr>
            <w:tcW w:w="106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187"/>
        </w:trPr>
        <w:tc>
          <w:tcPr>
            <w:tcW w:w="65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St. Louis Downtown West Courtyard</w:t>
            </w:r>
          </w:p>
        </w:tc>
        <w:tc>
          <w:tcPr>
            <w:tcW w:w="30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St. Louis, MO</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r>
      <w:tr>
        <w:trPr>
          <w:trHeight w:val="182"/>
        </w:trPr>
        <w:tc>
          <w:tcPr>
            <w:tcW w:w="6540" w:type="dxa"/>
            <w:vAlign w:val="bottom"/>
            <w:gridSpan w:val="2"/>
          </w:tcPr>
          <w:p>
            <w:pPr>
              <w:ind w:left="840"/>
              <w:spacing w:after="0"/>
              <w:rPr>
                <w:sz w:val="20"/>
                <w:szCs w:val="20"/>
                <w:color w:val="auto"/>
              </w:rPr>
            </w:pPr>
            <w:r>
              <w:rPr>
                <w:rFonts w:ascii="Arial" w:cs="Arial" w:eastAsia="Arial" w:hAnsi="Arial"/>
                <w:sz w:val="14"/>
                <w:szCs w:val="14"/>
                <w:color w:val="auto"/>
              </w:rPr>
              <w:t>W New York – Times Square</w:t>
            </w:r>
          </w:p>
        </w:tc>
        <w:tc>
          <w:tcPr>
            <w:tcW w:w="3080" w:type="dxa"/>
            <w:vAlign w:val="bottom"/>
            <w:gridSpan w:val="2"/>
          </w:tcPr>
          <w:p>
            <w:pPr>
              <w:ind w:left="420"/>
              <w:spacing w:after="0"/>
              <w:rPr>
                <w:sz w:val="20"/>
                <w:szCs w:val="20"/>
                <w:color w:val="auto"/>
              </w:rPr>
            </w:pPr>
            <w:r>
              <w:rPr>
                <w:rFonts w:ascii="Arial" w:cs="Arial" w:eastAsia="Arial" w:hAnsi="Arial"/>
                <w:sz w:val="14"/>
                <w:szCs w:val="14"/>
                <w:color w:val="auto"/>
              </w:rPr>
              <w:t>New York, NY</w:t>
            </w:r>
          </w:p>
        </w:tc>
        <w:tc>
          <w:tcPr>
            <w:tcW w:w="1060" w:type="dxa"/>
            <w:vAlign w:val="bottom"/>
          </w:tcPr>
          <w:p>
            <w:pPr>
              <w:jc w:val="right"/>
              <w:spacing w:after="0"/>
              <w:rPr>
                <w:sz w:val="20"/>
                <w:szCs w:val="20"/>
                <w:color w:val="auto"/>
              </w:rPr>
            </w:pPr>
            <w:r>
              <w:rPr>
                <w:rFonts w:ascii="Arial" w:cs="Arial" w:eastAsia="Arial" w:hAnsi="Arial"/>
                <w:sz w:val="14"/>
                <w:szCs w:val="14"/>
                <w:color w:val="auto"/>
              </w:rPr>
              <w:t>509</w:t>
            </w:r>
          </w:p>
        </w:tc>
      </w:tr>
      <w:tr>
        <w:trPr>
          <w:trHeight w:val="213"/>
        </w:trPr>
        <w:tc>
          <w:tcPr>
            <w:tcW w:w="6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79"/>
        </w:trPr>
        <w:tc>
          <w:tcPr>
            <w:tcW w:w="6540" w:type="dxa"/>
            <w:vAlign w:val="bottom"/>
            <w:gridSpan w:val="2"/>
          </w:tcPr>
          <w:p>
            <w:pPr>
              <w:ind w:left="420"/>
              <w:spacing w:after="0"/>
              <w:rPr>
                <w:sz w:val="20"/>
                <w:szCs w:val="20"/>
                <w:color w:val="auto"/>
              </w:rPr>
            </w:pPr>
            <w:r>
              <w:rPr>
                <w:rFonts w:ascii="Arial" w:cs="Arial" w:eastAsia="Arial" w:hAnsi="Arial"/>
                <w:sz w:val="14"/>
                <w:szCs w:val="14"/>
                <w:i w:val="1"/>
                <w:iCs w:val="1"/>
                <w:color w:val="auto"/>
              </w:rPr>
              <w:t>International Owned Hotels</w:t>
            </w:r>
          </w:p>
        </w:tc>
        <w:tc>
          <w:tcPr>
            <w:tcW w:w="2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400" w:type="dxa"/>
        <w:tblCellMar>
          <w:top w:w="0" w:type="dxa"/>
          <w:left w:w="0" w:type="dxa"/>
          <w:bottom w:w="0" w:type="dxa"/>
          <w:right w:w="0" w:type="dxa"/>
        </w:tblCellMar>
      </w:tblPr>
      <w:tr>
        <w:trPr>
          <w:trHeight w:val="188"/>
        </w:trPr>
        <w:tc>
          <w:tcPr>
            <w:tcW w:w="6540" w:type="dxa"/>
            <w:vAlign w:val="bottom"/>
            <w:gridSpan w:val="2"/>
          </w:tcPr>
          <w:p>
            <w:pPr>
              <w:ind w:left="420"/>
              <w:spacing w:after="0"/>
              <w:rPr>
                <w:sz w:val="20"/>
                <w:szCs w:val="20"/>
                <w:color w:val="auto"/>
              </w:rPr>
            </w:pPr>
            <w:r>
              <w:rPr>
                <w:rFonts w:ascii="Arial" w:cs="Arial" w:eastAsia="Arial" w:hAnsi="Arial"/>
                <w:sz w:val="14"/>
                <w:szCs w:val="14"/>
                <w:b w:val="1"/>
                <w:bCs w:val="1"/>
                <w:color w:val="auto"/>
              </w:rPr>
              <w:t>Properties</w:t>
            </w:r>
          </w:p>
        </w:tc>
        <w:tc>
          <w:tcPr>
            <w:tcW w:w="3080" w:type="dxa"/>
            <w:vAlign w:val="bottom"/>
            <w:gridSpan w:val="2"/>
          </w:tcPr>
          <w:p>
            <w:pPr>
              <w:ind w:left="420"/>
              <w:spacing w:after="0"/>
              <w:rPr>
                <w:sz w:val="20"/>
                <w:szCs w:val="20"/>
                <w:color w:val="auto"/>
              </w:rPr>
            </w:pPr>
            <w:r>
              <w:rPr>
                <w:rFonts w:ascii="Arial" w:cs="Arial" w:eastAsia="Arial" w:hAnsi="Arial"/>
                <w:sz w:val="14"/>
                <w:szCs w:val="14"/>
                <w:b w:val="1"/>
                <w:bCs w:val="1"/>
                <w:color w:val="auto"/>
              </w:rPr>
              <w:t>Location</w:t>
            </w:r>
          </w:p>
        </w:tc>
        <w:tc>
          <w:tcPr>
            <w:tcW w:w="1060" w:type="dxa"/>
            <w:vAlign w:val="bottom"/>
          </w:tcPr>
          <w:p>
            <w:pPr>
              <w:jc w:val="right"/>
              <w:ind w:right="170"/>
              <w:spacing w:after="0"/>
              <w:rPr>
                <w:sz w:val="20"/>
                <w:szCs w:val="20"/>
                <w:color w:val="auto"/>
              </w:rPr>
            </w:pPr>
            <w:r>
              <w:rPr>
                <w:rFonts w:ascii="Arial" w:cs="Arial" w:eastAsia="Arial" w:hAnsi="Arial"/>
                <w:sz w:val="14"/>
                <w:szCs w:val="14"/>
                <w:b w:val="1"/>
                <w:bCs w:val="1"/>
                <w:color w:val="auto"/>
              </w:rPr>
              <w:t>Rooms</w:t>
            </w:r>
          </w:p>
        </w:tc>
      </w:tr>
      <w:tr>
        <w:trPr>
          <w:trHeight w:val="183"/>
        </w:trPr>
        <w:tc>
          <w:tcPr>
            <w:tcW w:w="610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Courtyard by Marriott Aberdeen Airport</w:t>
            </w:r>
          </w:p>
        </w:tc>
        <w:tc>
          <w:tcPr>
            <w:tcW w:w="440" w:type="dxa"/>
            <w:vAlign w:val="bottom"/>
            <w:tcBorders>
              <w:top w:val="single" w:sz="8" w:color="CCEEFF"/>
            </w:tcBorders>
            <w:shd w:val="clear" w:color="auto" w:fill="CCEEFF"/>
          </w:tcPr>
          <w:p>
            <w:pPr>
              <w:spacing w:after="0"/>
              <w:rPr>
                <w:sz w:val="15"/>
                <w:szCs w:val="15"/>
                <w:color w:val="auto"/>
              </w:rPr>
            </w:pPr>
          </w:p>
        </w:tc>
        <w:tc>
          <w:tcPr>
            <w:tcW w:w="262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Aberdeen, UK</w:t>
            </w:r>
          </w:p>
        </w:tc>
        <w:tc>
          <w:tcPr>
            <w:tcW w:w="46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r>
      <w:tr>
        <w:trPr>
          <w:trHeight w:val="182"/>
        </w:trPr>
        <w:tc>
          <w:tcPr>
            <w:tcW w:w="6540" w:type="dxa"/>
            <w:vAlign w:val="bottom"/>
            <w:gridSpan w:val="2"/>
          </w:tcPr>
          <w:p>
            <w:pPr>
              <w:ind w:left="840"/>
              <w:spacing w:after="0"/>
              <w:rPr>
                <w:sz w:val="20"/>
                <w:szCs w:val="20"/>
                <w:color w:val="auto"/>
              </w:rPr>
            </w:pPr>
            <w:r>
              <w:rPr>
                <w:rFonts w:ascii="Arial" w:cs="Arial" w:eastAsia="Arial" w:hAnsi="Arial"/>
                <w:sz w:val="14"/>
                <w:szCs w:val="14"/>
                <w:color w:val="auto"/>
              </w:rPr>
              <w:t>Courtyard by Marriott Rio de Janeiro Barra da Tijuca</w:t>
            </w:r>
          </w:p>
        </w:tc>
        <w:tc>
          <w:tcPr>
            <w:tcW w:w="3080" w:type="dxa"/>
            <w:vAlign w:val="bottom"/>
            <w:gridSpan w:val="2"/>
          </w:tcPr>
          <w:p>
            <w:pPr>
              <w:ind w:left="420"/>
              <w:spacing w:after="0"/>
              <w:rPr>
                <w:sz w:val="20"/>
                <w:szCs w:val="20"/>
                <w:color w:val="auto"/>
              </w:rPr>
            </w:pPr>
            <w:r>
              <w:rPr>
                <w:rFonts w:ascii="Arial" w:cs="Arial" w:eastAsia="Arial" w:hAnsi="Arial"/>
                <w:sz w:val="14"/>
                <w:szCs w:val="14"/>
                <w:color w:val="auto"/>
              </w:rPr>
              <w:t>Barra da Tijuca, Brazil</w:t>
            </w:r>
          </w:p>
        </w:tc>
        <w:tc>
          <w:tcPr>
            <w:tcW w:w="1060" w:type="dxa"/>
            <w:vAlign w:val="bottom"/>
          </w:tcPr>
          <w:p>
            <w:pPr>
              <w:jc w:val="right"/>
              <w:spacing w:after="0"/>
              <w:rPr>
                <w:sz w:val="20"/>
                <w:szCs w:val="20"/>
                <w:color w:val="auto"/>
              </w:rPr>
            </w:pPr>
            <w:r>
              <w:rPr>
                <w:rFonts w:ascii="Arial" w:cs="Arial" w:eastAsia="Arial" w:hAnsi="Arial"/>
                <w:sz w:val="14"/>
                <w:szCs w:val="14"/>
                <w:color w:val="auto"/>
              </w:rPr>
              <w:t>264</w:t>
            </w:r>
          </w:p>
        </w:tc>
      </w:tr>
      <w:tr>
        <w:trPr>
          <w:trHeight w:val="187"/>
        </w:trPr>
        <w:tc>
          <w:tcPr>
            <w:tcW w:w="65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Courtyard by Marriott Toulouse Airport</w:t>
            </w:r>
          </w:p>
        </w:tc>
        <w:tc>
          <w:tcPr>
            <w:tcW w:w="30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Toulouse, France</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r>
      <w:tr>
        <w:trPr>
          <w:trHeight w:val="182"/>
        </w:trPr>
        <w:tc>
          <w:tcPr>
            <w:tcW w:w="6540" w:type="dxa"/>
            <w:vAlign w:val="bottom"/>
            <w:gridSpan w:val="2"/>
          </w:tcPr>
          <w:p>
            <w:pPr>
              <w:ind w:left="840"/>
              <w:spacing w:after="0"/>
              <w:rPr>
                <w:sz w:val="20"/>
                <w:szCs w:val="20"/>
                <w:color w:val="auto"/>
              </w:rPr>
            </w:pPr>
            <w:r>
              <w:rPr>
                <w:rFonts w:ascii="Arial" w:cs="Arial" w:eastAsia="Arial" w:hAnsi="Arial"/>
                <w:sz w:val="14"/>
                <w:szCs w:val="14"/>
                <w:color w:val="auto"/>
              </w:rPr>
              <w:t>Colony Club, Barbados</w:t>
            </w:r>
          </w:p>
        </w:tc>
        <w:tc>
          <w:tcPr>
            <w:tcW w:w="3080" w:type="dxa"/>
            <w:vAlign w:val="bottom"/>
            <w:gridSpan w:val="2"/>
          </w:tcPr>
          <w:p>
            <w:pPr>
              <w:ind w:left="420"/>
              <w:spacing w:after="0"/>
              <w:rPr>
                <w:sz w:val="20"/>
                <w:szCs w:val="20"/>
                <w:color w:val="auto"/>
              </w:rPr>
            </w:pPr>
            <w:r>
              <w:rPr>
                <w:rFonts w:ascii="Arial" w:cs="Arial" w:eastAsia="Arial" w:hAnsi="Arial"/>
                <w:sz w:val="14"/>
                <w:szCs w:val="14"/>
                <w:color w:val="auto"/>
              </w:rPr>
              <w:t>Barbados</w:t>
            </w:r>
          </w:p>
        </w:tc>
        <w:tc>
          <w:tcPr>
            <w:tcW w:w="1060" w:type="dxa"/>
            <w:vAlign w:val="bottom"/>
          </w:tcPr>
          <w:p>
            <w:pPr>
              <w:jc w:val="right"/>
              <w:spacing w:after="0"/>
              <w:rPr>
                <w:sz w:val="20"/>
                <w:szCs w:val="20"/>
                <w:color w:val="auto"/>
              </w:rPr>
            </w:pPr>
            <w:r>
              <w:rPr>
                <w:rFonts w:ascii="Arial" w:cs="Arial" w:eastAsia="Arial" w:hAnsi="Arial"/>
                <w:sz w:val="14"/>
                <w:szCs w:val="14"/>
                <w:color w:val="auto"/>
              </w:rPr>
              <w:t>96</w:t>
            </w:r>
          </w:p>
        </w:tc>
      </w:tr>
      <w:tr>
        <w:trPr>
          <w:trHeight w:val="187"/>
        </w:trPr>
        <w:tc>
          <w:tcPr>
            <w:tcW w:w="65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Crystal Cove, Barbados</w:t>
            </w:r>
          </w:p>
        </w:tc>
        <w:tc>
          <w:tcPr>
            <w:tcW w:w="30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Barbados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r>
      <w:tr>
        <w:trPr>
          <w:trHeight w:val="182"/>
        </w:trPr>
        <w:tc>
          <w:tcPr>
            <w:tcW w:w="6540" w:type="dxa"/>
            <w:vAlign w:val="bottom"/>
            <w:gridSpan w:val="2"/>
          </w:tcPr>
          <w:p>
            <w:pPr>
              <w:ind w:left="840"/>
              <w:spacing w:after="0"/>
              <w:rPr>
                <w:sz w:val="20"/>
                <w:szCs w:val="20"/>
                <w:color w:val="auto"/>
              </w:rPr>
            </w:pPr>
            <w:r>
              <w:rPr>
                <w:rFonts w:ascii="Arial" w:cs="Arial" w:eastAsia="Arial" w:hAnsi="Arial"/>
                <w:sz w:val="14"/>
                <w:szCs w:val="14"/>
                <w:color w:val="auto"/>
              </w:rPr>
              <w:t>Marriott Puerto Vallarta Resort &amp; Spa</w:t>
            </w:r>
          </w:p>
        </w:tc>
        <w:tc>
          <w:tcPr>
            <w:tcW w:w="3080" w:type="dxa"/>
            <w:vAlign w:val="bottom"/>
            <w:gridSpan w:val="2"/>
          </w:tcPr>
          <w:p>
            <w:pPr>
              <w:ind w:left="420"/>
              <w:spacing w:after="0"/>
              <w:rPr>
                <w:sz w:val="20"/>
                <w:szCs w:val="20"/>
                <w:color w:val="auto"/>
              </w:rPr>
            </w:pPr>
            <w:r>
              <w:rPr>
                <w:rFonts w:ascii="Arial" w:cs="Arial" w:eastAsia="Arial" w:hAnsi="Arial"/>
                <w:sz w:val="14"/>
                <w:szCs w:val="14"/>
                <w:color w:val="auto"/>
              </w:rPr>
              <w:t>Mexico</w:t>
            </w:r>
          </w:p>
        </w:tc>
        <w:tc>
          <w:tcPr>
            <w:tcW w:w="1060" w:type="dxa"/>
            <w:vAlign w:val="bottom"/>
          </w:tcPr>
          <w:p>
            <w:pPr>
              <w:jc w:val="right"/>
              <w:spacing w:after="0"/>
              <w:rPr>
                <w:sz w:val="20"/>
                <w:szCs w:val="20"/>
                <w:color w:val="auto"/>
              </w:rPr>
            </w:pPr>
            <w:r>
              <w:rPr>
                <w:rFonts w:ascii="Arial" w:cs="Arial" w:eastAsia="Arial" w:hAnsi="Arial"/>
                <w:sz w:val="14"/>
                <w:szCs w:val="14"/>
                <w:color w:val="auto"/>
              </w:rPr>
              <w:t>433</w:t>
            </w:r>
          </w:p>
        </w:tc>
      </w:tr>
      <w:tr>
        <w:trPr>
          <w:trHeight w:val="187"/>
        </w:trPr>
        <w:tc>
          <w:tcPr>
            <w:tcW w:w="65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Residence Inn Rio de Janeiro Barra da Tijuca</w:t>
            </w:r>
          </w:p>
        </w:tc>
        <w:tc>
          <w:tcPr>
            <w:tcW w:w="30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Barra da Tijuca, Brazil</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r>
      <w:tr>
        <w:trPr>
          <w:trHeight w:val="182"/>
        </w:trPr>
        <w:tc>
          <w:tcPr>
            <w:tcW w:w="6540" w:type="dxa"/>
            <w:vAlign w:val="bottom"/>
            <w:gridSpan w:val="2"/>
          </w:tcPr>
          <w:p>
            <w:pPr>
              <w:ind w:left="840"/>
              <w:spacing w:after="0"/>
              <w:rPr>
                <w:sz w:val="20"/>
                <w:szCs w:val="20"/>
                <w:color w:val="auto"/>
              </w:rPr>
            </w:pPr>
            <w:r>
              <w:rPr>
                <w:rFonts w:ascii="Arial" w:cs="Arial" w:eastAsia="Arial" w:hAnsi="Arial"/>
                <w:sz w:val="14"/>
                <w:szCs w:val="14"/>
                <w:color w:val="auto"/>
              </w:rPr>
              <w:t>Sheraton Grand Rio Hotel &amp; Resort</w:t>
            </w:r>
          </w:p>
        </w:tc>
        <w:tc>
          <w:tcPr>
            <w:tcW w:w="3080" w:type="dxa"/>
            <w:vAlign w:val="bottom"/>
            <w:gridSpan w:val="2"/>
          </w:tcPr>
          <w:p>
            <w:pPr>
              <w:ind w:left="420"/>
              <w:spacing w:after="0"/>
              <w:rPr>
                <w:sz w:val="20"/>
                <w:szCs w:val="20"/>
                <w:color w:val="auto"/>
              </w:rPr>
            </w:pPr>
            <w:r>
              <w:rPr>
                <w:rFonts w:ascii="Arial" w:cs="Arial" w:eastAsia="Arial" w:hAnsi="Arial"/>
                <w:sz w:val="14"/>
                <w:szCs w:val="14"/>
                <w:color w:val="auto"/>
              </w:rPr>
              <w:t>Rio de Janeiro, Brazil</w:t>
            </w:r>
          </w:p>
        </w:tc>
        <w:tc>
          <w:tcPr>
            <w:tcW w:w="1060" w:type="dxa"/>
            <w:vAlign w:val="bottom"/>
          </w:tcPr>
          <w:p>
            <w:pPr>
              <w:jc w:val="right"/>
              <w:spacing w:after="0"/>
              <w:rPr>
                <w:sz w:val="20"/>
                <w:szCs w:val="20"/>
                <w:color w:val="auto"/>
              </w:rPr>
            </w:pPr>
            <w:r>
              <w:rPr>
                <w:rFonts w:ascii="Arial" w:cs="Arial" w:eastAsia="Arial" w:hAnsi="Arial"/>
                <w:sz w:val="14"/>
                <w:szCs w:val="14"/>
                <w:color w:val="auto"/>
              </w:rPr>
              <w:t>538</w:t>
            </w:r>
          </w:p>
        </w:tc>
      </w:tr>
      <w:tr>
        <w:trPr>
          <w:trHeight w:val="187"/>
        </w:trPr>
        <w:tc>
          <w:tcPr>
            <w:tcW w:w="65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Sheraton Lima Hotel &amp; Convention Center</w:t>
            </w:r>
          </w:p>
        </w:tc>
        <w:tc>
          <w:tcPr>
            <w:tcW w:w="30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Lima, Peru</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w:t>
            </w:r>
          </w:p>
        </w:tc>
      </w:tr>
      <w:tr>
        <w:trPr>
          <w:trHeight w:val="182"/>
        </w:trPr>
        <w:tc>
          <w:tcPr>
            <w:tcW w:w="6540" w:type="dxa"/>
            <w:vAlign w:val="bottom"/>
            <w:gridSpan w:val="2"/>
          </w:tcPr>
          <w:p>
            <w:pPr>
              <w:ind w:left="840"/>
              <w:spacing w:after="0"/>
              <w:rPr>
                <w:sz w:val="20"/>
                <w:szCs w:val="20"/>
                <w:color w:val="auto"/>
              </w:rPr>
            </w:pPr>
            <w:r>
              <w:rPr>
                <w:rFonts w:ascii="Arial" w:cs="Arial" w:eastAsia="Arial" w:hAnsi="Arial"/>
                <w:sz w:val="14"/>
                <w:szCs w:val="14"/>
                <w:color w:val="auto"/>
              </w:rPr>
              <w:t>Sheraton Mexico City Maria Isabel Hotel</w:t>
            </w:r>
          </w:p>
        </w:tc>
        <w:tc>
          <w:tcPr>
            <w:tcW w:w="3080" w:type="dxa"/>
            <w:vAlign w:val="bottom"/>
            <w:gridSpan w:val="2"/>
          </w:tcPr>
          <w:p>
            <w:pPr>
              <w:ind w:left="420"/>
              <w:spacing w:after="0"/>
              <w:rPr>
                <w:sz w:val="20"/>
                <w:szCs w:val="20"/>
                <w:color w:val="auto"/>
              </w:rPr>
            </w:pPr>
            <w:r>
              <w:rPr>
                <w:rFonts w:ascii="Arial" w:cs="Arial" w:eastAsia="Arial" w:hAnsi="Arial"/>
                <w:sz w:val="14"/>
                <w:szCs w:val="14"/>
                <w:color w:val="auto"/>
              </w:rPr>
              <w:t>Mexico City, Mexico</w:t>
            </w:r>
          </w:p>
        </w:tc>
        <w:tc>
          <w:tcPr>
            <w:tcW w:w="1060" w:type="dxa"/>
            <w:vAlign w:val="bottom"/>
          </w:tcPr>
          <w:p>
            <w:pPr>
              <w:jc w:val="right"/>
              <w:spacing w:after="0"/>
              <w:rPr>
                <w:sz w:val="20"/>
                <w:szCs w:val="20"/>
                <w:color w:val="auto"/>
              </w:rPr>
            </w:pPr>
            <w:r>
              <w:rPr>
                <w:rFonts w:ascii="Arial" w:cs="Arial" w:eastAsia="Arial" w:hAnsi="Arial"/>
                <w:sz w:val="14"/>
                <w:szCs w:val="14"/>
                <w:color w:val="auto"/>
              </w:rPr>
              <w:t>755</w:t>
            </w:r>
          </w:p>
        </w:tc>
      </w:tr>
      <w:tr>
        <w:trPr>
          <w:trHeight w:val="187"/>
        </w:trPr>
        <w:tc>
          <w:tcPr>
            <w:tcW w:w="65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Tamarind, Barbados</w:t>
            </w:r>
          </w:p>
        </w:tc>
        <w:tc>
          <w:tcPr>
            <w:tcW w:w="30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Barbados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r>
      <w:tr>
        <w:trPr>
          <w:trHeight w:val="182"/>
        </w:trPr>
        <w:tc>
          <w:tcPr>
            <w:tcW w:w="6540" w:type="dxa"/>
            <w:vAlign w:val="bottom"/>
            <w:gridSpan w:val="2"/>
          </w:tcPr>
          <w:p>
            <w:pPr>
              <w:ind w:left="840"/>
              <w:spacing w:after="0"/>
              <w:rPr>
                <w:sz w:val="20"/>
                <w:szCs w:val="20"/>
                <w:color w:val="auto"/>
              </w:rPr>
            </w:pPr>
            <w:r>
              <w:rPr>
                <w:rFonts w:ascii="Arial" w:cs="Arial" w:eastAsia="Arial" w:hAnsi="Arial"/>
                <w:sz w:val="14"/>
                <w:szCs w:val="14"/>
                <w:color w:val="auto"/>
              </w:rPr>
              <w:t>The House, Barbados</w:t>
            </w:r>
          </w:p>
        </w:tc>
        <w:tc>
          <w:tcPr>
            <w:tcW w:w="3080" w:type="dxa"/>
            <w:vAlign w:val="bottom"/>
            <w:gridSpan w:val="2"/>
          </w:tcPr>
          <w:p>
            <w:pPr>
              <w:ind w:left="420"/>
              <w:spacing w:after="0"/>
              <w:rPr>
                <w:sz w:val="20"/>
                <w:szCs w:val="20"/>
                <w:color w:val="auto"/>
              </w:rPr>
            </w:pPr>
            <w:r>
              <w:rPr>
                <w:rFonts w:ascii="Arial" w:cs="Arial" w:eastAsia="Arial" w:hAnsi="Arial"/>
                <w:sz w:val="14"/>
                <w:szCs w:val="14"/>
                <w:color w:val="auto"/>
              </w:rPr>
              <w:t>Barbados</w:t>
            </w:r>
          </w:p>
        </w:tc>
        <w:tc>
          <w:tcPr>
            <w:tcW w:w="10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187"/>
        </w:trPr>
        <w:tc>
          <w:tcPr>
            <w:tcW w:w="65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Treasure Beach, Barbados</w:t>
            </w:r>
          </w:p>
        </w:tc>
        <w:tc>
          <w:tcPr>
            <w:tcW w:w="30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Barbados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182"/>
        </w:trPr>
        <w:tc>
          <w:tcPr>
            <w:tcW w:w="6540" w:type="dxa"/>
            <w:vAlign w:val="bottom"/>
            <w:gridSpan w:val="2"/>
          </w:tcPr>
          <w:p>
            <w:pPr>
              <w:ind w:left="840"/>
              <w:spacing w:after="0"/>
              <w:rPr>
                <w:sz w:val="20"/>
                <w:szCs w:val="20"/>
                <w:color w:val="auto"/>
              </w:rPr>
            </w:pPr>
            <w:r>
              <w:rPr>
                <w:rFonts w:ascii="Arial" w:cs="Arial" w:eastAsia="Arial" w:hAnsi="Arial"/>
                <w:sz w:val="14"/>
                <w:szCs w:val="14"/>
                <w:color w:val="auto"/>
              </w:rPr>
              <w:t>Turtle Beach, Barbados</w:t>
            </w:r>
          </w:p>
        </w:tc>
        <w:tc>
          <w:tcPr>
            <w:tcW w:w="3080" w:type="dxa"/>
            <w:vAlign w:val="bottom"/>
            <w:gridSpan w:val="2"/>
          </w:tcPr>
          <w:p>
            <w:pPr>
              <w:ind w:left="420"/>
              <w:spacing w:after="0"/>
              <w:rPr>
                <w:sz w:val="20"/>
                <w:szCs w:val="20"/>
                <w:color w:val="auto"/>
              </w:rPr>
            </w:pPr>
            <w:r>
              <w:rPr>
                <w:rFonts w:ascii="Arial" w:cs="Arial" w:eastAsia="Arial" w:hAnsi="Arial"/>
                <w:sz w:val="14"/>
                <w:szCs w:val="14"/>
                <w:color w:val="auto"/>
              </w:rPr>
              <w:t>Barbados</w:t>
            </w:r>
          </w:p>
        </w:tc>
        <w:tc>
          <w:tcPr>
            <w:tcW w:w="1060" w:type="dxa"/>
            <w:vAlign w:val="bottom"/>
          </w:tcPr>
          <w:p>
            <w:pPr>
              <w:jc w:val="right"/>
              <w:spacing w:after="0"/>
              <w:rPr>
                <w:sz w:val="20"/>
                <w:szCs w:val="20"/>
                <w:color w:val="auto"/>
              </w:rPr>
            </w:pPr>
            <w:r>
              <w:rPr>
                <w:rFonts w:ascii="Arial" w:cs="Arial" w:eastAsia="Arial" w:hAnsi="Arial"/>
                <w:sz w:val="14"/>
                <w:szCs w:val="14"/>
                <w:color w:val="auto"/>
              </w:rPr>
              <w:t>161</w:t>
            </w:r>
          </w:p>
        </w:tc>
      </w:tr>
      <w:tr>
        <w:trPr>
          <w:trHeight w:val="187"/>
        </w:trPr>
        <w:tc>
          <w:tcPr>
            <w:tcW w:w="65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Waves, Barbados</w:t>
            </w:r>
          </w:p>
        </w:tc>
        <w:tc>
          <w:tcPr>
            <w:tcW w:w="30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Barbados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r>
      <w:tr>
        <w:trPr>
          <w:trHeight w:val="182"/>
        </w:trPr>
        <w:tc>
          <w:tcPr>
            <w:tcW w:w="6540" w:type="dxa"/>
            <w:vAlign w:val="bottom"/>
            <w:gridSpan w:val="2"/>
          </w:tcPr>
          <w:p>
            <w:pPr>
              <w:ind w:left="420"/>
              <w:spacing w:after="0"/>
              <w:rPr>
                <w:sz w:val="20"/>
                <w:szCs w:val="20"/>
                <w:color w:val="auto"/>
              </w:rPr>
            </w:pPr>
            <w:r>
              <w:rPr>
                <w:rFonts w:ascii="Arial" w:cs="Arial" w:eastAsia="Arial" w:hAnsi="Arial"/>
                <w:sz w:val="14"/>
                <w:szCs w:val="14"/>
                <w:i w:val="1"/>
                <w:iCs w:val="1"/>
                <w:color w:val="auto"/>
              </w:rPr>
              <w:t>International Leased Hotels</w:t>
            </w:r>
          </w:p>
        </w:tc>
        <w:tc>
          <w:tcPr>
            <w:tcW w:w="2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7"/>
        </w:trPr>
        <w:tc>
          <w:tcPr>
            <w:tcW w:w="65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15 on Orange Hotel, Autograph Collection</w:t>
            </w:r>
          </w:p>
        </w:tc>
        <w:tc>
          <w:tcPr>
            <w:tcW w:w="30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Cape Town, South Africa</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r>
      <w:tr>
        <w:trPr>
          <w:trHeight w:val="182"/>
        </w:trPr>
        <w:tc>
          <w:tcPr>
            <w:tcW w:w="6540" w:type="dxa"/>
            <w:vAlign w:val="bottom"/>
            <w:gridSpan w:val="2"/>
          </w:tcPr>
          <w:p>
            <w:pPr>
              <w:ind w:left="840"/>
              <w:spacing w:after="0"/>
              <w:rPr>
                <w:sz w:val="20"/>
                <w:szCs w:val="20"/>
                <w:color w:val="auto"/>
              </w:rPr>
            </w:pPr>
            <w:r>
              <w:rPr>
                <w:rFonts w:ascii="Arial" w:cs="Arial" w:eastAsia="Arial" w:hAnsi="Arial"/>
                <w:sz w:val="14"/>
                <w:szCs w:val="14"/>
                <w:color w:val="auto"/>
              </w:rPr>
              <w:t>African Pride Melrose Arch, Autograph Collection</w:t>
            </w:r>
          </w:p>
        </w:tc>
        <w:tc>
          <w:tcPr>
            <w:tcW w:w="3080" w:type="dxa"/>
            <w:vAlign w:val="bottom"/>
            <w:gridSpan w:val="2"/>
          </w:tcPr>
          <w:p>
            <w:pPr>
              <w:ind w:left="420"/>
              <w:spacing w:after="0"/>
              <w:rPr>
                <w:sz w:val="20"/>
                <w:szCs w:val="20"/>
                <w:color w:val="auto"/>
              </w:rPr>
            </w:pPr>
            <w:r>
              <w:rPr>
                <w:rFonts w:ascii="Arial" w:cs="Arial" w:eastAsia="Arial" w:hAnsi="Arial"/>
                <w:sz w:val="14"/>
                <w:szCs w:val="14"/>
                <w:color w:val="auto"/>
              </w:rPr>
              <w:t>Johannesburg, South Africa</w:t>
            </w:r>
          </w:p>
        </w:tc>
        <w:tc>
          <w:tcPr>
            <w:tcW w:w="1060" w:type="dxa"/>
            <w:vAlign w:val="bottom"/>
          </w:tcPr>
          <w:p>
            <w:pPr>
              <w:jc w:val="right"/>
              <w:spacing w:after="0"/>
              <w:rPr>
                <w:sz w:val="20"/>
                <w:szCs w:val="20"/>
                <w:color w:val="auto"/>
              </w:rPr>
            </w:pPr>
            <w:r>
              <w:rPr>
                <w:rFonts w:ascii="Arial" w:cs="Arial" w:eastAsia="Arial" w:hAnsi="Arial"/>
                <w:sz w:val="14"/>
                <w:szCs w:val="14"/>
                <w:color w:val="auto"/>
              </w:rPr>
              <w:t>118</w:t>
            </w:r>
          </w:p>
        </w:tc>
      </w:tr>
      <w:tr>
        <w:trPr>
          <w:trHeight w:val="187"/>
        </w:trPr>
        <w:tc>
          <w:tcPr>
            <w:tcW w:w="65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Berlin Marriott Hotel</w:t>
            </w:r>
          </w:p>
        </w:tc>
        <w:tc>
          <w:tcPr>
            <w:tcW w:w="30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Berlin, Germany</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r>
      <w:tr>
        <w:trPr>
          <w:trHeight w:val="182"/>
        </w:trPr>
        <w:tc>
          <w:tcPr>
            <w:tcW w:w="6540" w:type="dxa"/>
            <w:vAlign w:val="bottom"/>
            <w:gridSpan w:val="2"/>
          </w:tcPr>
          <w:p>
            <w:pPr>
              <w:ind w:left="840"/>
              <w:spacing w:after="0"/>
              <w:rPr>
                <w:sz w:val="20"/>
                <w:szCs w:val="20"/>
                <w:color w:val="auto"/>
              </w:rPr>
            </w:pPr>
            <w:r>
              <w:rPr>
                <w:rFonts w:ascii="Arial" w:cs="Arial" w:eastAsia="Arial" w:hAnsi="Arial"/>
                <w:sz w:val="14"/>
                <w:szCs w:val="14"/>
                <w:color w:val="auto"/>
              </w:rPr>
              <w:t>Cape Town Marriott Hotel Crystal Towers</w:t>
            </w:r>
          </w:p>
        </w:tc>
        <w:tc>
          <w:tcPr>
            <w:tcW w:w="3080" w:type="dxa"/>
            <w:vAlign w:val="bottom"/>
            <w:gridSpan w:val="2"/>
          </w:tcPr>
          <w:p>
            <w:pPr>
              <w:ind w:left="420"/>
              <w:spacing w:after="0"/>
              <w:rPr>
                <w:sz w:val="20"/>
                <w:szCs w:val="20"/>
                <w:color w:val="auto"/>
              </w:rPr>
            </w:pPr>
            <w:r>
              <w:rPr>
                <w:rFonts w:ascii="Arial" w:cs="Arial" w:eastAsia="Arial" w:hAnsi="Arial"/>
                <w:sz w:val="14"/>
                <w:szCs w:val="14"/>
                <w:color w:val="auto"/>
              </w:rPr>
              <w:t>Cape Town, South Africa</w:t>
            </w:r>
          </w:p>
        </w:tc>
        <w:tc>
          <w:tcPr>
            <w:tcW w:w="1060" w:type="dxa"/>
            <w:vAlign w:val="bottom"/>
          </w:tcPr>
          <w:p>
            <w:pPr>
              <w:jc w:val="right"/>
              <w:spacing w:after="0"/>
              <w:rPr>
                <w:sz w:val="20"/>
                <w:szCs w:val="20"/>
                <w:color w:val="auto"/>
              </w:rPr>
            </w:pPr>
            <w:r>
              <w:rPr>
                <w:rFonts w:ascii="Arial" w:cs="Arial" w:eastAsia="Arial" w:hAnsi="Arial"/>
                <w:sz w:val="14"/>
                <w:szCs w:val="14"/>
                <w:color w:val="auto"/>
              </w:rPr>
              <w:t>180</w:t>
            </w:r>
          </w:p>
        </w:tc>
      </w:tr>
      <w:tr>
        <w:trPr>
          <w:trHeight w:val="187"/>
        </w:trPr>
        <w:tc>
          <w:tcPr>
            <w:tcW w:w="65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Courtyard by Marriott Paris Gare de Lyon</w:t>
            </w:r>
          </w:p>
        </w:tc>
        <w:tc>
          <w:tcPr>
            <w:tcW w:w="30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Paris, France</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r>
      <w:tr>
        <w:trPr>
          <w:trHeight w:val="182"/>
        </w:trPr>
        <w:tc>
          <w:tcPr>
            <w:tcW w:w="6540" w:type="dxa"/>
            <w:vAlign w:val="bottom"/>
            <w:gridSpan w:val="2"/>
          </w:tcPr>
          <w:p>
            <w:pPr>
              <w:ind w:left="840"/>
              <w:spacing w:after="0"/>
              <w:rPr>
                <w:sz w:val="20"/>
                <w:szCs w:val="20"/>
                <w:color w:val="auto"/>
              </w:rPr>
            </w:pPr>
            <w:r>
              <w:rPr>
                <w:rFonts w:ascii="Arial" w:cs="Arial" w:eastAsia="Arial" w:hAnsi="Arial"/>
                <w:sz w:val="14"/>
                <w:szCs w:val="14"/>
                <w:color w:val="auto"/>
              </w:rPr>
              <w:t>Frankfurt Marriott Hotel</w:t>
            </w:r>
          </w:p>
        </w:tc>
        <w:tc>
          <w:tcPr>
            <w:tcW w:w="3080" w:type="dxa"/>
            <w:vAlign w:val="bottom"/>
            <w:gridSpan w:val="2"/>
          </w:tcPr>
          <w:p>
            <w:pPr>
              <w:ind w:left="420"/>
              <w:spacing w:after="0"/>
              <w:rPr>
                <w:sz w:val="20"/>
                <w:szCs w:val="20"/>
                <w:color w:val="auto"/>
              </w:rPr>
            </w:pPr>
            <w:r>
              <w:rPr>
                <w:rFonts w:ascii="Arial" w:cs="Arial" w:eastAsia="Arial" w:hAnsi="Arial"/>
                <w:sz w:val="14"/>
                <w:szCs w:val="14"/>
                <w:color w:val="auto"/>
              </w:rPr>
              <w:t>Frankfurt, Germany</w:t>
            </w:r>
          </w:p>
        </w:tc>
        <w:tc>
          <w:tcPr>
            <w:tcW w:w="1060" w:type="dxa"/>
            <w:vAlign w:val="bottom"/>
          </w:tcPr>
          <w:p>
            <w:pPr>
              <w:jc w:val="right"/>
              <w:spacing w:after="0"/>
              <w:rPr>
                <w:sz w:val="20"/>
                <w:szCs w:val="20"/>
                <w:color w:val="auto"/>
              </w:rPr>
            </w:pPr>
            <w:r>
              <w:rPr>
                <w:rFonts w:ascii="Arial" w:cs="Arial" w:eastAsia="Arial" w:hAnsi="Arial"/>
                <w:sz w:val="14"/>
                <w:szCs w:val="14"/>
                <w:color w:val="auto"/>
              </w:rPr>
              <w:t>593</w:t>
            </w:r>
          </w:p>
        </w:tc>
      </w:tr>
      <w:tr>
        <w:trPr>
          <w:trHeight w:val="187"/>
        </w:trPr>
        <w:tc>
          <w:tcPr>
            <w:tcW w:w="65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Grosvenor House, A JW Marriott Hotel</w:t>
            </w:r>
          </w:p>
        </w:tc>
        <w:tc>
          <w:tcPr>
            <w:tcW w:w="30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London, UK</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w:t>
            </w:r>
          </w:p>
        </w:tc>
      </w:tr>
      <w:tr>
        <w:trPr>
          <w:trHeight w:val="182"/>
        </w:trPr>
        <w:tc>
          <w:tcPr>
            <w:tcW w:w="6540" w:type="dxa"/>
            <w:vAlign w:val="bottom"/>
            <w:gridSpan w:val="2"/>
          </w:tcPr>
          <w:p>
            <w:pPr>
              <w:ind w:left="840"/>
              <w:spacing w:after="0"/>
              <w:rPr>
                <w:sz w:val="20"/>
                <w:szCs w:val="20"/>
                <w:color w:val="auto"/>
              </w:rPr>
            </w:pPr>
            <w:r>
              <w:rPr>
                <w:rFonts w:ascii="Arial" w:cs="Arial" w:eastAsia="Arial" w:hAnsi="Arial"/>
                <w:sz w:val="14"/>
                <w:szCs w:val="14"/>
                <w:color w:val="auto"/>
              </w:rPr>
              <w:t>Heidelberg Marriott Hotel</w:t>
            </w:r>
          </w:p>
        </w:tc>
        <w:tc>
          <w:tcPr>
            <w:tcW w:w="3080" w:type="dxa"/>
            <w:vAlign w:val="bottom"/>
            <w:gridSpan w:val="2"/>
          </w:tcPr>
          <w:p>
            <w:pPr>
              <w:ind w:left="420"/>
              <w:spacing w:after="0"/>
              <w:rPr>
                <w:sz w:val="20"/>
                <w:szCs w:val="20"/>
                <w:color w:val="auto"/>
              </w:rPr>
            </w:pPr>
            <w:r>
              <w:rPr>
                <w:rFonts w:ascii="Arial" w:cs="Arial" w:eastAsia="Arial" w:hAnsi="Arial"/>
                <w:sz w:val="14"/>
                <w:szCs w:val="14"/>
                <w:color w:val="auto"/>
              </w:rPr>
              <w:t>Heidelberg, Germany</w:t>
            </w:r>
          </w:p>
        </w:tc>
        <w:tc>
          <w:tcPr>
            <w:tcW w:w="1060" w:type="dxa"/>
            <w:vAlign w:val="bottom"/>
          </w:tcPr>
          <w:p>
            <w:pPr>
              <w:jc w:val="right"/>
              <w:spacing w:after="0"/>
              <w:rPr>
                <w:sz w:val="20"/>
                <w:szCs w:val="20"/>
                <w:color w:val="auto"/>
              </w:rPr>
            </w:pPr>
            <w:r>
              <w:rPr>
                <w:rFonts w:ascii="Arial" w:cs="Arial" w:eastAsia="Arial" w:hAnsi="Arial"/>
                <w:sz w:val="14"/>
                <w:szCs w:val="14"/>
                <w:color w:val="auto"/>
              </w:rPr>
              <w:t>248</w:t>
            </w:r>
          </w:p>
        </w:tc>
      </w:tr>
      <w:tr>
        <w:trPr>
          <w:trHeight w:val="187"/>
        </w:trPr>
        <w:tc>
          <w:tcPr>
            <w:tcW w:w="65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Hotel Alfonso XIII, a Luxury Collection Hotel, Seville</w:t>
            </w:r>
          </w:p>
        </w:tc>
        <w:tc>
          <w:tcPr>
            <w:tcW w:w="30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Seville, Spain</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r>
      <w:tr>
        <w:trPr>
          <w:trHeight w:val="182"/>
        </w:trPr>
        <w:tc>
          <w:tcPr>
            <w:tcW w:w="6540" w:type="dxa"/>
            <w:vAlign w:val="bottom"/>
            <w:gridSpan w:val="2"/>
          </w:tcPr>
          <w:p>
            <w:pPr>
              <w:ind w:left="840"/>
              <w:spacing w:after="0"/>
              <w:rPr>
                <w:sz w:val="20"/>
                <w:szCs w:val="20"/>
                <w:color w:val="auto"/>
              </w:rPr>
            </w:pPr>
            <w:r>
              <w:rPr>
                <w:rFonts w:ascii="Arial" w:cs="Arial" w:eastAsia="Arial" w:hAnsi="Arial"/>
                <w:sz w:val="14"/>
                <w:szCs w:val="14"/>
                <w:color w:val="auto"/>
              </w:rPr>
              <w:t>Hotel Maria Cristina, San Sebastian</w:t>
            </w:r>
          </w:p>
        </w:tc>
        <w:tc>
          <w:tcPr>
            <w:tcW w:w="3080" w:type="dxa"/>
            <w:vAlign w:val="bottom"/>
            <w:gridSpan w:val="2"/>
          </w:tcPr>
          <w:p>
            <w:pPr>
              <w:ind w:left="420"/>
              <w:spacing w:after="0"/>
              <w:rPr>
                <w:sz w:val="20"/>
                <w:szCs w:val="20"/>
                <w:color w:val="auto"/>
              </w:rPr>
            </w:pPr>
            <w:r>
              <w:rPr>
                <w:rFonts w:ascii="Arial" w:cs="Arial" w:eastAsia="Arial" w:hAnsi="Arial"/>
                <w:sz w:val="14"/>
                <w:szCs w:val="14"/>
                <w:color w:val="auto"/>
              </w:rPr>
              <w:t>San Sebastian, Spain</w:t>
            </w:r>
          </w:p>
        </w:tc>
        <w:tc>
          <w:tcPr>
            <w:tcW w:w="1060" w:type="dxa"/>
            <w:vAlign w:val="bottom"/>
          </w:tcPr>
          <w:p>
            <w:pPr>
              <w:jc w:val="right"/>
              <w:spacing w:after="0"/>
              <w:rPr>
                <w:sz w:val="20"/>
                <w:szCs w:val="20"/>
                <w:color w:val="auto"/>
              </w:rPr>
            </w:pPr>
            <w:r>
              <w:rPr>
                <w:rFonts w:ascii="Arial" w:cs="Arial" w:eastAsia="Arial" w:hAnsi="Arial"/>
                <w:sz w:val="14"/>
                <w:szCs w:val="14"/>
                <w:color w:val="auto"/>
              </w:rPr>
              <w:t>139</w:t>
            </w:r>
          </w:p>
        </w:tc>
      </w:tr>
      <w:tr>
        <w:trPr>
          <w:trHeight w:val="187"/>
        </w:trPr>
        <w:tc>
          <w:tcPr>
            <w:tcW w:w="65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Leipzig Marriott Hotel</w:t>
            </w:r>
          </w:p>
        </w:tc>
        <w:tc>
          <w:tcPr>
            <w:tcW w:w="30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Leipzig, Germany</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r>
      <w:tr>
        <w:trPr>
          <w:trHeight w:val="182"/>
        </w:trPr>
        <w:tc>
          <w:tcPr>
            <w:tcW w:w="6540" w:type="dxa"/>
            <w:vAlign w:val="bottom"/>
            <w:gridSpan w:val="2"/>
          </w:tcPr>
          <w:p>
            <w:pPr>
              <w:ind w:left="840"/>
              <w:spacing w:after="0"/>
              <w:rPr>
                <w:sz w:val="20"/>
                <w:szCs w:val="20"/>
                <w:color w:val="auto"/>
              </w:rPr>
            </w:pPr>
            <w:r>
              <w:rPr>
                <w:rFonts w:ascii="Arial" w:cs="Arial" w:eastAsia="Arial" w:hAnsi="Arial"/>
                <w:sz w:val="14"/>
                <w:szCs w:val="14"/>
                <w:color w:val="auto"/>
              </w:rPr>
              <w:t>Protea Hotel by Marriott Cape Town Sea Point</w:t>
            </w:r>
          </w:p>
        </w:tc>
        <w:tc>
          <w:tcPr>
            <w:tcW w:w="3080" w:type="dxa"/>
            <w:vAlign w:val="bottom"/>
            <w:gridSpan w:val="2"/>
          </w:tcPr>
          <w:p>
            <w:pPr>
              <w:ind w:left="420"/>
              <w:spacing w:after="0"/>
              <w:rPr>
                <w:sz w:val="20"/>
                <w:szCs w:val="20"/>
                <w:color w:val="auto"/>
              </w:rPr>
            </w:pPr>
            <w:r>
              <w:rPr>
                <w:rFonts w:ascii="Arial" w:cs="Arial" w:eastAsia="Arial" w:hAnsi="Arial"/>
                <w:sz w:val="14"/>
                <w:szCs w:val="14"/>
                <w:color w:val="auto"/>
              </w:rPr>
              <w:t>Cape Town, South Africa</w:t>
            </w:r>
          </w:p>
        </w:tc>
        <w:tc>
          <w:tcPr>
            <w:tcW w:w="1060" w:type="dxa"/>
            <w:vAlign w:val="bottom"/>
          </w:tcPr>
          <w:p>
            <w:pPr>
              <w:jc w:val="right"/>
              <w:spacing w:after="0"/>
              <w:rPr>
                <w:sz w:val="20"/>
                <w:szCs w:val="20"/>
                <w:color w:val="auto"/>
              </w:rPr>
            </w:pPr>
            <w:r>
              <w:rPr>
                <w:rFonts w:ascii="Arial" w:cs="Arial" w:eastAsia="Arial" w:hAnsi="Arial"/>
                <w:sz w:val="14"/>
                <w:szCs w:val="14"/>
                <w:color w:val="auto"/>
              </w:rPr>
              <w:t>124</w:t>
            </w:r>
          </w:p>
        </w:tc>
      </w:tr>
      <w:tr>
        <w:trPr>
          <w:trHeight w:val="187"/>
        </w:trPr>
        <w:tc>
          <w:tcPr>
            <w:tcW w:w="65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Protea Hotel by Marriott Midrand</w:t>
            </w:r>
          </w:p>
        </w:tc>
        <w:tc>
          <w:tcPr>
            <w:tcW w:w="30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Midrand, South Africa</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r>
      <w:tr>
        <w:trPr>
          <w:trHeight w:val="182"/>
        </w:trPr>
        <w:tc>
          <w:tcPr>
            <w:tcW w:w="6540" w:type="dxa"/>
            <w:vAlign w:val="bottom"/>
            <w:gridSpan w:val="2"/>
          </w:tcPr>
          <w:p>
            <w:pPr>
              <w:ind w:left="840"/>
              <w:spacing w:after="0"/>
              <w:rPr>
                <w:sz w:val="20"/>
                <w:szCs w:val="20"/>
                <w:color w:val="auto"/>
              </w:rPr>
            </w:pPr>
            <w:r>
              <w:rPr>
                <w:rFonts w:ascii="Arial" w:cs="Arial" w:eastAsia="Arial" w:hAnsi="Arial"/>
                <w:sz w:val="14"/>
                <w:szCs w:val="14"/>
                <w:color w:val="auto"/>
              </w:rPr>
              <w:t>Protea Hotel by Marriott O.R. Tambo Airport</w:t>
            </w:r>
          </w:p>
        </w:tc>
        <w:tc>
          <w:tcPr>
            <w:tcW w:w="3080" w:type="dxa"/>
            <w:vAlign w:val="bottom"/>
            <w:gridSpan w:val="2"/>
          </w:tcPr>
          <w:p>
            <w:pPr>
              <w:ind w:left="420"/>
              <w:spacing w:after="0"/>
              <w:rPr>
                <w:sz w:val="20"/>
                <w:szCs w:val="20"/>
                <w:color w:val="auto"/>
              </w:rPr>
            </w:pPr>
            <w:r>
              <w:rPr>
                <w:rFonts w:ascii="Arial" w:cs="Arial" w:eastAsia="Arial" w:hAnsi="Arial"/>
                <w:sz w:val="14"/>
                <w:szCs w:val="14"/>
                <w:color w:val="auto"/>
              </w:rPr>
              <w:t>Johannesburg, South Africa</w:t>
            </w:r>
          </w:p>
        </w:tc>
        <w:tc>
          <w:tcPr>
            <w:tcW w:w="1060" w:type="dxa"/>
            <w:vAlign w:val="bottom"/>
          </w:tcPr>
          <w:p>
            <w:pPr>
              <w:jc w:val="right"/>
              <w:spacing w:after="0"/>
              <w:rPr>
                <w:sz w:val="20"/>
                <w:szCs w:val="20"/>
                <w:color w:val="auto"/>
              </w:rPr>
            </w:pPr>
            <w:r>
              <w:rPr>
                <w:rFonts w:ascii="Arial" w:cs="Arial" w:eastAsia="Arial" w:hAnsi="Arial"/>
                <w:sz w:val="14"/>
                <w:szCs w:val="14"/>
                <w:color w:val="auto"/>
              </w:rPr>
              <w:t>213</w:t>
            </w:r>
          </w:p>
        </w:tc>
      </w:tr>
      <w:tr>
        <w:trPr>
          <w:trHeight w:val="187"/>
        </w:trPr>
        <w:tc>
          <w:tcPr>
            <w:tcW w:w="65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Protea Hotel by Marriott Roodepoort</w:t>
            </w:r>
          </w:p>
        </w:tc>
        <w:tc>
          <w:tcPr>
            <w:tcW w:w="30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Roodepoort, South Africa</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r>
      <w:tr>
        <w:trPr>
          <w:trHeight w:val="182"/>
        </w:trPr>
        <w:tc>
          <w:tcPr>
            <w:tcW w:w="6540" w:type="dxa"/>
            <w:vAlign w:val="bottom"/>
            <w:gridSpan w:val="2"/>
          </w:tcPr>
          <w:p>
            <w:pPr>
              <w:ind w:left="840"/>
              <w:spacing w:after="0"/>
              <w:rPr>
                <w:sz w:val="20"/>
                <w:szCs w:val="20"/>
                <w:color w:val="auto"/>
              </w:rPr>
            </w:pPr>
            <w:r>
              <w:rPr>
                <w:rFonts w:ascii="Arial" w:cs="Arial" w:eastAsia="Arial" w:hAnsi="Arial"/>
                <w:sz w:val="14"/>
                <w:szCs w:val="14"/>
                <w:color w:val="auto"/>
              </w:rPr>
              <w:t>Protea Hotel Fire &amp; Ice! by Marriott Cape Town</w:t>
            </w:r>
          </w:p>
        </w:tc>
        <w:tc>
          <w:tcPr>
            <w:tcW w:w="3080" w:type="dxa"/>
            <w:vAlign w:val="bottom"/>
            <w:gridSpan w:val="2"/>
          </w:tcPr>
          <w:p>
            <w:pPr>
              <w:ind w:left="420"/>
              <w:spacing w:after="0"/>
              <w:rPr>
                <w:sz w:val="20"/>
                <w:szCs w:val="20"/>
                <w:color w:val="auto"/>
              </w:rPr>
            </w:pPr>
            <w:r>
              <w:rPr>
                <w:rFonts w:ascii="Arial" w:cs="Arial" w:eastAsia="Arial" w:hAnsi="Arial"/>
                <w:sz w:val="14"/>
                <w:szCs w:val="14"/>
                <w:color w:val="auto"/>
              </w:rPr>
              <w:t>Cape Town, South Africa</w:t>
            </w:r>
          </w:p>
        </w:tc>
        <w:tc>
          <w:tcPr>
            <w:tcW w:w="1060" w:type="dxa"/>
            <w:vAlign w:val="bottom"/>
          </w:tcPr>
          <w:p>
            <w:pPr>
              <w:jc w:val="right"/>
              <w:spacing w:after="0"/>
              <w:rPr>
                <w:sz w:val="20"/>
                <w:szCs w:val="20"/>
                <w:color w:val="auto"/>
              </w:rPr>
            </w:pPr>
            <w:r>
              <w:rPr>
                <w:rFonts w:ascii="Arial" w:cs="Arial" w:eastAsia="Arial" w:hAnsi="Arial"/>
                <w:sz w:val="14"/>
                <w:szCs w:val="14"/>
                <w:color w:val="auto"/>
              </w:rPr>
              <w:t>201</w:t>
            </w:r>
          </w:p>
        </w:tc>
      </w:tr>
      <w:tr>
        <w:trPr>
          <w:trHeight w:val="187"/>
        </w:trPr>
        <w:tc>
          <w:tcPr>
            <w:tcW w:w="65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Protea Hotel Fire &amp; Ice! by Marriott Johannesburg Melrose Arch</w:t>
            </w:r>
          </w:p>
        </w:tc>
        <w:tc>
          <w:tcPr>
            <w:tcW w:w="30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Johannesburg, South Africa</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r>
      <w:tr>
        <w:trPr>
          <w:trHeight w:val="182"/>
        </w:trPr>
        <w:tc>
          <w:tcPr>
            <w:tcW w:w="6540" w:type="dxa"/>
            <w:vAlign w:val="bottom"/>
            <w:gridSpan w:val="2"/>
          </w:tcPr>
          <w:p>
            <w:pPr>
              <w:ind w:left="840"/>
              <w:spacing w:after="0"/>
              <w:rPr>
                <w:sz w:val="20"/>
                <w:szCs w:val="20"/>
                <w:color w:val="auto"/>
              </w:rPr>
            </w:pPr>
            <w:r>
              <w:rPr>
                <w:rFonts w:ascii="Arial" w:cs="Arial" w:eastAsia="Arial" w:hAnsi="Arial"/>
                <w:sz w:val="14"/>
                <w:szCs w:val="14"/>
                <w:color w:val="auto"/>
              </w:rPr>
              <w:t>Renaissance Hamburg Hotel</w:t>
            </w:r>
          </w:p>
        </w:tc>
        <w:tc>
          <w:tcPr>
            <w:tcW w:w="3080" w:type="dxa"/>
            <w:vAlign w:val="bottom"/>
            <w:gridSpan w:val="2"/>
          </w:tcPr>
          <w:p>
            <w:pPr>
              <w:ind w:left="420"/>
              <w:spacing w:after="0"/>
              <w:rPr>
                <w:sz w:val="20"/>
                <w:szCs w:val="20"/>
                <w:color w:val="auto"/>
              </w:rPr>
            </w:pPr>
            <w:r>
              <w:rPr>
                <w:rFonts w:ascii="Arial" w:cs="Arial" w:eastAsia="Arial" w:hAnsi="Arial"/>
                <w:sz w:val="14"/>
                <w:szCs w:val="14"/>
                <w:color w:val="auto"/>
              </w:rPr>
              <w:t>Hamburg, Germany</w:t>
            </w:r>
          </w:p>
        </w:tc>
        <w:tc>
          <w:tcPr>
            <w:tcW w:w="1060" w:type="dxa"/>
            <w:vAlign w:val="bottom"/>
          </w:tcPr>
          <w:p>
            <w:pPr>
              <w:jc w:val="right"/>
              <w:spacing w:after="0"/>
              <w:rPr>
                <w:sz w:val="20"/>
                <w:szCs w:val="20"/>
                <w:color w:val="auto"/>
              </w:rPr>
            </w:pPr>
            <w:r>
              <w:rPr>
                <w:rFonts w:ascii="Arial" w:cs="Arial" w:eastAsia="Arial" w:hAnsi="Arial"/>
                <w:sz w:val="14"/>
                <w:szCs w:val="14"/>
                <w:color w:val="auto"/>
              </w:rPr>
              <w:t>205</w:t>
            </w:r>
          </w:p>
        </w:tc>
      </w:tr>
      <w:tr>
        <w:trPr>
          <w:trHeight w:val="187"/>
        </w:trPr>
        <w:tc>
          <w:tcPr>
            <w:tcW w:w="65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Renaissance Santo Domingo Jaragua Hotel &amp; Casino</w:t>
            </w:r>
          </w:p>
        </w:tc>
        <w:tc>
          <w:tcPr>
            <w:tcW w:w="30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Santo Domingo, Dominican Republic</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r>
      <w:tr>
        <w:trPr>
          <w:trHeight w:val="182"/>
        </w:trPr>
        <w:tc>
          <w:tcPr>
            <w:tcW w:w="6540" w:type="dxa"/>
            <w:vAlign w:val="bottom"/>
            <w:gridSpan w:val="2"/>
          </w:tcPr>
          <w:p>
            <w:pPr>
              <w:ind w:left="840"/>
              <w:spacing w:after="0"/>
              <w:rPr>
                <w:sz w:val="20"/>
                <w:szCs w:val="20"/>
                <w:color w:val="auto"/>
              </w:rPr>
            </w:pPr>
            <w:r>
              <w:rPr>
                <w:rFonts w:ascii="Arial" w:cs="Arial" w:eastAsia="Arial" w:hAnsi="Arial"/>
                <w:sz w:val="14"/>
                <w:szCs w:val="14"/>
                <w:color w:val="auto"/>
              </w:rPr>
              <w:t>Sheraton Diana Majestic, Milan</w:t>
            </w:r>
          </w:p>
        </w:tc>
        <w:tc>
          <w:tcPr>
            <w:tcW w:w="3080" w:type="dxa"/>
            <w:vAlign w:val="bottom"/>
            <w:gridSpan w:val="2"/>
          </w:tcPr>
          <w:p>
            <w:pPr>
              <w:ind w:left="420"/>
              <w:spacing w:after="0"/>
              <w:rPr>
                <w:sz w:val="20"/>
                <w:szCs w:val="20"/>
                <w:color w:val="auto"/>
              </w:rPr>
            </w:pPr>
            <w:r>
              <w:rPr>
                <w:rFonts w:ascii="Arial" w:cs="Arial" w:eastAsia="Arial" w:hAnsi="Arial"/>
                <w:sz w:val="14"/>
                <w:szCs w:val="14"/>
                <w:color w:val="auto"/>
              </w:rPr>
              <w:t>Milan, Italy</w:t>
            </w:r>
          </w:p>
        </w:tc>
        <w:tc>
          <w:tcPr>
            <w:tcW w:w="1060" w:type="dxa"/>
            <w:vAlign w:val="bottom"/>
          </w:tcPr>
          <w:p>
            <w:pPr>
              <w:jc w:val="right"/>
              <w:spacing w:after="0"/>
              <w:rPr>
                <w:sz w:val="20"/>
                <w:szCs w:val="20"/>
                <w:color w:val="auto"/>
              </w:rPr>
            </w:pPr>
            <w:r>
              <w:rPr>
                <w:rFonts w:ascii="Arial" w:cs="Arial" w:eastAsia="Arial" w:hAnsi="Arial"/>
                <w:sz w:val="14"/>
                <w:szCs w:val="14"/>
                <w:color w:val="auto"/>
              </w:rPr>
              <w:t>106</w:t>
            </w:r>
          </w:p>
        </w:tc>
      </w:tr>
      <w:tr>
        <w:trPr>
          <w:trHeight w:val="187"/>
        </w:trPr>
        <w:tc>
          <w:tcPr>
            <w:tcW w:w="65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The Ritz-Carlton, Berlin</w:t>
            </w:r>
          </w:p>
        </w:tc>
        <w:tc>
          <w:tcPr>
            <w:tcW w:w="30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Berlin, Germany</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r>
      <w:tr>
        <w:trPr>
          <w:trHeight w:val="182"/>
        </w:trPr>
        <w:tc>
          <w:tcPr>
            <w:tcW w:w="6540" w:type="dxa"/>
            <w:vAlign w:val="bottom"/>
            <w:gridSpan w:val="2"/>
          </w:tcPr>
          <w:p>
            <w:pPr>
              <w:ind w:left="840"/>
              <w:spacing w:after="0"/>
              <w:rPr>
                <w:sz w:val="20"/>
                <w:szCs w:val="20"/>
                <w:color w:val="auto"/>
              </w:rPr>
            </w:pPr>
            <w:r>
              <w:rPr>
                <w:rFonts w:ascii="Arial" w:cs="Arial" w:eastAsia="Arial" w:hAnsi="Arial"/>
                <w:sz w:val="14"/>
                <w:szCs w:val="14"/>
                <w:color w:val="auto"/>
              </w:rPr>
              <w:t>The Ritz-Carlton, Tokyo</w:t>
            </w:r>
          </w:p>
        </w:tc>
        <w:tc>
          <w:tcPr>
            <w:tcW w:w="3080" w:type="dxa"/>
            <w:vAlign w:val="bottom"/>
            <w:gridSpan w:val="2"/>
          </w:tcPr>
          <w:p>
            <w:pPr>
              <w:ind w:left="420"/>
              <w:spacing w:after="0"/>
              <w:rPr>
                <w:sz w:val="20"/>
                <w:szCs w:val="20"/>
                <w:color w:val="auto"/>
              </w:rPr>
            </w:pPr>
            <w:r>
              <w:rPr>
                <w:rFonts w:ascii="Arial" w:cs="Arial" w:eastAsia="Arial" w:hAnsi="Arial"/>
                <w:sz w:val="14"/>
                <w:szCs w:val="14"/>
                <w:color w:val="auto"/>
              </w:rPr>
              <w:t>Tokyo, Japan</w:t>
            </w:r>
          </w:p>
        </w:tc>
        <w:tc>
          <w:tcPr>
            <w:tcW w:w="1060" w:type="dxa"/>
            <w:vAlign w:val="bottom"/>
          </w:tcPr>
          <w:p>
            <w:pPr>
              <w:jc w:val="right"/>
              <w:spacing w:after="0"/>
              <w:rPr>
                <w:sz w:val="20"/>
                <w:szCs w:val="20"/>
                <w:color w:val="auto"/>
              </w:rPr>
            </w:pPr>
            <w:r>
              <w:rPr>
                <w:rFonts w:ascii="Arial" w:cs="Arial" w:eastAsia="Arial" w:hAnsi="Arial"/>
                <w:sz w:val="14"/>
                <w:szCs w:val="14"/>
                <w:color w:val="auto"/>
              </w:rPr>
              <w:t>247</w:t>
            </w:r>
          </w:p>
        </w:tc>
      </w:tr>
      <w:tr>
        <w:trPr>
          <w:trHeight w:val="187"/>
        </w:trPr>
        <w:tc>
          <w:tcPr>
            <w:tcW w:w="65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The St. Regis Osaka</w:t>
            </w:r>
          </w:p>
        </w:tc>
        <w:tc>
          <w:tcPr>
            <w:tcW w:w="30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Osaka, Japan</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r>
      <w:tr>
        <w:trPr>
          <w:trHeight w:val="182"/>
        </w:trPr>
        <w:tc>
          <w:tcPr>
            <w:tcW w:w="6540" w:type="dxa"/>
            <w:vAlign w:val="bottom"/>
            <w:gridSpan w:val="2"/>
          </w:tcPr>
          <w:p>
            <w:pPr>
              <w:ind w:left="840"/>
              <w:spacing w:after="0"/>
              <w:rPr>
                <w:sz w:val="20"/>
                <w:szCs w:val="20"/>
                <w:color w:val="auto"/>
              </w:rPr>
            </w:pPr>
            <w:r>
              <w:rPr>
                <w:rFonts w:ascii="Arial" w:cs="Arial" w:eastAsia="Arial" w:hAnsi="Arial"/>
                <w:sz w:val="14"/>
                <w:szCs w:val="14"/>
                <w:color w:val="auto"/>
              </w:rPr>
              <w:t>W Barcelona</w:t>
            </w:r>
          </w:p>
        </w:tc>
        <w:tc>
          <w:tcPr>
            <w:tcW w:w="3080" w:type="dxa"/>
            <w:vAlign w:val="bottom"/>
            <w:gridSpan w:val="2"/>
          </w:tcPr>
          <w:p>
            <w:pPr>
              <w:ind w:left="420"/>
              <w:spacing w:after="0"/>
              <w:rPr>
                <w:sz w:val="20"/>
                <w:szCs w:val="20"/>
                <w:color w:val="auto"/>
              </w:rPr>
            </w:pPr>
            <w:r>
              <w:rPr>
                <w:rFonts w:ascii="Arial" w:cs="Arial" w:eastAsia="Arial" w:hAnsi="Arial"/>
                <w:sz w:val="14"/>
                <w:szCs w:val="14"/>
                <w:color w:val="auto"/>
              </w:rPr>
              <w:t>Barcelona, Spain</w:t>
            </w:r>
          </w:p>
        </w:tc>
        <w:tc>
          <w:tcPr>
            <w:tcW w:w="1060" w:type="dxa"/>
            <w:vAlign w:val="bottom"/>
          </w:tcPr>
          <w:p>
            <w:pPr>
              <w:jc w:val="right"/>
              <w:spacing w:after="0"/>
              <w:rPr>
                <w:sz w:val="20"/>
                <w:szCs w:val="20"/>
                <w:color w:val="auto"/>
              </w:rPr>
            </w:pPr>
            <w:r>
              <w:rPr>
                <w:rFonts w:ascii="Arial" w:cs="Arial" w:eastAsia="Arial" w:hAnsi="Arial"/>
                <w:sz w:val="14"/>
                <w:szCs w:val="14"/>
                <w:color w:val="auto"/>
              </w:rPr>
              <w:t>473</w:t>
            </w:r>
          </w:p>
        </w:tc>
      </w:tr>
      <w:tr>
        <w:trPr>
          <w:trHeight w:val="187"/>
        </w:trPr>
        <w:tc>
          <w:tcPr>
            <w:tcW w:w="65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 London – Leicester Square</w:t>
            </w:r>
          </w:p>
        </w:tc>
        <w:tc>
          <w:tcPr>
            <w:tcW w:w="30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London, UK</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r>
    </w:tbl>
    <w:p>
      <w:pPr>
        <w:spacing w:after="0" w:line="23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67" w:lineRule="exact"/>
        <w:rPr>
          <w:sz w:val="20"/>
          <w:szCs w:val="20"/>
          <w:color w:val="auto"/>
        </w:rPr>
      </w:pPr>
    </w:p>
    <w:p>
      <w:pPr>
        <w:ind w:right="160" w:firstLine="434"/>
        <w:spacing w:after="0" w:line="324" w:lineRule="auto"/>
        <w:rPr>
          <w:sz w:val="20"/>
          <w:szCs w:val="20"/>
          <w:color w:val="auto"/>
        </w:rPr>
      </w:pPr>
      <w:r>
        <w:rPr>
          <w:rFonts w:ascii="Arial" w:cs="Arial" w:eastAsia="Arial" w:hAnsi="Arial"/>
          <w:sz w:val="16"/>
          <w:szCs w:val="16"/>
          <w:color w:val="auto"/>
        </w:rPr>
        <w:t>See the information under the “</w:t>
      </w:r>
      <w:r>
        <w:rPr>
          <w:rFonts w:ascii="Arial" w:cs="Arial" w:eastAsia="Arial" w:hAnsi="Arial"/>
          <w:sz w:val="16"/>
          <w:szCs w:val="16"/>
          <w:u w:val="single" w:color="auto"/>
          <w:color w:val="auto"/>
        </w:rPr>
        <w:t>Litigation, Claims, and Government Investigations</w:t>
      </w:r>
      <w:r>
        <w:rPr>
          <w:rFonts w:ascii="Arial" w:cs="Arial" w:eastAsia="Arial" w:hAnsi="Arial"/>
          <w:sz w:val="16"/>
          <w:szCs w:val="16"/>
          <w:color w:val="auto"/>
        </w:rPr>
        <w:t>” caption in Note 8, which we incorporate here by reference. Within this section, we use a threshold of $1 million in disclosing material environmental proceedings involving a governmental authority.</w:t>
      </w:r>
    </w:p>
    <w:p>
      <w:pPr>
        <w:spacing w:after="0" w:line="82" w:lineRule="exact"/>
        <w:rPr>
          <w:sz w:val="20"/>
          <w:szCs w:val="20"/>
          <w:color w:val="auto"/>
        </w:rPr>
      </w:pPr>
    </w:p>
    <w:p>
      <w:pPr>
        <w:ind w:firstLine="434"/>
        <w:spacing w:after="0" w:line="291" w:lineRule="auto"/>
        <w:rPr>
          <w:sz w:val="20"/>
          <w:szCs w:val="20"/>
          <w:color w:val="auto"/>
        </w:rPr>
      </w:pPr>
      <w:r>
        <w:rPr>
          <w:rFonts w:ascii="Arial" w:cs="Arial" w:eastAsia="Arial" w:hAnsi="Arial"/>
          <w:sz w:val="16"/>
          <w:szCs w:val="16"/>
          <w:color w:val="auto"/>
        </w:rPr>
        <w:t>In May 2020, we received a notice from the District Attorneys of the Counties of Placer, Riverside, San Francisco and San Mateo in California asserting that nine properties in California have failed to comply with certain state statutes regulating hazardous and other waste handling and disposal. We are cooperating with the District Attorneys’ requests for information and have entered into a tolling agreement with the District Attorneys. We cannot predict the ultimate outcome of this matter; however, management does not believe that the outcome will have a material adverse effect on the Company.</w:t>
      </w: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0" w:firstLine="434"/>
        <w:spacing w:after="0" w:line="248" w:lineRule="auto"/>
        <w:rPr>
          <w:sz w:val="20"/>
          <w:szCs w:val="20"/>
          <w:color w:val="auto"/>
        </w:rPr>
      </w:pPr>
      <w:r>
        <w:rPr>
          <w:rFonts w:ascii="Arial" w:cs="Arial" w:eastAsia="Arial" w:hAnsi="Arial"/>
          <w:sz w:val="18"/>
          <w:szCs w:val="18"/>
          <w:color w:val="auto"/>
        </w:rPr>
        <w:t>From time to time, we are also subject to other legal proceedings and claims in the ordinary course of business, including adjustments proposed during governmental examinations of the various tax returns we file. While management presently believes that the ultimate outcome of these other proceedings, individually and in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13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67" w:lineRule="exact"/>
        <w:rPr>
          <w:sz w:val="20"/>
          <w:szCs w:val="20"/>
          <w:color w:val="auto"/>
        </w:rPr>
      </w:pPr>
    </w:p>
    <w:p>
      <w:pPr>
        <w:ind w:right="420" w:firstLine="395"/>
        <w:spacing w:after="0" w:line="261" w:lineRule="auto"/>
        <w:rPr>
          <w:sz w:val="20"/>
          <w:szCs w:val="20"/>
          <w:color w:val="auto"/>
        </w:rPr>
      </w:pPr>
      <w:r>
        <w:rPr>
          <w:rFonts w:ascii="Arial" w:cs="Arial" w:eastAsia="Arial" w:hAnsi="Arial"/>
          <w:sz w:val="18"/>
          <w:szCs w:val="18"/>
          <w:color w:val="auto"/>
        </w:rPr>
        <w:t>See the information under “Information about our Executive Officers” in Part III, Item 10 of this report for information about our executive officers, which we incorporate here by reference.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6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67" w:lineRule="exact"/>
        <w:rPr>
          <w:sz w:val="20"/>
          <w:szCs w:val="20"/>
          <w:color w:val="auto"/>
        </w:rPr>
      </w:pPr>
    </w:p>
    <w:p>
      <w:pPr>
        <w:ind w:right="60" w:firstLine="434"/>
        <w:spacing w:after="0" w:line="261" w:lineRule="auto"/>
        <w:rPr>
          <w:sz w:val="20"/>
          <w:szCs w:val="20"/>
          <w:color w:val="auto"/>
        </w:rPr>
      </w:pPr>
      <w:r>
        <w:rPr>
          <w:rFonts w:ascii="Arial" w:cs="Arial" w:eastAsia="Arial" w:hAnsi="Arial"/>
          <w:sz w:val="18"/>
          <w:szCs w:val="18"/>
          <w:color w:val="auto"/>
        </w:rPr>
        <w:t>At February 10, 2021, 324,414,150 shares of our Class A Common Stock (our “common stock”) were outstanding and were held by 34,253 stockholders of record. Our common stock trades on the Nasdaq Global Select Market (“Nasdaq”) under the trading symbol MAR.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2020 Issuer Purchases of Equity Securities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220" w:type="dxa"/>
            <w:vAlign w:val="bottom"/>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1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1860" w:type="dxa"/>
            <w:vAlign w:val="bottom"/>
            <w:vMerge w:val="restart"/>
          </w:tcPr>
          <w:p>
            <w:pPr>
              <w:jc w:val="center"/>
              <w:ind w:left="870"/>
              <w:spacing w:after="0"/>
              <w:rPr>
                <w:sz w:val="20"/>
                <w:szCs w:val="20"/>
                <w:color w:val="auto"/>
              </w:rPr>
            </w:pPr>
            <w:r>
              <w:rPr>
                <w:rFonts w:ascii="Arial" w:cs="Arial" w:eastAsia="Arial" w:hAnsi="Arial"/>
                <w:sz w:val="14"/>
                <w:szCs w:val="14"/>
                <w:b w:val="1"/>
                <w:bCs w:val="1"/>
                <w:color w:val="auto"/>
                <w:w w:val="93"/>
              </w:rPr>
              <w:t>Total Number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91"/>
              </w:rPr>
              <w:t>Total Number of</w:t>
            </w:r>
          </w:p>
        </w:tc>
        <w:tc>
          <w:tcPr>
            <w:tcW w:w="20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5"/>
              </w:rPr>
              <w:t>Maximum Number</w:t>
            </w:r>
          </w:p>
        </w:tc>
        <w:tc>
          <w:tcPr>
            <w:tcW w:w="0" w:type="dxa"/>
            <w:vAlign w:val="bottom"/>
          </w:tcPr>
          <w:p>
            <w:pPr>
              <w:spacing w:after="0"/>
              <w:rPr>
                <w:sz w:val="1"/>
                <w:szCs w:val="1"/>
                <w:color w:val="auto"/>
              </w:rPr>
            </w:pPr>
          </w:p>
        </w:tc>
      </w:tr>
      <w:tr>
        <w:trPr>
          <w:trHeight w:val="132"/>
        </w:trPr>
        <w:tc>
          <w:tcPr>
            <w:tcW w:w="322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Average Price</w:t>
            </w:r>
          </w:p>
        </w:tc>
        <w:tc>
          <w:tcPr>
            <w:tcW w:w="2180" w:type="dxa"/>
            <w:vAlign w:val="bottom"/>
            <w:gridSpan w:val="2"/>
          </w:tcPr>
          <w:p>
            <w:pPr>
              <w:jc w:val="center"/>
              <w:ind w:right="100"/>
              <w:spacing w:after="0" w:line="132" w:lineRule="exact"/>
              <w:rPr>
                <w:sz w:val="20"/>
                <w:szCs w:val="20"/>
                <w:color w:val="auto"/>
              </w:rPr>
            </w:pPr>
            <w:r>
              <w:rPr>
                <w:rFonts w:ascii="Arial" w:cs="Arial" w:eastAsia="Arial" w:hAnsi="Arial"/>
                <w:sz w:val="14"/>
                <w:szCs w:val="14"/>
                <w:b w:val="1"/>
                <w:bCs w:val="1"/>
                <w:color w:val="auto"/>
                <w:w w:val="88"/>
              </w:rPr>
              <w:t>Shares Purchased as Part of</w:t>
            </w:r>
          </w:p>
        </w:tc>
        <w:tc>
          <w:tcPr>
            <w:tcW w:w="208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90"/>
              </w:rPr>
              <w:t>of Shares That May Yet Be</w:t>
            </w:r>
          </w:p>
        </w:tc>
        <w:tc>
          <w:tcPr>
            <w:tcW w:w="0" w:type="dxa"/>
            <w:vAlign w:val="bottom"/>
          </w:tcPr>
          <w:p>
            <w:pPr>
              <w:spacing w:after="0"/>
              <w:rPr>
                <w:sz w:val="1"/>
                <w:szCs w:val="1"/>
                <w:color w:val="auto"/>
              </w:rPr>
            </w:pPr>
          </w:p>
        </w:tc>
      </w:tr>
      <w:tr>
        <w:trPr>
          <w:trHeight w:val="132"/>
        </w:trPr>
        <w:tc>
          <w:tcPr>
            <w:tcW w:w="3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860" w:type="dxa"/>
            <w:vAlign w:val="bottom"/>
          </w:tcPr>
          <w:p>
            <w:pPr>
              <w:jc w:val="center"/>
              <w:ind w:left="850"/>
              <w:spacing w:after="0" w:line="132" w:lineRule="exact"/>
              <w:rPr>
                <w:sz w:val="20"/>
                <w:szCs w:val="20"/>
                <w:color w:val="auto"/>
              </w:rPr>
            </w:pPr>
            <w:r>
              <w:rPr>
                <w:rFonts w:ascii="Arial" w:cs="Arial" w:eastAsia="Arial" w:hAnsi="Arial"/>
                <w:sz w:val="14"/>
                <w:szCs w:val="14"/>
                <w:b w:val="1"/>
                <w:bCs w:val="1"/>
                <w:color w:val="auto"/>
                <w:w w:val="84"/>
              </w:rPr>
              <w:t>of Shares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180" w:type="dxa"/>
            <w:vAlign w:val="bottom"/>
            <w:gridSpan w:val="2"/>
          </w:tcPr>
          <w:p>
            <w:pPr>
              <w:jc w:val="center"/>
              <w:ind w:right="120"/>
              <w:spacing w:after="0" w:line="132" w:lineRule="exact"/>
              <w:rPr>
                <w:sz w:val="20"/>
                <w:szCs w:val="20"/>
                <w:color w:val="auto"/>
              </w:rPr>
            </w:pPr>
            <w:r>
              <w:rPr>
                <w:rFonts w:ascii="Arial" w:cs="Arial" w:eastAsia="Arial" w:hAnsi="Arial"/>
                <w:sz w:val="14"/>
                <w:szCs w:val="14"/>
                <w:b w:val="1"/>
                <w:bCs w:val="1"/>
                <w:color w:val="auto"/>
                <w:w w:val="89"/>
              </w:rPr>
              <w:t>Publicly Announced Plans or</w:t>
            </w:r>
          </w:p>
        </w:tc>
        <w:tc>
          <w:tcPr>
            <w:tcW w:w="208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90"/>
              </w:rPr>
              <w:t>Purchased Under the Plans or</w:t>
            </w:r>
          </w:p>
        </w:tc>
        <w:tc>
          <w:tcPr>
            <w:tcW w:w="0" w:type="dxa"/>
            <w:vAlign w:val="bottom"/>
          </w:tcPr>
          <w:p>
            <w:pPr>
              <w:spacing w:after="0"/>
              <w:rPr>
                <w:sz w:val="1"/>
                <w:szCs w:val="1"/>
                <w:color w:val="auto"/>
              </w:rPr>
            </w:pPr>
          </w:p>
        </w:tc>
      </w:tr>
      <w:tr>
        <w:trPr>
          <w:trHeight w:val="184"/>
        </w:trPr>
        <w:tc>
          <w:tcPr>
            <w:tcW w:w="3220" w:type="dxa"/>
            <w:vAlign w:val="bottom"/>
            <w:vMerge w:val="continue"/>
          </w:tcPr>
          <w:p>
            <w:pPr>
              <w:spacing w:after="0"/>
              <w:rPr>
                <w:sz w:val="16"/>
                <w:szCs w:val="16"/>
                <w:color w:val="auto"/>
              </w:rPr>
            </w:pPr>
          </w:p>
        </w:tc>
        <w:tc>
          <w:tcPr>
            <w:tcW w:w="1860" w:type="dxa"/>
            <w:vAlign w:val="bottom"/>
          </w:tcPr>
          <w:p>
            <w:pPr>
              <w:jc w:val="center"/>
              <w:ind w:left="850"/>
              <w:spacing w:after="0"/>
              <w:rPr>
                <w:sz w:val="20"/>
                <w:szCs w:val="20"/>
                <w:color w:val="auto"/>
              </w:rPr>
            </w:pPr>
            <w:r>
              <w:rPr>
                <w:rFonts w:ascii="Arial" w:cs="Arial" w:eastAsia="Arial" w:hAnsi="Arial"/>
                <w:sz w:val="14"/>
                <w:szCs w:val="14"/>
                <w:b w:val="1"/>
                <w:bCs w:val="1"/>
                <w:color w:val="auto"/>
                <w:w w:val="86"/>
              </w:rPr>
              <w:t>Purchased</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per Share</w:t>
            </w:r>
          </w:p>
        </w:tc>
        <w:tc>
          <w:tcPr>
            <w:tcW w:w="2180" w:type="dxa"/>
            <w:vAlign w:val="bottom"/>
            <w:gridSpan w:val="2"/>
          </w:tcPr>
          <w:p>
            <w:pPr>
              <w:jc w:val="center"/>
              <w:ind w:right="120"/>
              <w:spacing w:after="0" w:line="184" w:lineRule="exact"/>
              <w:rPr>
                <w:sz w:val="20"/>
                <w:szCs w:val="20"/>
                <w:color w:val="auto"/>
              </w:rPr>
            </w:pPr>
            <w:r>
              <w:rPr>
                <w:rFonts w:ascii="Arial" w:cs="Arial" w:eastAsia="Arial" w:hAnsi="Arial"/>
                <w:sz w:val="14"/>
                <w:szCs w:val="14"/>
                <w:b w:val="1"/>
                <w:bCs w:val="1"/>
                <w:color w:val="auto"/>
                <w:w w:val="88"/>
              </w:rPr>
              <w:t xml:space="preserve">Programs </w:t>
            </w:r>
            <w:r>
              <w:rPr>
                <w:rFonts w:ascii="Arial" w:cs="Arial" w:eastAsia="Arial" w:hAnsi="Arial"/>
                <w:sz w:val="18"/>
                <w:szCs w:val="18"/>
                <w:b w:val="1"/>
                <w:bCs w:val="1"/>
                <w:color w:val="auto"/>
                <w:w w:val="88"/>
                <w:vertAlign w:val="superscript"/>
              </w:rPr>
              <w:t>(1)</w:t>
            </w:r>
          </w:p>
        </w:tc>
        <w:tc>
          <w:tcPr>
            <w:tcW w:w="2080" w:type="dxa"/>
            <w:vAlign w:val="bottom"/>
          </w:tcPr>
          <w:p>
            <w:pPr>
              <w:jc w:val="center"/>
              <w:spacing w:after="0" w:line="184" w:lineRule="exact"/>
              <w:rPr>
                <w:sz w:val="20"/>
                <w:szCs w:val="20"/>
                <w:color w:val="auto"/>
              </w:rPr>
            </w:pPr>
            <w:r>
              <w:rPr>
                <w:rFonts w:ascii="Arial" w:cs="Arial" w:eastAsia="Arial" w:hAnsi="Arial"/>
                <w:sz w:val="14"/>
                <w:szCs w:val="14"/>
                <w:b w:val="1"/>
                <w:bCs w:val="1"/>
                <w:color w:val="auto"/>
                <w:w w:val="85"/>
              </w:rPr>
              <w:t xml:space="preserve">Programs </w:t>
            </w:r>
            <w:r>
              <w:rPr>
                <w:rFonts w:ascii="Arial" w:cs="Arial" w:eastAsia="Arial" w:hAnsi="Arial"/>
                <w:sz w:val="18"/>
                <w:szCs w:val="18"/>
                <w:b w:val="1"/>
                <w:bCs w:val="1"/>
                <w:color w:val="auto"/>
                <w:w w:val="85"/>
                <w:vertAlign w:val="superscript"/>
              </w:rPr>
              <w:t>(1)</w:t>
            </w:r>
          </w:p>
        </w:tc>
        <w:tc>
          <w:tcPr>
            <w:tcW w:w="0" w:type="dxa"/>
            <w:vAlign w:val="bottom"/>
          </w:tcPr>
          <w:p>
            <w:pPr>
              <w:spacing w:after="0"/>
              <w:rPr>
                <w:sz w:val="1"/>
                <w:szCs w:val="1"/>
                <w:color w:val="auto"/>
              </w:rPr>
            </w:pPr>
          </w:p>
        </w:tc>
      </w:tr>
      <w:tr>
        <w:trPr>
          <w:trHeight w:val="177"/>
        </w:trPr>
        <w:tc>
          <w:tcPr>
            <w:tcW w:w="3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October 1, 2020-October 31, 2020</w:t>
            </w:r>
          </w:p>
        </w:tc>
        <w:tc>
          <w:tcPr>
            <w:tcW w:w="18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080" w:type="dxa"/>
            <w:vAlign w:val="bottom"/>
            <w:tcBorders>
              <w:top w:val="single" w:sz="8" w:color="auto"/>
            </w:tcBorders>
            <w:shd w:val="clear" w:color="auto" w:fill="CCEEFF"/>
          </w:tcPr>
          <w:p>
            <w:pPr>
              <w:ind w:left="188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82"/>
        </w:trPr>
        <w:tc>
          <w:tcPr>
            <w:tcW w:w="3220" w:type="dxa"/>
            <w:vAlign w:val="bottom"/>
          </w:tcPr>
          <w:p>
            <w:pPr>
              <w:ind w:left="20"/>
              <w:spacing w:after="0"/>
              <w:rPr>
                <w:sz w:val="20"/>
                <w:szCs w:val="20"/>
                <w:color w:val="auto"/>
              </w:rPr>
            </w:pPr>
            <w:r>
              <w:rPr>
                <w:rFonts w:ascii="Arial" w:cs="Arial" w:eastAsia="Arial" w:hAnsi="Arial"/>
                <w:sz w:val="14"/>
                <w:szCs w:val="14"/>
                <w:color w:val="auto"/>
              </w:rPr>
              <w:t>November 1, 2020-November 30, 2020</w:t>
            </w:r>
          </w:p>
        </w:tc>
        <w:tc>
          <w:tcPr>
            <w:tcW w:w="1860" w:type="dxa"/>
            <w:vAlign w:val="bottom"/>
          </w:tcPr>
          <w:p>
            <w:pPr>
              <w:spacing w:after="0"/>
              <w:rPr>
                <w:sz w:val="15"/>
                <w:szCs w:val="15"/>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34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180" w:type="dxa"/>
            <w:vAlign w:val="bottom"/>
            <w:gridSpan w:val="2"/>
          </w:tcPr>
          <w:p>
            <w:pPr>
              <w:ind w:left="1880"/>
              <w:spacing w:after="0"/>
              <w:rPr>
                <w:sz w:val="20"/>
                <w:szCs w:val="20"/>
                <w:color w:val="auto"/>
              </w:rPr>
            </w:pPr>
            <w:r>
              <w:rPr>
                <w:rFonts w:ascii="Arial" w:cs="Arial" w:eastAsia="Arial" w:hAnsi="Arial"/>
                <w:sz w:val="14"/>
                <w:szCs w:val="14"/>
                <w:color w:val="auto"/>
              </w:rPr>
              <w:t>—</w:t>
            </w:r>
          </w:p>
        </w:tc>
        <w:tc>
          <w:tcPr>
            <w:tcW w:w="2080" w:type="dxa"/>
            <w:vAlign w:val="bottom"/>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87"/>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1, 2020-December 31, 2020</w:t>
            </w:r>
          </w:p>
        </w:tc>
        <w:tc>
          <w:tcPr>
            <w:tcW w:w="18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180" w:type="dxa"/>
            <w:vAlign w:val="bottom"/>
            <w:gridSpan w:val="2"/>
            <w:shd w:val="clear" w:color="auto" w:fill="CCEEFF"/>
          </w:tcPr>
          <w:p>
            <w:pPr>
              <w:ind w:left="1880"/>
              <w:spacing w:after="0"/>
              <w:rPr>
                <w:sz w:val="20"/>
                <w:szCs w:val="20"/>
                <w:color w:val="auto"/>
              </w:rPr>
            </w:pPr>
            <w:r>
              <w:rPr>
                <w:rFonts w:ascii="Arial" w:cs="Arial" w:eastAsia="Arial" w:hAnsi="Arial"/>
                <w:sz w:val="14"/>
                <w:szCs w:val="14"/>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20" w:right="300" w:hanging="315"/>
        <w:spacing w:after="0" w:line="209" w:lineRule="auto"/>
        <w:tabs>
          <w:tab w:leader="none" w:pos="308" w:val="left"/>
        </w:tabs>
        <w:numPr>
          <w:ilvl w:val="0"/>
          <w:numId w:val="8"/>
        </w:numPr>
        <w:rPr>
          <w:rFonts w:ascii="Arial" w:cs="Arial" w:eastAsia="Arial" w:hAnsi="Arial"/>
          <w:sz w:val="23"/>
          <w:szCs w:val="23"/>
          <w:color w:val="auto"/>
          <w:vertAlign w:val="superscript"/>
        </w:rPr>
      </w:pPr>
      <w:r>
        <w:rPr>
          <w:rFonts w:ascii="Arial" w:cs="Arial" w:eastAsia="Arial" w:hAnsi="Arial"/>
          <w:sz w:val="14"/>
          <w:szCs w:val="14"/>
          <w:color w:val="auto"/>
        </w:rPr>
        <w:t>On February 15, 2019, we announced that our Board of Directors increased our common stock repurchase authorization by 25 million shares. At year-end 2020, 17.4 million shares remained available for repurchase under Board approved authorizations. We repurchase shares in the open market and in privately negotiated transactions. We do not anticipate repurchasing additional shares until business conditions improve, and are prohibited from doing so for the duration of the Covenant Waiver Period, as discussed in Note 10, under our Credit Facility, with certain exceptions.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62" w:lineRule="exact"/>
        <w:rPr>
          <w:sz w:val="20"/>
          <w:szCs w:val="20"/>
          <w:color w:val="auto"/>
        </w:rPr>
      </w:pPr>
    </w:p>
    <w:p>
      <w:pPr>
        <w:ind w:right="220" w:firstLine="434"/>
        <w:spacing w:after="0" w:line="291" w:lineRule="auto"/>
        <w:rPr>
          <w:sz w:val="20"/>
          <w:szCs w:val="20"/>
          <w:color w:val="auto"/>
        </w:rPr>
      </w:pPr>
      <w:r>
        <w:rPr>
          <w:rFonts w:ascii="Arial" w:cs="Arial" w:eastAsia="Arial" w:hAnsi="Arial"/>
          <w:sz w:val="16"/>
          <w:szCs w:val="16"/>
          <w:color w:val="auto"/>
        </w:rPr>
        <w:t>The following table presents a summary of our selected historical financial data derived from our last five years of Financial Statements. Because this information is only a summary and does not provide all of the information contained in our Financial Statements, including the related notes, you should read “</w:t>
      </w:r>
      <w:r>
        <w:rPr>
          <w:rFonts w:ascii="Arial" w:cs="Arial" w:eastAsia="Arial" w:hAnsi="Arial"/>
          <w:sz w:val="16"/>
          <w:szCs w:val="16"/>
          <w:b w:val="1"/>
          <w:bCs w:val="1"/>
          <w:color w:val="auto"/>
        </w:rPr>
        <w:t>Management’s Discussion and Analysis of Financial Condition and Results of Operations</w:t>
      </w:r>
      <w:r>
        <w:rPr>
          <w:rFonts w:ascii="Arial" w:cs="Arial" w:eastAsia="Arial" w:hAnsi="Arial"/>
          <w:sz w:val="16"/>
          <w:szCs w:val="16"/>
          <w:color w:val="auto"/>
        </w:rPr>
        <w:t>” and our Financial Statements for each year for more detailed information. For 2016, we include Legacy-Starwood results from the Merger Date to year-end 2016.</w:t>
      </w:r>
    </w:p>
    <w:p>
      <w:pPr>
        <w:spacing w:after="0" w:line="32" w:lineRule="exact"/>
        <w:rPr>
          <w:sz w:val="20"/>
          <w:szCs w:val="20"/>
          <w:color w:val="auto"/>
        </w:rPr>
      </w:pPr>
    </w:p>
    <w:tbl>
      <w:tblPr>
        <w:tblLayout w:type="fixed"/>
        <w:tblInd w:w="440" w:type="dxa"/>
        <w:tblCellMar>
          <w:top w:w="0" w:type="dxa"/>
          <w:left w:w="0" w:type="dxa"/>
          <w:bottom w:w="0" w:type="dxa"/>
          <w:right w:w="0" w:type="dxa"/>
        </w:tblCellMar>
      </w:tblPr>
      <w:tr>
        <w:trPr>
          <w:trHeight w:val="183"/>
        </w:trPr>
        <w:tc>
          <w:tcPr>
            <w:tcW w:w="3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Fiscal Year</w:t>
            </w: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400" w:type="dxa"/>
            <w:vAlign w:val="bottom"/>
            <w:tcBorders>
              <w:bottom w:val="single" w:sz="8" w:color="CCEEFF"/>
            </w:tcBorders>
          </w:tcPr>
          <w:p>
            <w:pPr>
              <w:ind w:left="460"/>
              <w:spacing w:after="0"/>
              <w:rPr>
                <w:sz w:val="20"/>
                <w:szCs w:val="20"/>
                <w:color w:val="auto"/>
              </w:rPr>
            </w:pPr>
            <w:r>
              <w:rPr>
                <w:rFonts w:ascii="Arial" w:cs="Arial" w:eastAsia="Arial" w:hAnsi="Arial"/>
                <w:sz w:val="14"/>
                <w:szCs w:val="14"/>
                <w:i w:val="1"/>
                <w:iCs w:val="1"/>
                <w:color w:val="auto"/>
              </w:rPr>
              <w:t>($ in millions, except per share data)</w:t>
            </w:r>
          </w:p>
        </w:tc>
        <w:tc>
          <w:tcPr>
            <w:tcW w:w="6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70"/>
        </w:trPr>
        <w:tc>
          <w:tcPr>
            <w:tcW w:w="3400" w:type="dxa"/>
            <w:vAlign w:val="bottom"/>
            <w:shd w:val="clear" w:color="auto" w:fill="CCEEFF"/>
          </w:tcPr>
          <w:p>
            <w:pPr>
              <w:ind w:left="460"/>
              <w:spacing w:after="0"/>
              <w:rPr>
                <w:sz w:val="20"/>
                <w:szCs w:val="20"/>
                <w:color w:val="auto"/>
              </w:rPr>
            </w:pPr>
            <w:r>
              <w:rPr>
                <w:rFonts w:ascii="Arial" w:cs="Arial" w:eastAsia="Arial" w:hAnsi="Arial"/>
                <w:sz w:val="14"/>
                <w:szCs w:val="14"/>
                <w:b w:val="1"/>
                <w:bCs w:val="1"/>
                <w:color w:val="auto"/>
              </w:rPr>
              <w:t>Income Statement Data:</w:t>
            </w:r>
          </w:p>
        </w:tc>
        <w:tc>
          <w:tcPr>
            <w:tcW w:w="6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400" w:type="dxa"/>
            <w:vAlign w:val="bottom"/>
          </w:tcPr>
          <w:p>
            <w:pPr>
              <w:ind w:left="760"/>
              <w:spacing w:after="0" w:line="184" w:lineRule="exact"/>
              <w:rPr>
                <w:sz w:val="20"/>
                <w:szCs w:val="20"/>
                <w:color w:val="auto"/>
              </w:rPr>
            </w:pPr>
            <w:r>
              <w:rPr>
                <w:rFonts w:ascii="Arial" w:cs="Arial" w:eastAsia="Arial" w:hAnsi="Arial"/>
                <w:sz w:val="14"/>
                <w:szCs w:val="14"/>
                <w:color w:val="auto"/>
              </w:rPr>
              <w:t xml:space="preserve">Revenues </w:t>
            </w:r>
            <w:r>
              <w:rPr>
                <w:rFonts w:ascii="Arial" w:cs="Arial" w:eastAsia="Arial" w:hAnsi="Arial"/>
                <w:sz w:val="18"/>
                <w:szCs w:val="18"/>
                <w:color w:val="auto"/>
                <w:vertAlign w:val="superscript"/>
              </w:rPr>
              <w:t>(2)</w:t>
            </w: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10,571</w:t>
            </w:r>
          </w:p>
        </w:tc>
        <w:tc>
          <w:tcPr>
            <w:tcW w:w="100" w:type="dxa"/>
            <w:vAlign w:val="bottom"/>
          </w:tcPr>
          <w:p>
            <w:pPr>
              <w:spacing w:after="0"/>
              <w:rPr>
                <w:sz w:val="16"/>
                <w:szCs w:val="16"/>
                <w:color w:val="auto"/>
              </w:rPr>
            </w:pP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20,972</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20,758</w:t>
            </w:r>
          </w:p>
        </w:tc>
        <w:tc>
          <w:tcPr>
            <w:tcW w:w="100" w:type="dxa"/>
            <w:vAlign w:val="bottom"/>
          </w:tcPr>
          <w:p>
            <w:pPr>
              <w:spacing w:after="0"/>
              <w:rPr>
                <w:sz w:val="16"/>
                <w:szCs w:val="16"/>
                <w:color w:val="auto"/>
              </w:rPr>
            </w:pP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20,452</w:t>
            </w:r>
          </w:p>
        </w:tc>
        <w:tc>
          <w:tcPr>
            <w:tcW w:w="100" w:type="dxa"/>
            <w:vAlign w:val="bottom"/>
          </w:tcPr>
          <w:p>
            <w:pPr>
              <w:spacing w:after="0"/>
              <w:rPr>
                <w:sz w:val="16"/>
                <w:szCs w:val="16"/>
                <w:color w:val="auto"/>
              </w:rPr>
            </w:pP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15,40</w:t>
            </w:r>
          </w:p>
        </w:tc>
        <w:tc>
          <w:tcPr>
            <w:tcW w:w="0" w:type="dxa"/>
            <w:vAlign w:val="bottom"/>
          </w:tcPr>
          <w:p>
            <w:pPr>
              <w:spacing w:after="0"/>
              <w:rPr>
                <w:sz w:val="1"/>
                <w:szCs w:val="1"/>
                <w:color w:val="auto"/>
              </w:rPr>
            </w:pPr>
          </w:p>
        </w:tc>
      </w:tr>
      <w:tr>
        <w:trPr>
          <w:trHeight w:val="184"/>
        </w:trPr>
        <w:tc>
          <w:tcPr>
            <w:tcW w:w="3400" w:type="dxa"/>
            <w:vAlign w:val="bottom"/>
            <w:shd w:val="clear" w:color="auto" w:fill="CCEEFF"/>
          </w:tcPr>
          <w:p>
            <w:pPr>
              <w:ind w:left="760"/>
              <w:spacing w:after="0" w:line="184" w:lineRule="exact"/>
              <w:rPr>
                <w:sz w:val="20"/>
                <w:szCs w:val="20"/>
                <w:color w:val="auto"/>
              </w:rPr>
            </w:pPr>
            <w:r>
              <w:rPr>
                <w:rFonts w:ascii="Arial" w:cs="Arial" w:eastAsia="Arial" w:hAnsi="Arial"/>
                <w:sz w:val="14"/>
                <w:szCs w:val="14"/>
                <w:color w:val="auto"/>
              </w:rPr>
              <w:t xml:space="preserve">Operating income (loss) </w:t>
            </w:r>
            <w:r>
              <w:rPr>
                <w:rFonts w:ascii="Arial" w:cs="Arial" w:eastAsia="Arial" w:hAnsi="Arial"/>
                <w:sz w:val="18"/>
                <w:szCs w:val="18"/>
                <w:color w:val="auto"/>
                <w:vertAlign w:val="superscript"/>
              </w:rPr>
              <w:t>(2) (4)</w:t>
            </w: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2,366</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2,504</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84"/>
        </w:trPr>
        <w:tc>
          <w:tcPr>
            <w:tcW w:w="3400" w:type="dxa"/>
            <w:vAlign w:val="bottom"/>
          </w:tcPr>
          <w:p>
            <w:pPr>
              <w:ind w:left="1080"/>
              <w:spacing w:after="0" w:line="184" w:lineRule="exact"/>
              <w:rPr>
                <w:sz w:val="20"/>
                <w:szCs w:val="20"/>
                <w:color w:val="auto"/>
              </w:rPr>
            </w:pPr>
            <w:r>
              <w:rPr>
                <w:rFonts w:ascii="Arial" w:cs="Arial" w:eastAsia="Arial" w:hAnsi="Arial"/>
                <w:sz w:val="14"/>
                <w:szCs w:val="14"/>
                <w:color w:val="auto"/>
              </w:rPr>
              <w:t xml:space="preserve">Net (loss) income </w:t>
            </w:r>
            <w:r>
              <w:rPr>
                <w:rFonts w:ascii="Arial" w:cs="Arial" w:eastAsia="Arial" w:hAnsi="Arial"/>
                <w:sz w:val="18"/>
                <w:szCs w:val="18"/>
                <w:color w:val="auto"/>
                <w:vertAlign w:val="superscript"/>
              </w:rPr>
              <w:t>(2) (4)</w:t>
            </w: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6"/>
                <w:szCs w:val="16"/>
                <w:color w:val="auto"/>
              </w:rPr>
            </w:pP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1,273</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1,907</w:t>
            </w:r>
          </w:p>
        </w:tc>
        <w:tc>
          <w:tcPr>
            <w:tcW w:w="100" w:type="dxa"/>
            <w:vAlign w:val="bottom"/>
          </w:tcPr>
          <w:p>
            <w:pPr>
              <w:spacing w:after="0"/>
              <w:rPr>
                <w:sz w:val="16"/>
                <w:szCs w:val="16"/>
                <w:color w:val="auto"/>
              </w:rPr>
            </w:pP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1,459</w:t>
            </w:r>
          </w:p>
        </w:tc>
        <w:tc>
          <w:tcPr>
            <w:tcW w:w="100" w:type="dxa"/>
            <w:vAlign w:val="bottom"/>
          </w:tcPr>
          <w:p>
            <w:pPr>
              <w:spacing w:after="0"/>
              <w:rPr>
                <w:sz w:val="16"/>
                <w:szCs w:val="16"/>
                <w:color w:val="auto"/>
              </w:rPr>
            </w:pP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84"/>
        </w:trPr>
        <w:tc>
          <w:tcPr>
            <w:tcW w:w="3400" w:type="dxa"/>
            <w:vAlign w:val="bottom"/>
            <w:shd w:val="clear" w:color="auto" w:fill="CCEEFF"/>
          </w:tcPr>
          <w:p>
            <w:pPr>
              <w:ind w:left="460"/>
              <w:spacing w:after="0"/>
              <w:rPr>
                <w:sz w:val="20"/>
                <w:szCs w:val="20"/>
                <w:color w:val="auto"/>
              </w:rPr>
            </w:pPr>
            <w:r>
              <w:rPr>
                <w:rFonts w:ascii="Arial" w:cs="Arial" w:eastAsia="Arial" w:hAnsi="Arial"/>
                <w:sz w:val="14"/>
                <w:szCs w:val="14"/>
                <w:b w:val="1"/>
                <w:bCs w:val="1"/>
                <w:color w:val="auto"/>
              </w:rPr>
              <w:t>Per Share Data:</w:t>
            </w:r>
          </w:p>
        </w:tc>
        <w:tc>
          <w:tcPr>
            <w:tcW w:w="6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3400" w:type="dxa"/>
            <w:vAlign w:val="bottom"/>
          </w:tcPr>
          <w:p>
            <w:pPr>
              <w:ind w:left="340"/>
              <w:spacing w:after="0"/>
              <w:rPr>
                <w:sz w:val="20"/>
                <w:szCs w:val="20"/>
                <w:color w:val="auto"/>
              </w:rPr>
            </w:pPr>
            <w:r>
              <w:rPr>
                <w:rFonts w:ascii="Arial" w:cs="Arial" w:eastAsia="Arial" w:hAnsi="Arial"/>
                <w:sz w:val="14"/>
                <w:szCs w:val="14"/>
                <w:color w:val="auto"/>
              </w:rPr>
              <w:t xml:space="preserve">Diluted (losses) earnings per share </w:t>
            </w:r>
            <w:r>
              <w:rPr>
                <w:rFonts w:ascii="Arial" w:cs="Arial" w:eastAsia="Arial" w:hAnsi="Arial"/>
                <w:sz w:val="18"/>
                <w:szCs w:val="18"/>
                <w:color w:val="auto"/>
                <w:vertAlign w:val="superscript"/>
              </w:rPr>
              <w:t>(2) (4)</w:t>
            </w:r>
          </w:p>
        </w:tc>
        <w:tc>
          <w:tcPr>
            <w:tcW w:w="660" w:type="dxa"/>
            <w:vAlign w:val="bottom"/>
            <w:vMerge w:val="restart"/>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(0.82)</w:t>
            </w:r>
          </w:p>
        </w:tc>
        <w:tc>
          <w:tcPr>
            <w:tcW w:w="100" w:type="dxa"/>
            <w:vAlign w:val="bottom"/>
          </w:tcPr>
          <w:p>
            <w:pPr>
              <w:spacing w:after="0"/>
              <w:rPr>
                <w:sz w:val="24"/>
                <w:szCs w:val="24"/>
                <w:color w:val="auto"/>
              </w:rPr>
            </w:pPr>
          </w:p>
        </w:tc>
        <w:tc>
          <w:tcPr>
            <w:tcW w:w="660" w:type="dxa"/>
            <w:vAlign w:val="bottom"/>
            <w:vMerge w:val="restart"/>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24"/>
                <w:szCs w:val="2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5.38</w:t>
            </w:r>
          </w:p>
        </w:tc>
        <w:tc>
          <w:tcPr>
            <w:tcW w:w="100" w:type="dxa"/>
            <w:vAlign w:val="bottom"/>
          </w:tcPr>
          <w:p>
            <w:pPr>
              <w:spacing w:after="0"/>
              <w:rPr>
                <w:sz w:val="24"/>
                <w:szCs w:val="24"/>
                <w:color w:val="auto"/>
              </w:rPr>
            </w:pPr>
          </w:p>
        </w:tc>
        <w:tc>
          <w:tcPr>
            <w:tcW w:w="660" w:type="dxa"/>
            <w:vAlign w:val="bottom"/>
            <w:vMerge w:val="restart"/>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24"/>
                <w:szCs w:val="24"/>
                <w:color w:val="auto"/>
              </w:rPr>
            </w:pPr>
          </w:p>
        </w:tc>
        <w:tc>
          <w:tcPr>
            <w:tcW w:w="660" w:type="dxa"/>
            <w:vAlign w:val="bottom"/>
            <w:vMerge w:val="restart"/>
          </w:tcPr>
          <w:p>
            <w:pPr>
              <w:jc w:val="right"/>
              <w:ind w:right="7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84"/>
        </w:trPr>
        <w:tc>
          <w:tcPr>
            <w:tcW w:w="34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34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Cash dividends declared per share</w:t>
            </w:r>
          </w:p>
        </w:tc>
        <w:tc>
          <w:tcPr>
            <w:tcW w:w="66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100" w:type="dxa"/>
            <w:vAlign w:val="bottom"/>
            <w:shd w:val="clear" w:color="auto" w:fill="CCEEFF"/>
          </w:tcPr>
          <w:p>
            <w:pPr>
              <w:spacing w:after="0"/>
              <w:rPr>
                <w:sz w:val="24"/>
                <w:szCs w:val="24"/>
                <w:color w:val="auto"/>
              </w:rPr>
            </w:pPr>
          </w:p>
        </w:tc>
        <w:tc>
          <w:tcPr>
            <w:tcW w:w="66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24"/>
                <w:szCs w:val="2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24"/>
                <w:szCs w:val="24"/>
                <w:color w:val="auto"/>
              </w:rPr>
            </w:pPr>
          </w:p>
        </w:tc>
        <w:tc>
          <w:tcPr>
            <w:tcW w:w="66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24"/>
                <w:szCs w:val="24"/>
                <w:color w:val="auto"/>
              </w:rPr>
            </w:pPr>
          </w:p>
        </w:tc>
        <w:tc>
          <w:tcPr>
            <w:tcW w:w="66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2"/>
        </w:trPr>
        <w:tc>
          <w:tcPr>
            <w:tcW w:w="340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400" w:type="dxa"/>
            <w:vAlign w:val="bottom"/>
          </w:tcPr>
          <w:p>
            <w:pPr>
              <w:ind w:left="460"/>
              <w:spacing w:after="0"/>
              <w:rPr>
                <w:sz w:val="20"/>
                <w:szCs w:val="20"/>
                <w:color w:val="auto"/>
              </w:rPr>
            </w:pPr>
            <w:r>
              <w:rPr>
                <w:rFonts w:ascii="Arial" w:cs="Arial" w:eastAsia="Arial" w:hAnsi="Arial"/>
                <w:sz w:val="14"/>
                <w:szCs w:val="14"/>
                <w:b w:val="1"/>
                <w:bCs w:val="1"/>
                <w:color w:val="auto"/>
              </w:rPr>
              <w:t>Balance Sheet Data (at year-end):</w:t>
            </w: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400" w:type="dxa"/>
            <w:vAlign w:val="bottom"/>
            <w:shd w:val="clear" w:color="auto" w:fill="CCEEFF"/>
          </w:tcPr>
          <w:p>
            <w:pPr>
              <w:ind w:left="760"/>
              <w:spacing w:after="0" w:line="185" w:lineRule="exact"/>
              <w:rPr>
                <w:sz w:val="20"/>
                <w:szCs w:val="20"/>
                <w:color w:val="auto"/>
              </w:rPr>
            </w:pPr>
            <w:r>
              <w:rPr>
                <w:rFonts w:ascii="Arial" w:cs="Arial" w:eastAsia="Arial" w:hAnsi="Arial"/>
                <w:sz w:val="14"/>
                <w:szCs w:val="14"/>
                <w:color w:val="auto"/>
              </w:rPr>
              <w:t xml:space="preserve">Total assets </w:t>
            </w:r>
            <w:r>
              <w:rPr>
                <w:rFonts w:ascii="Arial" w:cs="Arial" w:eastAsia="Arial" w:hAnsi="Arial"/>
                <w:sz w:val="18"/>
                <w:szCs w:val="18"/>
                <w:color w:val="auto"/>
                <w:vertAlign w:val="superscript"/>
              </w:rPr>
              <w:t>(2) (3) (4)</w:t>
            </w: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24,701</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25,051</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23,696</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23,846</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24,07</w:t>
            </w:r>
          </w:p>
        </w:tc>
        <w:tc>
          <w:tcPr>
            <w:tcW w:w="0" w:type="dxa"/>
            <w:vAlign w:val="bottom"/>
          </w:tcPr>
          <w:p>
            <w:pPr>
              <w:spacing w:after="0"/>
              <w:rPr>
                <w:sz w:val="1"/>
                <w:szCs w:val="1"/>
                <w:color w:val="auto"/>
              </w:rPr>
            </w:pPr>
          </w:p>
        </w:tc>
      </w:tr>
      <w:tr>
        <w:trPr>
          <w:trHeight w:val="318"/>
        </w:trPr>
        <w:tc>
          <w:tcPr>
            <w:tcW w:w="3400" w:type="dxa"/>
            <w:vAlign w:val="bottom"/>
          </w:tcPr>
          <w:p>
            <w:pPr>
              <w:ind w:left="760"/>
              <w:spacing w:after="0"/>
              <w:rPr>
                <w:sz w:val="20"/>
                <w:szCs w:val="20"/>
                <w:color w:val="auto"/>
              </w:rPr>
            </w:pPr>
            <w:r>
              <w:rPr>
                <w:rFonts w:ascii="Arial" w:cs="Arial" w:eastAsia="Arial" w:hAnsi="Arial"/>
                <w:sz w:val="14"/>
                <w:szCs w:val="14"/>
                <w:color w:val="auto"/>
              </w:rPr>
              <w:t>Long-term debt</w:t>
            </w:r>
          </w:p>
        </w:tc>
        <w:tc>
          <w:tcPr>
            <w:tcW w:w="660" w:type="dxa"/>
            <w:vAlign w:val="bottom"/>
            <w:vMerge w:val="restart"/>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9,203</w:t>
            </w:r>
          </w:p>
        </w:tc>
        <w:tc>
          <w:tcPr>
            <w:tcW w:w="100" w:type="dxa"/>
            <w:vAlign w:val="bottom"/>
          </w:tcPr>
          <w:p>
            <w:pPr>
              <w:spacing w:after="0"/>
              <w:rPr>
                <w:sz w:val="24"/>
                <w:szCs w:val="24"/>
                <w:color w:val="auto"/>
              </w:rPr>
            </w:pPr>
          </w:p>
        </w:tc>
        <w:tc>
          <w:tcPr>
            <w:tcW w:w="660" w:type="dxa"/>
            <w:vAlign w:val="bottom"/>
            <w:vMerge w:val="restart"/>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9,963</w:t>
            </w:r>
          </w:p>
        </w:tc>
        <w:tc>
          <w:tcPr>
            <w:tcW w:w="100" w:type="dxa"/>
            <w:vAlign w:val="bottom"/>
          </w:tcPr>
          <w:p>
            <w:pPr>
              <w:spacing w:after="0"/>
              <w:rPr>
                <w:sz w:val="24"/>
                <w:szCs w:val="2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8,514</w:t>
            </w:r>
          </w:p>
        </w:tc>
        <w:tc>
          <w:tcPr>
            <w:tcW w:w="100" w:type="dxa"/>
            <w:vAlign w:val="bottom"/>
          </w:tcPr>
          <w:p>
            <w:pPr>
              <w:spacing w:after="0"/>
              <w:rPr>
                <w:sz w:val="24"/>
                <w:szCs w:val="24"/>
                <w:color w:val="auto"/>
              </w:rPr>
            </w:pPr>
          </w:p>
        </w:tc>
        <w:tc>
          <w:tcPr>
            <w:tcW w:w="660" w:type="dxa"/>
            <w:vAlign w:val="bottom"/>
            <w:vMerge w:val="restart"/>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7,840</w:t>
            </w:r>
          </w:p>
        </w:tc>
        <w:tc>
          <w:tcPr>
            <w:tcW w:w="100" w:type="dxa"/>
            <w:vAlign w:val="bottom"/>
          </w:tcPr>
          <w:p>
            <w:pPr>
              <w:spacing w:after="0"/>
              <w:rPr>
                <w:sz w:val="24"/>
                <w:szCs w:val="24"/>
                <w:color w:val="auto"/>
              </w:rPr>
            </w:pPr>
          </w:p>
        </w:tc>
        <w:tc>
          <w:tcPr>
            <w:tcW w:w="660" w:type="dxa"/>
            <w:vAlign w:val="bottom"/>
            <w:vMerge w:val="restart"/>
          </w:tcPr>
          <w:p>
            <w:pPr>
              <w:jc w:val="right"/>
              <w:ind w:right="7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8,19</w:t>
            </w:r>
          </w:p>
        </w:tc>
        <w:tc>
          <w:tcPr>
            <w:tcW w:w="0" w:type="dxa"/>
            <w:vAlign w:val="bottom"/>
          </w:tcPr>
          <w:p>
            <w:pPr>
              <w:spacing w:after="0"/>
              <w:rPr>
                <w:sz w:val="1"/>
                <w:szCs w:val="1"/>
                <w:color w:val="auto"/>
              </w:rPr>
            </w:pPr>
          </w:p>
        </w:tc>
      </w:tr>
      <w:tr>
        <w:trPr>
          <w:trHeight w:val="137"/>
        </w:trPr>
        <w:tc>
          <w:tcPr>
            <w:tcW w:w="34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3400" w:type="dxa"/>
            <w:vAlign w:val="bottom"/>
            <w:shd w:val="clear" w:color="auto" w:fill="CCEEFF"/>
          </w:tcPr>
          <w:p>
            <w:pPr>
              <w:ind w:left="760"/>
              <w:spacing w:after="0" w:line="189" w:lineRule="exact"/>
              <w:rPr>
                <w:sz w:val="20"/>
                <w:szCs w:val="20"/>
                <w:color w:val="auto"/>
              </w:rPr>
            </w:pPr>
            <w:r>
              <w:rPr>
                <w:rFonts w:ascii="Arial" w:cs="Arial" w:eastAsia="Arial" w:hAnsi="Arial"/>
                <w:sz w:val="14"/>
                <w:szCs w:val="14"/>
                <w:color w:val="auto"/>
              </w:rPr>
              <w:t xml:space="preserve">Stockholders’ equity </w:t>
            </w:r>
            <w:r>
              <w:rPr>
                <w:rFonts w:ascii="Arial" w:cs="Arial" w:eastAsia="Arial" w:hAnsi="Arial"/>
                <w:sz w:val="18"/>
                <w:szCs w:val="18"/>
                <w:color w:val="auto"/>
                <w:vertAlign w:val="superscript"/>
              </w:rPr>
              <w:t>(2) (4)</w:t>
            </w: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2,225</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3,582</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w:t>
            </w:r>
          </w:p>
        </w:tc>
        <w:tc>
          <w:tcPr>
            <w:tcW w:w="0" w:type="dxa"/>
            <w:vAlign w:val="bottom"/>
          </w:tcPr>
          <w:p>
            <w:pPr>
              <w:spacing w:after="0"/>
              <w:rPr>
                <w:sz w:val="1"/>
                <w:szCs w:val="1"/>
                <w:color w:val="auto"/>
              </w:rPr>
            </w:pPr>
          </w:p>
        </w:tc>
      </w:tr>
      <w:tr>
        <w:trPr>
          <w:trHeight w:val="184"/>
        </w:trPr>
        <w:tc>
          <w:tcPr>
            <w:tcW w:w="3400" w:type="dxa"/>
            <w:vAlign w:val="bottom"/>
          </w:tcPr>
          <w:p>
            <w:pPr>
              <w:ind w:left="460"/>
              <w:spacing w:after="0"/>
              <w:rPr>
                <w:sz w:val="20"/>
                <w:szCs w:val="20"/>
                <w:color w:val="auto"/>
              </w:rPr>
            </w:pPr>
            <w:r>
              <w:rPr>
                <w:rFonts w:ascii="Arial" w:cs="Arial" w:eastAsia="Arial" w:hAnsi="Arial"/>
                <w:sz w:val="14"/>
                <w:szCs w:val="14"/>
                <w:b w:val="1"/>
                <w:bCs w:val="1"/>
                <w:color w:val="auto"/>
              </w:rPr>
              <w:t>Other Data:</w:t>
            </w: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9"/>
        </w:trPr>
        <w:tc>
          <w:tcPr>
            <w:tcW w:w="3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Base management fees</w:t>
            </w:r>
          </w:p>
        </w:tc>
        <w:tc>
          <w:tcPr>
            <w:tcW w:w="66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CCEEFF"/>
          </w:tcPr>
          <w:p>
            <w:pPr>
              <w:spacing w:after="0"/>
              <w:rPr>
                <w:sz w:val="24"/>
                <w:szCs w:val="24"/>
                <w:color w:val="auto"/>
              </w:rPr>
            </w:pPr>
          </w:p>
        </w:tc>
        <w:tc>
          <w:tcPr>
            <w:tcW w:w="66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1,180</w:t>
            </w:r>
          </w:p>
        </w:tc>
        <w:tc>
          <w:tcPr>
            <w:tcW w:w="100" w:type="dxa"/>
            <w:vAlign w:val="bottom"/>
            <w:shd w:val="clear" w:color="auto" w:fill="CCEEFF"/>
          </w:tcPr>
          <w:p>
            <w:pPr>
              <w:spacing w:after="0"/>
              <w:rPr>
                <w:sz w:val="24"/>
                <w:szCs w:val="2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1,140</w:t>
            </w:r>
          </w:p>
        </w:tc>
        <w:tc>
          <w:tcPr>
            <w:tcW w:w="100" w:type="dxa"/>
            <w:vAlign w:val="bottom"/>
            <w:shd w:val="clear" w:color="auto" w:fill="CCEEFF"/>
          </w:tcPr>
          <w:p>
            <w:pPr>
              <w:spacing w:after="0"/>
              <w:rPr>
                <w:sz w:val="24"/>
                <w:szCs w:val="24"/>
                <w:color w:val="auto"/>
              </w:rPr>
            </w:pPr>
          </w:p>
        </w:tc>
        <w:tc>
          <w:tcPr>
            <w:tcW w:w="66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1,102</w:t>
            </w:r>
          </w:p>
        </w:tc>
        <w:tc>
          <w:tcPr>
            <w:tcW w:w="100" w:type="dxa"/>
            <w:vAlign w:val="bottom"/>
            <w:shd w:val="clear" w:color="auto" w:fill="CCEEFF"/>
          </w:tcPr>
          <w:p>
            <w:pPr>
              <w:spacing w:after="0"/>
              <w:rPr>
                <w:sz w:val="24"/>
                <w:szCs w:val="24"/>
                <w:color w:val="auto"/>
              </w:rPr>
            </w:pPr>
          </w:p>
        </w:tc>
        <w:tc>
          <w:tcPr>
            <w:tcW w:w="66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2"/>
        </w:trPr>
        <w:tc>
          <w:tcPr>
            <w:tcW w:w="340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72"/>
        </w:trPr>
        <w:tc>
          <w:tcPr>
            <w:tcW w:w="3400" w:type="dxa"/>
            <w:vAlign w:val="bottom"/>
          </w:tcPr>
          <w:p>
            <w:pPr>
              <w:ind w:left="380"/>
              <w:spacing w:after="0"/>
              <w:rPr>
                <w:sz w:val="20"/>
                <w:szCs w:val="20"/>
                <w:color w:val="auto"/>
              </w:rPr>
            </w:pPr>
            <w:r>
              <w:rPr>
                <w:rFonts w:ascii="Arial" w:cs="Arial" w:eastAsia="Arial" w:hAnsi="Arial"/>
                <w:sz w:val="14"/>
                <w:szCs w:val="14"/>
                <w:color w:val="auto"/>
              </w:rPr>
              <w:t xml:space="preserve">Franchise fees </w:t>
            </w:r>
            <w:r>
              <w:rPr>
                <w:rFonts w:ascii="Arial" w:cs="Arial" w:eastAsia="Arial" w:hAnsi="Arial"/>
                <w:sz w:val="18"/>
                <w:szCs w:val="18"/>
                <w:color w:val="auto"/>
                <w:vertAlign w:val="superscript"/>
              </w:rPr>
              <w:t>(1) (2)</w:t>
            </w:r>
          </w:p>
        </w:tc>
        <w:tc>
          <w:tcPr>
            <w:tcW w:w="66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1,153</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1,849</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1,586</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84"/>
        </w:trPr>
        <w:tc>
          <w:tcPr>
            <w:tcW w:w="3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3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Incentive management fees</w:t>
            </w:r>
          </w:p>
        </w:tc>
        <w:tc>
          <w:tcPr>
            <w:tcW w:w="660" w:type="dxa"/>
            <w:vAlign w:val="bottom"/>
            <w:shd w:val="clear" w:color="auto" w:fill="CCEEFF"/>
          </w:tcPr>
          <w:p>
            <w:pPr>
              <w:spacing w:after="0"/>
              <w:rPr>
                <w:sz w:val="24"/>
                <w:szCs w:val="2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637</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649</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607</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2"/>
        </w:trPr>
        <w:tc>
          <w:tcPr>
            <w:tcW w:w="340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400" w:type="dxa"/>
            <w:vAlign w:val="bottom"/>
          </w:tcPr>
          <w:p>
            <w:pPr>
              <w:ind w:left="1080"/>
              <w:spacing w:after="0" w:line="177" w:lineRule="exact"/>
              <w:rPr>
                <w:sz w:val="20"/>
                <w:szCs w:val="20"/>
                <w:color w:val="auto"/>
              </w:rPr>
            </w:pPr>
            <w:r>
              <w:rPr>
                <w:rFonts w:ascii="Arial" w:cs="Arial" w:eastAsia="Arial" w:hAnsi="Arial"/>
                <w:sz w:val="14"/>
                <w:szCs w:val="14"/>
                <w:color w:val="auto"/>
              </w:rPr>
              <w:t xml:space="preserve">Total fees </w:t>
            </w:r>
            <w:r>
              <w:rPr>
                <w:rFonts w:ascii="Arial" w:cs="Arial" w:eastAsia="Arial" w:hAnsi="Arial"/>
                <w:sz w:val="18"/>
                <w:szCs w:val="18"/>
                <w:color w:val="auto"/>
                <w:vertAlign w:val="superscript"/>
              </w:rPr>
              <w:t>(1) (2)</w:t>
            </w: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1,683</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3,823</w:t>
            </w:r>
          </w:p>
        </w:tc>
        <w:tc>
          <w:tcPr>
            <w:tcW w:w="10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3,638</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3,295</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400" w:type="dxa"/>
            <w:vAlign w:val="bottom"/>
            <w:shd w:val="clear" w:color="auto" w:fill="CCEEFF"/>
          </w:tcPr>
          <w:p>
            <w:pPr>
              <w:ind w:left="460"/>
              <w:spacing w:after="0" w:line="151" w:lineRule="exact"/>
              <w:rPr>
                <w:sz w:val="20"/>
                <w:szCs w:val="20"/>
                <w:color w:val="auto"/>
              </w:rPr>
            </w:pPr>
            <w:r>
              <w:rPr>
                <w:rFonts w:ascii="Arial" w:cs="Arial" w:eastAsia="Arial" w:hAnsi="Arial"/>
                <w:sz w:val="14"/>
                <w:szCs w:val="14"/>
                <w:b w:val="1"/>
                <w:bCs w:val="1"/>
                <w:color w:val="auto"/>
              </w:rPr>
              <w:t>Gross Fee Revenue-Source:</w:t>
            </w:r>
          </w:p>
        </w:tc>
        <w:tc>
          <w:tcPr>
            <w:tcW w:w="6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2"/>
        </w:trPr>
        <w:tc>
          <w:tcPr>
            <w:tcW w:w="3400" w:type="dxa"/>
            <w:vAlign w:val="bottom"/>
          </w:tcPr>
          <w:p>
            <w:pPr>
              <w:ind w:left="760"/>
              <w:spacing w:after="0"/>
              <w:rPr>
                <w:sz w:val="20"/>
                <w:szCs w:val="20"/>
                <w:color w:val="auto"/>
              </w:rPr>
            </w:pPr>
            <w:r>
              <w:rPr>
                <w:rFonts w:ascii="Arial" w:cs="Arial" w:eastAsia="Arial" w:hAnsi="Arial"/>
                <w:sz w:val="14"/>
                <w:szCs w:val="14"/>
                <w:color w:val="auto"/>
              </w:rPr>
              <w:t xml:space="preserve">U.S. &amp; Canada </w:t>
            </w:r>
            <w:r>
              <w:rPr>
                <w:rFonts w:ascii="Arial" w:cs="Arial" w:eastAsia="Arial" w:hAnsi="Arial"/>
                <w:sz w:val="18"/>
                <w:szCs w:val="18"/>
                <w:color w:val="auto"/>
                <w:vertAlign w:val="superscript"/>
              </w:rPr>
              <w:t>(1) (2)</w:t>
            </w: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1,345</w:t>
            </w:r>
          </w:p>
        </w:tc>
        <w:tc>
          <w:tcPr>
            <w:tcW w:w="100" w:type="dxa"/>
            <w:vAlign w:val="bottom"/>
          </w:tcPr>
          <w:p>
            <w:pPr>
              <w:spacing w:after="0"/>
              <w:rPr>
                <w:sz w:val="24"/>
                <w:szCs w:val="24"/>
                <w:color w:val="auto"/>
              </w:rPr>
            </w:pP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2,791</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2,641</w:t>
            </w:r>
          </w:p>
        </w:tc>
        <w:tc>
          <w:tcPr>
            <w:tcW w:w="100" w:type="dxa"/>
            <w:vAlign w:val="bottom"/>
          </w:tcPr>
          <w:p>
            <w:pPr>
              <w:spacing w:after="0"/>
              <w:rPr>
                <w:sz w:val="24"/>
                <w:szCs w:val="24"/>
                <w:color w:val="auto"/>
              </w:rPr>
            </w:pP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2,388</w:t>
            </w:r>
          </w:p>
        </w:tc>
        <w:tc>
          <w:tcPr>
            <w:tcW w:w="100" w:type="dxa"/>
            <w:vAlign w:val="bottom"/>
          </w:tcPr>
          <w:p>
            <w:pPr>
              <w:spacing w:after="0"/>
              <w:rPr>
                <w:sz w:val="24"/>
                <w:szCs w:val="24"/>
                <w:color w:val="auto"/>
              </w:rPr>
            </w:pP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84"/>
        </w:trPr>
        <w:tc>
          <w:tcPr>
            <w:tcW w:w="3400" w:type="dxa"/>
            <w:vAlign w:val="bottom"/>
            <w:shd w:val="clear" w:color="auto" w:fill="CCEEFF"/>
          </w:tcPr>
          <w:p>
            <w:pPr>
              <w:ind w:left="760"/>
              <w:spacing w:after="0" w:line="184" w:lineRule="exact"/>
              <w:rPr>
                <w:sz w:val="20"/>
                <w:szCs w:val="20"/>
                <w:color w:val="auto"/>
              </w:rPr>
            </w:pPr>
            <w:r>
              <w:rPr>
                <w:rFonts w:ascii="Arial" w:cs="Arial" w:eastAsia="Arial" w:hAnsi="Arial"/>
                <w:sz w:val="14"/>
                <w:szCs w:val="14"/>
                <w:color w:val="auto"/>
              </w:rPr>
              <w:t xml:space="preserve">Total Outside U.S. &amp; Canada </w:t>
            </w:r>
            <w:r>
              <w:rPr>
                <w:rFonts w:ascii="Arial" w:cs="Arial" w:eastAsia="Arial" w:hAnsi="Arial"/>
                <w:sz w:val="18"/>
                <w:szCs w:val="18"/>
                <w:color w:val="auto"/>
                <w:vertAlign w:val="superscript"/>
              </w:rPr>
              <w:t>(1) (2)</w:t>
            </w:r>
          </w:p>
        </w:tc>
        <w:tc>
          <w:tcPr>
            <w:tcW w:w="6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1,032</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997</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907</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77"/>
        </w:trPr>
        <w:tc>
          <w:tcPr>
            <w:tcW w:w="3400" w:type="dxa"/>
            <w:vAlign w:val="bottom"/>
          </w:tcPr>
          <w:p>
            <w:pPr>
              <w:ind w:left="1080"/>
              <w:spacing w:after="0" w:line="177" w:lineRule="exact"/>
              <w:rPr>
                <w:sz w:val="20"/>
                <w:szCs w:val="20"/>
                <w:color w:val="auto"/>
              </w:rPr>
            </w:pPr>
            <w:r>
              <w:rPr>
                <w:rFonts w:ascii="Arial" w:cs="Arial" w:eastAsia="Arial" w:hAnsi="Arial"/>
                <w:sz w:val="14"/>
                <w:szCs w:val="14"/>
                <w:color w:val="auto"/>
              </w:rPr>
              <w:t xml:space="preserve">Total fees </w:t>
            </w:r>
            <w:r>
              <w:rPr>
                <w:rFonts w:ascii="Arial" w:cs="Arial" w:eastAsia="Arial" w:hAnsi="Arial"/>
                <w:sz w:val="18"/>
                <w:szCs w:val="18"/>
                <w:color w:val="auto"/>
                <w:vertAlign w:val="superscript"/>
              </w:rPr>
              <w:t>(1) (2)</w:t>
            </w: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1,683</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3,823</w:t>
            </w:r>
          </w:p>
        </w:tc>
        <w:tc>
          <w:tcPr>
            <w:tcW w:w="10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3,638</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3,295</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320" w:right="540" w:hanging="315"/>
        <w:spacing w:after="0" w:line="213" w:lineRule="auto"/>
        <w:tabs>
          <w:tab w:leader="none" w:pos="308"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 2017, we reclassified branding fees for third-party residential sales and credit card licensing to the “Franchise fees” caption from the “Owned, leased, and other revenue” caption on our Income Statements. We reclassified 2016 amounts to conform to our current presentation.</w:t>
      </w:r>
    </w:p>
    <w:p>
      <w:pPr>
        <w:spacing w:after="0" w:line="1" w:lineRule="exact"/>
        <w:rPr>
          <w:rFonts w:ascii="Arial" w:cs="Arial" w:eastAsia="Arial" w:hAnsi="Arial"/>
          <w:sz w:val="18"/>
          <w:szCs w:val="18"/>
          <w:color w:val="auto"/>
          <w:vertAlign w:val="superscript"/>
        </w:rPr>
      </w:pPr>
    </w:p>
    <w:p>
      <w:pPr>
        <w:ind w:left="300" w:hanging="295"/>
        <w:spacing w:after="0" w:line="183" w:lineRule="auto"/>
        <w:tabs>
          <w:tab w:leader="none" w:pos="30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 2018, we adopted ASU No. 2014-09, which impacted our recognition of revenues and certain expenses.</w:t>
      </w:r>
    </w:p>
    <w:p>
      <w:pPr>
        <w:ind w:left="300" w:hanging="295"/>
        <w:spacing w:after="0" w:line="193" w:lineRule="auto"/>
        <w:tabs>
          <w:tab w:leader="none" w:pos="300"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In 2019, we adopted ASU No. 2016-02, which brought substantially all leases onto the balance sheet. Years before 2019 have not been adjusted for this new accounting standard.</w:t>
      </w:r>
    </w:p>
    <w:p>
      <w:pPr>
        <w:ind w:left="300" w:hanging="295"/>
        <w:spacing w:after="0" w:line="193" w:lineRule="auto"/>
        <w:tabs>
          <w:tab w:leader="none" w:pos="30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 2020, we adopted ASU No. 2016-13, which impacted our provision for credit losses. Years before 2020 have not been adjusted for this new accounting standard.</w:t>
      </w:r>
    </w:p>
    <w:p>
      <w:pPr>
        <w:spacing w:after="0" w:line="13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67" w:lineRule="exact"/>
        <w:rPr>
          <w:sz w:val="20"/>
          <w:szCs w:val="20"/>
          <w:color w:val="auto"/>
        </w:rPr>
      </w:pPr>
    </w:p>
    <w:p>
      <w:pPr>
        <w:jc w:val="both"/>
        <w:ind w:left="80" w:right="340" w:firstLine="395"/>
        <w:spacing w:after="0" w:line="252" w:lineRule="auto"/>
        <w:rPr>
          <w:sz w:val="20"/>
          <w:szCs w:val="20"/>
          <w:color w:val="auto"/>
        </w:rPr>
      </w:pPr>
      <w:r>
        <w:rPr>
          <w:rFonts w:ascii="Arial" w:cs="Arial" w:eastAsia="Arial" w:hAnsi="Arial"/>
          <w:sz w:val="18"/>
          <w:szCs w:val="18"/>
          <w:i w:val="1"/>
          <w:iCs w:val="1"/>
          <w:color w:val="auto"/>
        </w:rPr>
        <w:t>A discussion regarding our financial condition and results of operations for year-end 2019 compared to year-end 2018 can be found in Part II, Item 7 “Management’s Discussion and Analysis of Financial Condition and Results of Operations” of our Annual Report on Form 10-K for the fiscal year ended December 31, 2019, as filed with the SEC on February 27,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OVERVIEW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61" w:lineRule="exact"/>
        <w:rPr>
          <w:sz w:val="20"/>
          <w:szCs w:val="20"/>
          <w:color w:val="auto"/>
        </w:rPr>
      </w:pPr>
    </w:p>
    <w:p>
      <w:pPr>
        <w:ind w:right="160" w:firstLine="434"/>
        <w:spacing w:after="0" w:line="247" w:lineRule="auto"/>
        <w:rPr>
          <w:sz w:val="20"/>
          <w:szCs w:val="20"/>
          <w:color w:val="auto"/>
        </w:rPr>
      </w:pPr>
      <w:r>
        <w:rPr>
          <w:rFonts w:ascii="Arial" w:cs="Arial" w:eastAsia="Arial" w:hAnsi="Arial"/>
          <w:sz w:val="18"/>
          <w:szCs w:val="18"/>
          <w:color w:val="auto"/>
        </w:rPr>
        <w:t>We are a worldwide operator, franchisor, and licensor of hotel, residential, and timeshare properties in 133 countries and territories under 30 brand names. Under our asset-light business model, we typically manage or franchise hotels, rather than own them. We discuss our operations in the following three reportable business segments: U.S. &amp; Canada; Asia Pacific; and Europe, Middle East and Africa (“EMEA”). Our Caribbean and Latin America (“CALA”) operating segment does not meet the applicable accounting criteria for separate disclosure as a reportable business segment, and we include its results in “Unallocated corporate and other.” In January 2021, we modified our reportable segment structure as a result of a change in the way management intends to evaluate results and allocate resources within the Company. Beginning with the 2021 first quarter, we will report the following two operating segments: U.S. &amp; Canada and International.</w:t>
      </w:r>
    </w:p>
    <w:p>
      <w:pPr>
        <w:spacing w:after="0" w:line="200" w:lineRule="exact"/>
        <w:rPr>
          <w:sz w:val="20"/>
          <w:szCs w:val="20"/>
          <w:color w:val="auto"/>
        </w:rPr>
      </w:pPr>
    </w:p>
    <w:p>
      <w:pPr>
        <w:spacing w:after="0" w:line="32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434"/>
        <w:spacing w:after="0" w:line="282" w:lineRule="auto"/>
        <w:rPr>
          <w:sz w:val="20"/>
          <w:szCs w:val="20"/>
          <w:color w:val="auto"/>
        </w:rPr>
      </w:pPr>
      <w:r>
        <w:rPr>
          <w:rFonts w:ascii="Arial" w:cs="Arial" w:eastAsia="Arial" w:hAnsi="Arial"/>
          <w:sz w:val="16"/>
          <w:szCs w:val="16"/>
          <w:color w:val="auto"/>
        </w:rPr>
        <w:t>We earn base management fees and, under many agreements, incentive management fees from the properties that we manage, and we earn franchise fees on the properties that others operate under franchise agreements with us. In most markets, base management and franchise fees typically consist of a percentage of property-level revenue, or certain property-level revenue in the case of franchise fees, while incentive management fees typically consist of a percentage of net house profit after a specified owner return. For our hotels in the Middle East and Africa and in the Asia Pacific region, incentive management fees typically consist of a percentage of gross operating profit without adjustment for a specified owner return. Net house profit is calculated as gross operating profit (also referred to as “house profit”) less non-controllable expenses such as property insurance, real estate taxes, and capital spending reserves. Additionally, we earn franchise fees for use of our intellectual property, including fees from our co-brand credit card, timeshare, and residential programs.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Starwood Data Security Incident</w:t>
      </w:r>
    </w:p>
    <w:p>
      <w:pPr>
        <w:spacing w:after="0" w:line="161" w:lineRule="exact"/>
        <w:rPr>
          <w:sz w:val="20"/>
          <w:szCs w:val="20"/>
          <w:color w:val="auto"/>
        </w:rPr>
      </w:pPr>
    </w:p>
    <w:p>
      <w:pPr>
        <w:ind w:right="160" w:firstLine="395"/>
        <w:spacing w:after="0" w:line="261" w:lineRule="auto"/>
        <w:rPr>
          <w:sz w:val="20"/>
          <w:szCs w:val="20"/>
          <w:color w:val="auto"/>
        </w:rPr>
      </w:pPr>
      <w:r>
        <w:rPr>
          <w:rFonts w:ascii="Arial" w:cs="Arial" w:eastAsia="Arial" w:hAnsi="Arial"/>
          <w:sz w:val="18"/>
          <w:szCs w:val="18"/>
          <w:color w:val="auto"/>
        </w:rPr>
        <w:t xml:space="preserve">On November 30, 2018, we announced a data security incident involving </w:t>
      </w:r>
      <w:r>
        <w:rPr>
          <w:rFonts w:ascii="Arial" w:cs="Arial" w:eastAsia="Arial" w:hAnsi="Arial"/>
          <w:sz w:val="18"/>
          <w:szCs w:val="18"/>
          <w:color w:val="1C1C1C"/>
        </w:rPr>
        <w:t>unauthorized access to the Starwood reservations database (the “Data Security</w:t>
      </w:r>
      <w:r>
        <w:rPr>
          <w:rFonts w:ascii="Arial" w:cs="Arial" w:eastAsia="Arial" w:hAnsi="Arial"/>
          <w:sz w:val="18"/>
          <w:szCs w:val="18"/>
          <w:color w:val="auto"/>
        </w:rPr>
        <w:t xml:space="preserve"> </w:t>
      </w:r>
      <w:r>
        <w:rPr>
          <w:rFonts w:ascii="Arial" w:cs="Arial" w:eastAsia="Arial" w:hAnsi="Arial"/>
          <w:sz w:val="18"/>
          <w:szCs w:val="18"/>
          <w:color w:val="1C1C1C"/>
        </w:rPr>
        <w:t>Incident”). The Starwood reservations database is no longer used for business operations.</w:t>
      </w:r>
    </w:p>
    <w:p>
      <w:pPr>
        <w:spacing w:after="0" w:line="129" w:lineRule="exact"/>
        <w:rPr>
          <w:sz w:val="20"/>
          <w:szCs w:val="20"/>
          <w:color w:val="auto"/>
        </w:rPr>
      </w:pPr>
    </w:p>
    <w:p>
      <w:pPr>
        <w:ind w:right="80" w:firstLine="395"/>
        <w:spacing w:after="0" w:line="281" w:lineRule="auto"/>
        <w:rPr>
          <w:sz w:val="20"/>
          <w:szCs w:val="20"/>
          <w:color w:val="auto"/>
        </w:rPr>
      </w:pPr>
      <w:r>
        <w:rPr>
          <w:rFonts w:ascii="Arial" w:cs="Arial" w:eastAsia="Arial" w:hAnsi="Arial"/>
          <w:sz w:val="16"/>
          <w:szCs w:val="16"/>
          <w:color w:val="auto"/>
        </w:rPr>
        <w:t>In July 2019, the ICO issued a formal notice of intent under the U.K. Data Protection Act 2018 (the “U.K. DPA”) proposing a fine in the amount of £99 million against the Company in relation to the Data Security Incident. In October 2020, the ICO issued a final decision under the U.K. DPA, which includes a fine of £18.4 million. The Company did not appeal the ICO’s decision, but has made no admission of liability in relation to the decision or the underlying allegations. In 2019, we expensed $65 million for this loss contingency, in the “Restructuring and merger-related charges” caption of our Income Statements, based on the fine initially proposed by the ICO in July 2019 and the ongoing proceeding. In 2020, we recorded a $39 million reversal of expense, based on the ICO’s issuance of the final decision. We paid a portion of the ICO fine in the 2020 fourth quarter, and the remainder is payable over the next two years. Our accrual for this loss contingency, which we present in the “Accrued expenses and other” and “Other noncurrent liabilities” captions of our Balance Sheets, was $65 million at year-end 2019 and $17 million at year-end 2020. See Note 8 for additional information.</w:t>
      </w:r>
    </w:p>
    <w:p>
      <w:pPr>
        <w:spacing w:after="0" w:line="119" w:lineRule="exact"/>
        <w:rPr>
          <w:sz w:val="20"/>
          <w:szCs w:val="20"/>
          <w:color w:val="auto"/>
        </w:rPr>
      </w:pPr>
    </w:p>
    <w:p>
      <w:pPr>
        <w:ind w:right="40" w:firstLine="395"/>
        <w:spacing w:after="0" w:line="280" w:lineRule="auto"/>
        <w:rPr>
          <w:sz w:val="20"/>
          <w:szCs w:val="20"/>
          <w:color w:val="auto"/>
        </w:rPr>
      </w:pPr>
      <w:r>
        <w:rPr>
          <w:rFonts w:ascii="Arial" w:cs="Arial" w:eastAsia="Arial" w:hAnsi="Arial"/>
          <w:sz w:val="16"/>
          <w:szCs w:val="16"/>
          <w:color w:val="auto"/>
        </w:rPr>
        <w:t>We are currently unable to estimate the range of total possible financial impact to the Company from the Data Security Incident in excess of the expenses already incurred. However, we do not believe this incident will impact our long-term financial health. Although our insurance program includes coverage designed to limit our exposure to losses such as those related to the Data Security Incident, that insurance may not be sufficient or available to cover all of our expenses or other losses (including fines and penalties) related to the Data Security Incident. As we expected, the cost of such insurance again increased for our current policy period, and the cost of such insurance could continue to increase for future policy periods. We expect to incur significant expenses associated with the Data Security Incident in future periods, primarily related to legal proceedings and regulatory investigations (including possible additional fines and penalties), increased expenses and capital investments for information technology and information security and data privacy, and increased expenses for compliance activities and to meet increased legal and regulatory requirements. See Note 8 for additional information related to expenses incurred in 2020 and 2019, insurance recoveries, and legal proceedings and governmental investigations related to the Data Security Incident.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Measures</w:t>
      </w:r>
    </w:p>
    <w:p>
      <w:pPr>
        <w:spacing w:after="0" w:line="161" w:lineRule="exact"/>
        <w:rPr>
          <w:sz w:val="20"/>
          <w:szCs w:val="20"/>
          <w:color w:val="auto"/>
        </w:rPr>
      </w:pPr>
    </w:p>
    <w:p>
      <w:pPr>
        <w:ind w:right="20" w:firstLine="434"/>
        <w:spacing w:after="0" w:line="286" w:lineRule="auto"/>
        <w:rPr>
          <w:sz w:val="20"/>
          <w:szCs w:val="20"/>
          <w:color w:val="auto"/>
        </w:rPr>
      </w:pPr>
      <w:r>
        <w:rPr>
          <w:rFonts w:ascii="Arial" w:cs="Arial" w:eastAsia="Arial" w:hAnsi="Arial"/>
          <w:sz w:val="16"/>
          <w:szCs w:val="16"/>
          <w:color w:val="auto"/>
        </w:rPr>
        <w:t xml:space="preserve">We believe Revenue per Available Room (“RevPAR”), which we calculate by dividing room sales for comparable properties by room nights available for the period, is a meaningful indicator of our performance because it measures the period-over-period change in room revenues for comparable properties. RevPAR may not be comparable to similarly titled measures, such as revenues, and should not be viewed as necessarily correlating with our fee revenue. We also believe occupancy and average daily rate (“ADR”), which are components of calculating RevPAR, are meaningful indicators of our performance. Occupancy, which we calculate by dividing occupied rooms by total rooms available (including rooms in hotels temporarily closed due to issues related to </w:t>
      </w:r>
      <w:r>
        <w:rPr>
          <w:rFonts w:ascii="Arial" w:cs="Arial" w:eastAsia="Arial" w:hAnsi="Arial"/>
          <w:sz w:val="17"/>
          <w:szCs w:val="17"/>
          <w:color w:val="auto"/>
        </w:rPr>
        <w:t>COVID-19</w:t>
      </w:r>
      <w:r>
        <w:rPr>
          <w:rFonts w:ascii="Arial" w:cs="Arial" w:eastAsia="Arial" w:hAnsi="Arial"/>
          <w:sz w:val="15"/>
          <w:szCs w:val="15"/>
          <w:color w:val="auto"/>
        </w:rPr>
        <w:t>), measures the utilization of a property’s available capacity. ADR, which we calculate by dividing property room revenue by total rooms sold,</w:t>
      </w:r>
      <w:r>
        <w:rPr>
          <w:rFonts w:ascii="Arial" w:cs="Arial" w:eastAsia="Arial" w:hAnsi="Arial"/>
          <w:sz w:val="17"/>
          <w:szCs w:val="17"/>
          <w:color w:val="auto"/>
        </w:rPr>
        <w:t xml:space="preserve"> </w:t>
      </w:r>
      <w:r>
        <w:rPr>
          <w:rFonts w:ascii="Arial" w:cs="Arial" w:eastAsia="Arial" w:hAnsi="Arial"/>
          <w:sz w:val="15"/>
          <w:szCs w:val="15"/>
          <w:color w:val="auto"/>
        </w:rPr>
        <w:t>measures average room price and is useful in assessing pricing levels. Comparisons to the prior year period are on a constant U.S. dollar basis. We calculate constant dollar statistics by applying exchange rates for the current period to the prior comparable period.</w:t>
      </w:r>
    </w:p>
    <w:p>
      <w:pPr>
        <w:spacing w:after="0" w:line="115" w:lineRule="exact"/>
        <w:rPr>
          <w:sz w:val="20"/>
          <w:szCs w:val="20"/>
          <w:color w:val="auto"/>
        </w:rPr>
      </w:pPr>
    </w:p>
    <w:p>
      <w:pPr>
        <w:ind w:firstLine="434"/>
        <w:spacing w:after="0" w:line="287" w:lineRule="auto"/>
        <w:rPr>
          <w:sz w:val="20"/>
          <w:szCs w:val="20"/>
          <w:color w:val="auto"/>
        </w:rPr>
      </w:pPr>
      <w:r>
        <w:rPr>
          <w:rFonts w:ascii="Arial" w:cs="Arial" w:eastAsia="Arial" w:hAnsi="Arial"/>
          <w:sz w:val="16"/>
          <w:szCs w:val="16"/>
          <w:color w:val="auto"/>
        </w:rPr>
        <w:t xml:space="preserve">We define our comparable properties as our properties that were open and operating under one of our brands since the beginning of the last full calendar year (since January 1, 2019 for the current period) and have not, in either the current or previous year: (1) undergone significant room or public space renovations or expansions, (2) been converted between company-operated and franchised, or (3) sustained substantial property damage or business interruption, with the exception of properties closed or otherwise experiencing interruptions related to </w:t>
      </w:r>
      <w:r>
        <w:rPr>
          <w:rFonts w:ascii="Arial" w:cs="Arial" w:eastAsia="Arial" w:hAnsi="Arial"/>
          <w:sz w:val="17"/>
          <w:szCs w:val="17"/>
          <w:color w:val="auto"/>
        </w:rPr>
        <w:t>COVID-19</w:t>
      </w:r>
      <w:r>
        <w:rPr>
          <w:rFonts w:ascii="Arial" w:cs="Arial" w:eastAsia="Arial" w:hAnsi="Arial"/>
          <w:sz w:val="16"/>
          <w:szCs w:val="16"/>
          <w:color w:val="auto"/>
        </w:rPr>
        <w:t>, which we continue to classify as comparable. For 2020 compared to 2019, we had 4,641 comparable U.S. &amp; Canada properties and 1,340 comparable International properties.</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w:t>
      </w:r>
    </w:p>
    <w:p>
      <w:pPr>
        <w:spacing w:after="0" w:line="104" w:lineRule="exact"/>
        <w:rPr>
          <w:sz w:val="20"/>
          <w:szCs w:val="20"/>
          <w:color w:val="auto"/>
        </w:rPr>
      </w:pPr>
    </w:p>
    <w:p>
      <w:pPr>
        <w:ind w:firstLine="395"/>
        <w:spacing w:after="0" w:line="283" w:lineRule="auto"/>
        <w:rPr>
          <w:sz w:val="20"/>
          <w:szCs w:val="20"/>
          <w:color w:val="auto"/>
        </w:rPr>
      </w:pPr>
      <w:r>
        <w:rPr>
          <w:rFonts w:ascii="Arial" w:cs="Arial" w:eastAsia="Arial" w:hAnsi="Arial"/>
          <w:sz w:val="17"/>
          <w:szCs w:val="17"/>
          <w:color w:val="auto"/>
        </w:rPr>
        <w:t xml:space="preserve">COVID-19 </w:t>
      </w:r>
      <w:r>
        <w:rPr>
          <w:rFonts w:ascii="Arial" w:cs="Arial" w:eastAsia="Arial" w:hAnsi="Arial"/>
          <w:sz w:val="15"/>
          <w:szCs w:val="15"/>
          <w:color w:val="auto"/>
        </w:rPr>
        <w:t>continues to have a material impact on our business, our Company, and our industry.</w:t>
      </w:r>
      <w:r>
        <w:rPr>
          <w:rFonts w:ascii="Arial" w:cs="Arial" w:eastAsia="Arial" w:hAnsi="Arial"/>
          <w:sz w:val="17"/>
          <w:szCs w:val="17"/>
          <w:color w:val="auto"/>
        </w:rPr>
        <w:t xml:space="preserve"> COVID-19 </w:t>
      </w:r>
      <w:r>
        <w:rPr>
          <w:rFonts w:ascii="Arial" w:cs="Arial" w:eastAsia="Arial" w:hAnsi="Arial"/>
          <w:sz w:val="15"/>
          <w:szCs w:val="15"/>
          <w:color w:val="auto"/>
        </w:rPr>
        <w:t>first impacted our business in Greater</w:t>
      </w:r>
      <w:r>
        <w:rPr>
          <w:rFonts w:ascii="Arial" w:cs="Arial" w:eastAsia="Arial" w:hAnsi="Arial"/>
          <w:sz w:val="17"/>
          <w:szCs w:val="17"/>
          <w:color w:val="auto"/>
        </w:rPr>
        <w:t xml:space="preserve"> </w:t>
      </w:r>
      <w:r>
        <w:rPr>
          <w:rFonts w:ascii="Arial" w:cs="Arial" w:eastAsia="Arial" w:hAnsi="Arial"/>
          <w:sz w:val="15"/>
          <w:szCs w:val="15"/>
          <w:color w:val="auto"/>
        </w:rPr>
        <w:t xml:space="preserve">China beginning in January 2020, moved quickly into the rest of Asia Pacific and the European markets, and spread globally by March 2020. As the pandemic accelerated around the world, worldwide comparable systemwide constant dollar RevPAR fell sharply. Global occupancy levels and RevPAR have since improved compared to the extremely low levels reached in April 2020, but the pace of recovery generally slowed in most regions in the 2020 fourth quarter and into January 2021 due to the sharp rise in </w:t>
      </w:r>
      <w:r>
        <w:rPr>
          <w:rFonts w:ascii="Arial" w:cs="Arial" w:eastAsia="Arial" w:hAnsi="Arial"/>
          <w:sz w:val="17"/>
          <w:szCs w:val="17"/>
          <w:color w:val="auto"/>
        </w:rPr>
        <w:t>COVID-19</w:t>
      </w:r>
      <w:r>
        <w:rPr>
          <w:rFonts w:ascii="Arial" w:cs="Arial" w:eastAsia="Arial" w:hAnsi="Arial"/>
          <w:sz w:val="15"/>
          <w:szCs w:val="15"/>
          <w:color w:val="auto"/>
        </w:rPr>
        <w:t xml:space="preserve"> cases. As a result, our fee revenue and revenue from owned and leased properties declined significantly during 2020, and we expect that there will not be a significant rebound in travel and lodging demand until there is widespread distribution of effective vaccines.</w:t>
      </w:r>
    </w:p>
    <w:p>
      <w:pPr>
        <w:spacing w:after="0" w:line="98"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 xml:space="preserve">Worldwide comparable systemwide constant dollar RevPAR declined 23 percent in the 2020 first quarter, 84 percent in the 2020 second quarter, 66 percent in the 2020 third quarter, and 64 percent in the 2020 fourth quarter, compared to the same periods in 2019. Worldwide, approximately six percent of our hotels were closed as of February 15, 2021, compared to the peak of more than 25 percent closed on April 26, 2020. However, the progress of recovery is uneven. The spread of </w:t>
      </w:r>
      <w:r>
        <w:rPr>
          <w:rFonts w:ascii="Arial" w:cs="Arial" w:eastAsia="Arial" w:hAnsi="Arial"/>
          <w:sz w:val="17"/>
          <w:szCs w:val="17"/>
          <w:color w:val="auto"/>
        </w:rPr>
        <w:t>COVID-19</w:t>
      </w:r>
      <w:r>
        <w:rPr>
          <w:rFonts w:ascii="Arial" w:cs="Arial" w:eastAsia="Arial" w:hAnsi="Arial"/>
          <w:sz w:val="16"/>
          <w:szCs w:val="16"/>
          <w:color w:val="auto"/>
        </w:rPr>
        <w:t xml:space="preserve"> has constrained and continues to constrain the speed of recovery and will continue to have a dampening impact on demand. Demand is still being primarily driven by leisure travelers, and we have not seen meaningful demand return from business and group travelers.</w:t>
      </w:r>
    </w:p>
    <w:p>
      <w:pPr>
        <w:spacing w:after="0" w:line="110" w:lineRule="exact"/>
        <w:rPr>
          <w:sz w:val="20"/>
          <w:szCs w:val="20"/>
          <w:color w:val="auto"/>
        </w:rPr>
      </w:pPr>
    </w:p>
    <w:p>
      <w:pPr>
        <w:ind w:right="20" w:firstLine="395"/>
        <w:spacing w:after="0" w:line="284" w:lineRule="auto"/>
        <w:rPr>
          <w:sz w:val="20"/>
          <w:szCs w:val="20"/>
          <w:color w:val="auto"/>
        </w:rPr>
      </w:pPr>
      <w:r>
        <w:rPr>
          <w:rFonts w:ascii="Arial" w:cs="Arial" w:eastAsia="Arial" w:hAnsi="Arial"/>
          <w:sz w:val="16"/>
          <w:szCs w:val="16"/>
          <w:color w:val="auto"/>
        </w:rPr>
        <w:t xml:space="preserve">Of our geographic regions, Greater China experienced the greatest improvement in demand compared to the 2020 second quarter, driven initially by domestic leisure travel with business transient and group business improving through the year, while demand in the rest of Asia Pacific has generally improved at a much slower pace. In our Europe, Middle East, and Africa region, leisure demand drove RevPAR improvements in the 2020 third quarter compared to the 2020 second quarter, though increases in </w:t>
      </w:r>
      <w:r>
        <w:rPr>
          <w:rFonts w:ascii="Arial" w:cs="Arial" w:eastAsia="Arial" w:hAnsi="Arial"/>
          <w:sz w:val="17"/>
          <w:szCs w:val="17"/>
          <w:color w:val="auto"/>
        </w:rPr>
        <w:t>COVID-19</w:t>
      </w:r>
      <w:r>
        <w:rPr>
          <w:rFonts w:ascii="Arial" w:cs="Arial" w:eastAsia="Arial" w:hAnsi="Arial"/>
          <w:sz w:val="16"/>
          <w:szCs w:val="16"/>
          <w:color w:val="auto"/>
        </w:rPr>
        <w:t xml:space="preserve"> cases in Europe and resulting increases in government restrictions began anew in September 2020, which negatively impacted the recovery in the 2020 fourth quarter. In U.S. &amp; Canada, demand improved during the remainder of 2020 from the lows seen in April 2020, primarily driven by leisure travel and by travelers within driving range of their destinations.</w:t>
      </w:r>
    </w:p>
    <w:p>
      <w:pPr>
        <w:spacing w:after="0" w:line="114" w:lineRule="exact"/>
        <w:rPr>
          <w:sz w:val="20"/>
          <w:szCs w:val="20"/>
          <w:color w:val="auto"/>
        </w:rPr>
      </w:pPr>
    </w:p>
    <w:p>
      <w:pPr>
        <w:ind w:right="120" w:firstLine="395"/>
        <w:spacing w:after="0" w:line="248" w:lineRule="auto"/>
        <w:rPr>
          <w:sz w:val="20"/>
          <w:szCs w:val="20"/>
          <w:color w:val="auto"/>
        </w:rPr>
      </w:pPr>
      <w:r>
        <w:rPr>
          <w:rFonts w:ascii="Arial" w:cs="Arial" w:eastAsia="Arial" w:hAnsi="Arial"/>
          <w:sz w:val="18"/>
          <w:szCs w:val="18"/>
          <w:color w:val="auto"/>
        </w:rPr>
        <w:t>We continue to take substantial measures to mitigate the negative financial and operational impacts for our hotel owners and our own business. Business contingency plans have been implemented around the world, and we continue to adjust these in response to the global situation. At the corporate level, our actions to date have substantially reduced the monthly run rate of corporate general and administrative costs compared to the monthly costs initially budgeted for 2020, excluding our provision for credit losses. We reduced spending on capital expenditures and other investments, and as previously announced, we suspended share repurchases and cash dividends.</w:t>
      </w:r>
    </w:p>
    <w:p>
      <w:pPr>
        <w:spacing w:after="0" w:line="137" w:lineRule="exact"/>
        <w:rPr>
          <w:sz w:val="20"/>
          <w:szCs w:val="20"/>
          <w:color w:val="auto"/>
        </w:rPr>
      </w:pPr>
    </w:p>
    <w:p>
      <w:pPr>
        <w:ind w:right="20" w:firstLine="395"/>
        <w:spacing w:after="0" w:line="266" w:lineRule="auto"/>
        <w:rPr>
          <w:sz w:val="20"/>
          <w:szCs w:val="20"/>
          <w:color w:val="auto"/>
        </w:rPr>
      </w:pPr>
      <w:r>
        <w:rPr>
          <w:rFonts w:ascii="Arial" w:cs="Arial" w:eastAsia="Arial" w:hAnsi="Arial"/>
          <w:sz w:val="17"/>
          <w:szCs w:val="17"/>
          <w:color w:val="auto"/>
        </w:rPr>
        <w:t xml:space="preserve">We have taken a number of steps to reorganize the Company in response to the decline in lodging demand caused by </w:t>
      </w:r>
      <w:r>
        <w:rPr>
          <w:rFonts w:ascii="Arial" w:cs="Arial" w:eastAsia="Arial" w:hAnsi="Arial"/>
          <w:sz w:val="18"/>
          <w:szCs w:val="18"/>
          <w:color w:val="auto"/>
        </w:rPr>
        <w:t>COVID-19</w:t>
      </w:r>
      <w:r>
        <w:rPr>
          <w:rFonts w:ascii="Arial" w:cs="Arial" w:eastAsia="Arial" w:hAnsi="Arial"/>
          <w:sz w:val="17"/>
          <w:szCs w:val="17"/>
          <w:color w:val="auto"/>
        </w:rPr>
        <w:t>. We implemented temporary furloughs and reduced work week schedules for both above-property and on-property associates, most of which ended in September 2020 for above-property associates. As part of the realignment of our organization, we implemented a voluntary transition program for certain associates, and we eliminated a significant number of positions. While we have substantially completed the programs related to our above-property organization, we are continuing to develop restructuring plans, which could result in additional on-property position eliminations, to achieve cost savings specific to each of our company-operated properties. See Note 3 for more information about our restructuring activities.</w:t>
      </w:r>
    </w:p>
    <w:p>
      <w:pPr>
        <w:spacing w:after="0" w:line="126" w:lineRule="exact"/>
        <w:rPr>
          <w:sz w:val="20"/>
          <w:szCs w:val="20"/>
          <w:color w:val="auto"/>
        </w:rPr>
      </w:pPr>
    </w:p>
    <w:p>
      <w:pPr>
        <w:ind w:firstLine="395"/>
        <w:spacing w:after="0" w:line="280" w:lineRule="auto"/>
        <w:rPr>
          <w:sz w:val="20"/>
          <w:szCs w:val="20"/>
          <w:color w:val="auto"/>
        </w:rPr>
      </w:pPr>
      <w:r>
        <w:rPr>
          <w:rFonts w:ascii="Arial" w:cs="Arial" w:eastAsia="Arial" w:hAnsi="Arial"/>
          <w:sz w:val="16"/>
          <w:szCs w:val="16"/>
          <w:color w:val="auto"/>
        </w:rPr>
        <w:t>At the property level, we continue to work with owners and franchisees to lower their cash outlays. The steps we have taken to date include deferring renovations, certain hotel initiatives and brand standard audits for hotel owners and franchisees; reducing the amount of certain charges for systemwide programs and services; offering a delay in payment terms for certain charges in the 2020 second quarter; supporting owners and franchisees who are working with their lenders to utilize furniture, fixtures, and equipment (FF&amp;E) reserves to meet working capital needs; and waiving required FF&amp;E funding through 2021. We have significantly lowered the reimbursed expenses we incur on behalf of our owners and franchisees to provide centralized programs and services such as the Loyalty Program, reservations, marketing and sales, which we generally collect through cost reimbursement revenue on the basis of hotel revenue or program usage. In 2020, we applied for Employee Retention Tax Credit refunds from the U.S. Treasury under the Coronavirus Aid, Relief, and Economic Security Act (“CARES Act”) totaling $164 million. In the 2020 fourth quarter, we received $119 million, $94 million of which we passed through to the related hotels that we manage on behalf of owners. We expect to receive the remaining refund in 2021, the majority of which we expect will inure to the benefit of our hotel owners. We continue to evaluate the availability of credits and benefits under the CARES Act and other legislation.</w:t>
      </w:r>
    </w:p>
    <w:p>
      <w:pPr>
        <w:spacing w:after="0" w:line="112" w:lineRule="exact"/>
        <w:rPr>
          <w:sz w:val="20"/>
          <w:szCs w:val="20"/>
          <w:color w:val="auto"/>
        </w:rPr>
      </w:pPr>
    </w:p>
    <w:p>
      <w:pPr>
        <w:ind w:right="120" w:firstLine="395"/>
        <w:spacing w:after="0" w:line="256" w:lineRule="auto"/>
        <w:rPr>
          <w:sz w:val="20"/>
          <w:szCs w:val="20"/>
          <w:color w:val="auto"/>
        </w:rPr>
      </w:pPr>
      <w:r>
        <w:rPr>
          <w:rFonts w:ascii="Arial" w:cs="Arial" w:eastAsia="Arial" w:hAnsi="Arial"/>
          <w:sz w:val="18"/>
          <w:szCs w:val="18"/>
          <w:color w:val="auto"/>
        </w:rPr>
        <w:t xml:space="preserve">The impact of </w:t>
      </w:r>
      <w:r>
        <w:rPr>
          <w:rFonts w:ascii="Arial" w:cs="Arial" w:eastAsia="Arial" w:hAnsi="Arial"/>
          <w:sz w:val="19"/>
          <w:szCs w:val="19"/>
          <w:color w:val="auto"/>
        </w:rPr>
        <w:t>COVID-19</w:t>
      </w:r>
      <w:r>
        <w:rPr>
          <w:rFonts w:ascii="Arial" w:cs="Arial" w:eastAsia="Arial" w:hAnsi="Arial"/>
          <w:sz w:val="18"/>
          <w:szCs w:val="18"/>
          <w:color w:val="auto"/>
        </w:rPr>
        <w:t xml:space="preserve"> on the Company remains fluid, as does our corporate and property-level response, and we expect to continue to assess and may implement additional measures to adapt our operations and plans as we continue to evaluate the implications of </w:t>
      </w:r>
      <w:r>
        <w:rPr>
          <w:rFonts w:ascii="Arial" w:cs="Arial" w:eastAsia="Arial" w:hAnsi="Arial"/>
          <w:sz w:val="19"/>
          <w:szCs w:val="19"/>
          <w:color w:val="auto"/>
        </w:rPr>
        <w:t>COVID-19</w:t>
      </w:r>
      <w:r>
        <w:rPr>
          <w:rFonts w:ascii="Arial" w:cs="Arial" w:eastAsia="Arial" w:hAnsi="Arial"/>
          <w:sz w:val="18"/>
          <w:szCs w:val="18"/>
          <w:color w:val="auto"/>
        </w:rPr>
        <w:t xml:space="preserve"> on our business. The overall operational and financial impact is highly dependent on</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 xml:space="preserve">the breadth and duration of </w:t>
      </w:r>
      <w:r>
        <w:rPr>
          <w:rFonts w:ascii="Arial" w:cs="Arial" w:eastAsia="Arial" w:hAnsi="Arial"/>
          <w:sz w:val="19"/>
          <w:szCs w:val="19"/>
          <w:color w:val="auto"/>
        </w:rPr>
        <w:t>COVID-19</w:t>
      </w:r>
      <w:r>
        <w:rPr>
          <w:rFonts w:ascii="Arial" w:cs="Arial" w:eastAsia="Arial" w:hAnsi="Arial"/>
          <w:sz w:val="18"/>
          <w:szCs w:val="18"/>
          <w:color w:val="auto"/>
        </w:rPr>
        <w:t>, including the availability and distribution of effective vaccines or treatments, and could be affected by other factors we are not currently able to predict.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System Growth and Pipeline</w:t>
      </w:r>
    </w:p>
    <w:p>
      <w:pPr>
        <w:spacing w:after="0" w:line="161" w:lineRule="exact"/>
        <w:rPr>
          <w:sz w:val="20"/>
          <w:szCs w:val="20"/>
          <w:color w:val="auto"/>
        </w:rPr>
      </w:pPr>
    </w:p>
    <w:p>
      <w:pPr>
        <w:ind w:right="20" w:firstLine="395"/>
        <w:spacing w:after="0" w:line="252" w:lineRule="auto"/>
        <w:rPr>
          <w:sz w:val="20"/>
          <w:szCs w:val="20"/>
          <w:color w:val="auto"/>
        </w:rPr>
      </w:pPr>
      <w:r>
        <w:rPr>
          <w:rFonts w:ascii="Arial" w:cs="Arial" w:eastAsia="Arial" w:hAnsi="Arial"/>
          <w:sz w:val="18"/>
          <w:szCs w:val="18"/>
          <w:color w:val="auto"/>
        </w:rPr>
        <w:t>In 2020, our system grew from 7,349 properties (1,380,921 rooms) at year-end 2019 to 7,642 properties (1,423,044 rooms) at year-end 2020, reflecting the addition of 399 properties (62,776 rooms) and the exit of 106 properties (20,416 rooms). Approximately 45 percent of added rooms are located outside U.S. &amp; Canada, and 13 percent are conversions from competitor brands.</w:t>
      </w:r>
    </w:p>
    <w:p>
      <w:pPr>
        <w:spacing w:after="0" w:line="138" w:lineRule="exact"/>
        <w:rPr>
          <w:sz w:val="20"/>
          <w:szCs w:val="20"/>
          <w:color w:val="auto"/>
        </w:rPr>
      </w:pPr>
    </w:p>
    <w:p>
      <w:pPr>
        <w:ind w:right="420" w:firstLine="395"/>
        <w:spacing w:after="0" w:line="250" w:lineRule="auto"/>
        <w:rPr>
          <w:sz w:val="20"/>
          <w:szCs w:val="20"/>
          <w:color w:val="auto"/>
        </w:rPr>
      </w:pPr>
      <w:r>
        <w:rPr>
          <w:rFonts w:ascii="Arial" w:cs="Arial" w:eastAsia="Arial" w:hAnsi="Arial"/>
          <w:sz w:val="18"/>
          <w:szCs w:val="18"/>
          <w:color w:val="auto"/>
        </w:rPr>
        <w:t>At year-end 2020, we had more than 498,000 rooms in our development pipeline, which includes hotel rooms under construction, hotel rooms under signed contracts, and roughly 20,000 hotel rooms approved for development but not yet under signed contracts. Over 229,000 rooms in our development pipeline were under construction at year-end 2020. Over half of the rooms in our development pipeline are outside U.S. &amp; Canada. In 2020, we signed management and franchise agreements for 1,575 properties (248,660 rooms).</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2021, we expect gross rooms growth of approximately 6.0 percent (3.0 to 3.5 percent, net of deletions).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 and Rooms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At year-end 2020, we operated, franchised, and licensed the following properties and rooms: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60" w:type="dxa"/>
            <w:vAlign w:val="bottom"/>
          </w:tcPr>
          <w:p>
            <w:pPr>
              <w:spacing w:after="0"/>
              <w:rPr>
                <w:sz w:val="16"/>
                <w:szCs w:val="16"/>
                <w:color w:val="auto"/>
              </w:rPr>
            </w:pPr>
          </w:p>
        </w:tc>
        <w:tc>
          <w:tcPr>
            <w:tcW w:w="1340" w:type="dxa"/>
            <w:vAlign w:val="bottom"/>
            <w:gridSpan w:val="3"/>
          </w:tcPr>
          <w:p>
            <w:pPr>
              <w:ind w:left="740"/>
              <w:spacing w:after="0"/>
              <w:rPr>
                <w:sz w:val="20"/>
                <w:szCs w:val="20"/>
                <w:color w:val="auto"/>
              </w:rPr>
            </w:pPr>
            <w:r>
              <w:rPr>
                <w:rFonts w:ascii="Arial" w:cs="Arial" w:eastAsia="Arial" w:hAnsi="Arial"/>
                <w:sz w:val="14"/>
                <w:szCs w:val="14"/>
                <w:b w:val="1"/>
                <w:bCs w:val="1"/>
                <w:color w:val="auto"/>
                <w:w w:val="95"/>
              </w:rPr>
              <w:t>Managed</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4"/>
          </w:tcPr>
          <w:p>
            <w:pPr>
              <w:ind w:left="420"/>
              <w:spacing w:after="0"/>
              <w:rPr>
                <w:sz w:val="20"/>
                <w:szCs w:val="20"/>
                <w:color w:val="auto"/>
              </w:rPr>
            </w:pPr>
            <w:r>
              <w:rPr>
                <w:rFonts w:ascii="Arial" w:cs="Arial" w:eastAsia="Arial" w:hAnsi="Arial"/>
                <w:sz w:val="14"/>
                <w:szCs w:val="14"/>
                <w:b w:val="1"/>
                <w:bCs w:val="1"/>
                <w:color w:val="auto"/>
              </w:rPr>
              <w:t>Franchised/Licensed</w:t>
            </w:r>
          </w:p>
        </w:tc>
        <w:tc>
          <w:tcPr>
            <w:tcW w:w="2160" w:type="dxa"/>
            <w:vAlign w:val="bottom"/>
            <w:gridSpan w:val="4"/>
          </w:tcPr>
          <w:p>
            <w:pPr>
              <w:ind w:left="580"/>
              <w:spacing w:after="0"/>
              <w:rPr>
                <w:sz w:val="20"/>
                <w:szCs w:val="20"/>
                <w:color w:val="auto"/>
              </w:rPr>
            </w:pPr>
            <w:r>
              <w:rPr>
                <w:rFonts w:ascii="Arial" w:cs="Arial" w:eastAsia="Arial" w:hAnsi="Arial"/>
                <w:sz w:val="14"/>
                <w:szCs w:val="14"/>
                <w:b w:val="1"/>
                <w:bCs w:val="1"/>
                <w:color w:val="auto"/>
              </w:rPr>
              <w:t>Owned/Leased</w:t>
            </w:r>
          </w:p>
        </w:tc>
        <w:tc>
          <w:tcPr>
            <w:tcW w:w="1280" w:type="dxa"/>
            <w:vAlign w:val="bottom"/>
            <w:gridSpan w:val="3"/>
          </w:tcPr>
          <w:p>
            <w:pPr>
              <w:ind w:left="900"/>
              <w:spacing w:after="0"/>
              <w:rPr>
                <w:sz w:val="20"/>
                <w:szCs w:val="20"/>
                <w:color w:val="auto"/>
              </w:rPr>
            </w:pPr>
            <w:r>
              <w:rPr>
                <w:rFonts w:ascii="Arial" w:cs="Arial" w:eastAsia="Arial" w:hAnsi="Arial"/>
                <w:sz w:val="14"/>
                <w:szCs w:val="14"/>
                <w:b w:val="1"/>
                <w:bCs w:val="1"/>
                <w:color w:val="auto"/>
              </w:rPr>
              <w:t>Total</w:t>
            </w:r>
          </w:p>
        </w:tc>
        <w:tc>
          <w:tcPr>
            <w:tcW w:w="800" w:type="dxa"/>
            <w:vAlign w:val="bottom"/>
          </w:tcPr>
          <w:p>
            <w:pPr>
              <w:spacing w:after="0"/>
              <w:rPr>
                <w:sz w:val="16"/>
                <w:szCs w:val="16"/>
                <w:color w:val="auto"/>
              </w:rPr>
            </w:pPr>
          </w:p>
        </w:tc>
      </w:tr>
      <w:tr>
        <w:trPr>
          <w:trHeight w:val="182"/>
        </w:trPr>
        <w:tc>
          <w:tcPr>
            <w:tcW w:w="2660" w:type="dxa"/>
            <w:vAlign w:val="bottom"/>
          </w:tcPr>
          <w:p>
            <w:pPr>
              <w:spacing w:after="0"/>
              <w:rPr>
                <w:sz w:val="15"/>
                <w:szCs w:val="15"/>
                <w:color w:val="auto"/>
              </w:rPr>
            </w:pPr>
          </w:p>
        </w:tc>
        <w:tc>
          <w:tcPr>
            <w:tcW w:w="1340" w:type="dxa"/>
            <w:vAlign w:val="bottom"/>
            <w:tcBorders>
              <w:top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Properties</w:t>
            </w:r>
          </w:p>
        </w:tc>
        <w:tc>
          <w:tcPr>
            <w:tcW w:w="720" w:type="dxa"/>
            <w:vAlign w:val="bottom"/>
            <w:tcBorders>
              <w:top w:val="single" w:sz="8" w:color="auto"/>
            </w:tcBorders>
          </w:tcPr>
          <w:p>
            <w:pPr>
              <w:jc w:val="right"/>
              <w:ind w:right="210"/>
              <w:spacing w:after="0"/>
              <w:rPr>
                <w:sz w:val="20"/>
                <w:szCs w:val="20"/>
                <w:color w:val="auto"/>
              </w:rPr>
            </w:pPr>
            <w:r>
              <w:rPr>
                <w:rFonts w:ascii="Arial" w:cs="Arial" w:eastAsia="Arial" w:hAnsi="Arial"/>
                <w:sz w:val="14"/>
                <w:szCs w:val="14"/>
                <w:b w:val="1"/>
                <w:bCs w:val="1"/>
                <w:color w:val="auto"/>
                <w:w w:val="88"/>
              </w:rPr>
              <w:t>Rooms</w:t>
            </w:r>
          </w:p>
        </w:tc>
        <w:tc>
          <w:tcPr>
            <w:tcW w:w="100" w:type="dxa"/>
            <w:vAlign w:val="bottom"/>
          </w:tcPr>
          <w:p>
            <w:pPr>
              <w:spacing w:after="0"/>
              <w:rPr>
                <w:sz w:val="15"/>
                <w:szCs w:val="15"/>
                <w:color w:val="auto"/>
              </w:rPr>
            </w:pPr>
          </w:p>
        </w:tc>
        <w:tc>
          <w:tcPr>
            <w:tcW w:w="110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Properties</w:t>
            </w:r>
          </w:p>
        </w:tc>
        <w:tc>
          <w:tcPr>
            <w:tcW w:w="960" w:type="dxa"/>
            <w:vAlign w:val="bottom"/>
            <w:tcBorders>
              <w:top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Rooms</w:t>
            </w:r>
          </w:p>
        </w:tc>
        <w:tc>
          <w:tcPr>
            <w:tcW w:w="120" w:type="dxa"/>
            <w:vAlign w:val="bottom"/>
          </w:tcPr>
          <w:p>
            <w:pPr>
              <w:spacing w:after="0"/>
              <w:rPr>
                <w:sz w:val="15"/>
                <w:szCs w:val="15"/>
                <w:color w:val="auto"/>
              </w:rPr>
            </w:pPr>
          </w:p>
        </w:tc>
        <w:tc>
          <w:tcPr>
            <w:tcW w:w="108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Properties</w:t>
            </w:r>
          </w:p>
        </w:tc>
        <w:tc>
          <w:tcPr>
            <w:tcW w:w="980" w:type="dxa"/>
            <w:vAlign w:val="bottom"/>
            <w:tcBorders>
              <w:top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Rooms</w:t>
            </w:r>
          </w:p>
        </w:tc>
        <w:tc>
          <w:tcPr>
            <w:tcW w:w="100" w:type="dxa"/>
            <w:vAlign w:val="bottom"/>
          </w:tcPr>
          <w:p>
            <w:pPr>
              <w:spacing w:after="0"/>
              <w:rPr>
                <w:sz w:val="15"/>
                <w:szCs w:val="15"/>
                <w:color w:val="auto"/>
              </w:rPr>
            </w:pPr>
          </w:p>
        </w:tc>
        <w:tc>
          <w:tcPr>
            <w:tcW w:w="1280" w:type="dxa"/>
            <w:vAlign w:val="bottom"/>
            <w:tcBorders>
              <w:top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Properties</w:t>
            </w:r>
          </w:p>
        </w:tc>
        <w:tc>
          <w:tcPr>
            <w:tcW w:w="800" w:type="dxa"/>
            <w:vAlign w:val="bottom"/>
            <w:tcBorders>
              <w:top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Rooms</w:t>
            </w:r>
          </w:p>
        </w:tc>
      </w:tr>
      <w:tr>
        <w:trPr>
          <w:trHeight w:val="323"/>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&amp; Canada</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788</w:t>
            </w: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240,487</w:t>
            </w:r>
          </w:p>
        </w:tc>
        <w:tc>
          <w:tcPr>
            <w:tcW w:w="100" w:type="dxa"/>
            <w:vAlign w:val="bottom"/>
            <w:tcBorders>
              <w:top w:val="single" w:sz="8" w:color="CCEEFF"/>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4,720</w:t>
            </w:r>
          </w:p>
        </w:tc>
        <w:tc>
          <w:tcPr>
            <w:tcW w:w="120" w:type="dxa"/>
            <w:vAlign w:val="bottom"/>
            <w:tcBorders>
              <w:top w:val="single" w:sz="8" w:color="CCEEFF"/>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677,120</w:t>
            </w:r>
          </w:p>
        </w:tc>
        <w:tc>
          <w:tcPr>
            <w:tcW w:w="120" w:type="dxa"/>
            <w:vAlign w:val="bottom"/>
            <w:tcBorders>
              <w:top w:val="single" w:sz="8" w:color="CCEEFF"/>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top w:val="single" w:sz="8" w:color="CCEEFF"/>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6,483</w:t>
            </w:r>
          </w:p>
        </w:tc>
        <w:tc>
          <w:tcPr>
            <w:tcW w:w="100" w:type="dxa"/>
            <w:vAlign w:val="bottom"/>
            <w:tcBorders>
              <w:top w:val="single" w:sz="8" w:color="33CCCC"/>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5,534</w:t>
            </w: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924,090</w:t>
            </w:r>
          </w:p>
        </w:tc>
      </w:tr>
      <w:tr>
        <w:trPr>
          <w:trHeight w:val="337"/>
        </w:trPr>
        <w:tc>
          <w:tcPr>
            <w:tcW w:w="266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980" w:type="dxa"/>
            <w:vAlign w:val="bottom"/>
          </w:tcPr>
          <w:p>
            <w:pPr>
              <w:jc w:val="right"/>
              <w:spacing w:after="0"/>
              <w:rPr>
                <w:sz w:val="20"/>
                <w:szCs w:val="20"/>
                <w:color w:val="auto"/>
              </w:rPr>
            </w:pPr>
            <w:r>
              <w:rPr>
                <w:rFonts w:ascii="Arial" w:cs="Arial" w:eastAsia="Arial" w:hAnsi="Arial"/>
                <w:sz w:val="14"/>
                <w:szCs w:val="14"/>
                <w:color w:val="auto"/>
              </w:rPr>
              <w:t>698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199,040</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37,597</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843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237,044</w:t>
            </w:r>
          </w:p>
        </w:tc>
      </w:tr>
      <w:tr>
        <w:trPr>
          <w:trHeight w:val="347"/>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EMEA</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108,185</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72,827</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5,561</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186,573</w:t>
            </w:r>
          </w:p>
        </w:tc>
      </w:tr>
      <w:tr>
        <w:trPr>
          <w:trHeight w:val="182"/>
        </w:trPr>
        <w:tc>
          <w:tcPr>
            <w:tcW w:w="2660" w:type="dxa"/>
            <w:vAlign w:val="bottom"/>
          </w:tcPr>
          <w:p>
            <w:pPr>
              <w:ind w:left="20"/>
              <w:spacing w:after="0"/>
              <w:rPr>
                <w:sz w:val="20"/>
                <w:szCs w:val="20"/>
                <w:color w:val="auto"/>
              </w:rPr>
            </w:pPr>
            <w:r>
              <w:rPr>
                <w:rFonts w:ascii="Arial" w:cs="Arial" w:eastAsia="Arial" w:hAnsi="Arial"/>
                <w:sz w:val="14"/>
                <w:szCs w:val="14"/>
                <w:color w:val="auto"/>
              </w:rPr>
              <w:t>CALA</w:t>
            </w:r>
          </w:p>
        </w:tc>
        <w:tc>
          <w:tcPr>
            <w:tcW w:w="98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21,520</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27,613</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3,449</w:t>
            </w:r>
          </w:p>
        </w:tc>
        <w:tc>
          <w:tcPr>
            <w:tcW w:w="100" w:type="dxa"/>
            <w:vAlign w:val="bottom"/>
          </w:tcPr>
          <w:p>
            <w:pPr>
              <w:spacing w:after="0"/>
              <w:rPr>
                <w:sz w:val="15"/>
                <w:szCs w:val="15"/>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52,582</w:t>
            </w:r>
          </w:p>
        </w:tc>
      </w:tr>
      <w:tr>
        <w:trPr>
          <w:trHeight w:val="184"/>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Timeshare</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22,755</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22,755</w:t>
            </w:r>
          </w:p>
        </w:tc>
      </w:tr>
      <w:tr>
        <w:trPr>
          <w:trHeight w:val="180"/>
        </w:trPr>
        <w:tc>
          <w:tcPr>
            <w:tcW w:w="266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2,083</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569,232</w:t>
            </w:r>
          </w:p>
        </w:tc>
        <w:tc>
          <w:tcPr>
            <w:tcW w:w="10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5,493</w:t>
            </w:r>
          </w:p>
        </w:tc>
        <w:tc>
          <w:tcPr>
            <w:tcW w:w="12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837,912</w:t>
            </w:r>
          </w:p>
        </w:tc>
        <w:tc>
          <w:tcPr>
            <w:tcW w:w="12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15,900</w:t>
            </w:r>
          </w:p>
        </w:tc>
        <w:tc>
          <w:tcPr>
            <w:tcW w:w="10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7,642</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1,423,044</w:t>
            </w:r>
          </w:p>
        </w:tc>
      </w:tr>
      <w:tr>
        <w:trPr>
          <w:trHeight w:val="20"/>
        </w:trPr>
        <w:tc>
          <w:tcPr>
            <w:tcW w:w="2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Lodging Statistics</w:t>
      </w:r>
    </w:p>
    <w:p>
      <w:pPr>
        <w:spacing w:after="0" w:line="167" w:lineRule="exact"/>
        <w:rPr>
          <w:sz w:val="20"/>
          <w:szCs w:val="20"/>
          <w:color w:val="auto"/>
        </w:rPr>
      </w:pPr>
    </w:p>
    <w:p>
      <w:pPr>
        <w:ind w:right="480" w:firstLine="434"/>
        <w:spacing w:after="0" w:line="261" w:lineRule="auto"/>
        <w:rPr>
          <w:sz w:val="20"/>
          <w:szCs w:val="20"/>
          <w:color w:val="auto"/>
        </w:rPr>
      </w:pPr>
      <w:r>
        <w:rPr>
          <w:rFonts w:ascii="Arial" w:cs="Arial" w:eastAsia="Arial" w:hAnsi="Arial"/>
          <w:sz w:val="18"/>
          <w:szCs w:val="18"/>
          <w:color w:val="auto"/>
        </w:rPr>
        <w:t>The following tables present RevPAR, occupancy, and ADR statistics for comparable properties for 2020 and 2020 compared to 2019. Systemwide statistics include data from our franchised properties, in addition to our company-operated properties.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3"/>
          </w:tcPr>
          <w:p>
            <w:pPr>
              <w:ind w:left="700"/>
              <w:spacing w:after="0"/>
              <w:rPr>
                <w:sz w:val="20"/>
                <w:szCs w:val="20"/>
                <w:color w:val="auto"/>
              </w:rPr>
            </w:pPr>
            <w:r>
              <w:rPr>
                <w:rFonts w:ascii="Arial" w:cs="Arial" w:eastAsia="Arial" w:hAnsi="Arial"/>
                <w:sz w:val="14"/>
                <w:szCs w:val="14"/>
                <w:b w:val="1"/>
                <w:bCs w:val="1"/>
                <w:color w:val="auto"/>
              </w:rPr>
              <w:t>RevPAR</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gridSpan w:val="4"/>
          </w:tcPr>
          <w:p>
            <w:pPr>
              <w:ind w:left="1160"/>
              <w:spacing w:after="0"/>
              <w:rPr>
                <w:sz w:val="20"/>
                <w:szCs w:val="20"/>
                <w:color w:val="auto"/>
              </w:rPr>
            </w:pPr>
            <w:r>
              <w:rPr>
                <w:rFonts w:ascii="Arial" w:cs="Arial" w:eastAsia="Arial" w:hAnsi="Arial"/>
                <w:sz w:val="14"/>
                <w:szCs w:val="14"/>
                <w:b w:val="1"/>
                <w:bCs w:val="1"/>
                <w:color w:val="auto"/>
              </w:rPr>
              <w:t>Occupancy</w:t>
            </w:r>
          </w:p>
        </w:tc>
        <w:tc>
          <w:tcPr>
            <w:tcW w:w="260" w:type="dxa"/>
            <w:vAlign w:val="bottom"/>
          </w:tcPr>
          <w:p>
            <w:pPr>
              <w:spacing w:after="0"/>
              <w:rPr>
                <w:sz w:val="16"/>
                <w:szCs w:val="16"/>
                <w:color w:val="auto"/>
              </w:rPr>
            </w:pPr>
          </w:p>
        </w:tc>
        <w:tc>
          <w:tcPr>
            <w:tcW w:w="2200" w:type="dxa"/>
            <w:vAlign w:val="bottom"/>
            <w:gridSpan w:val="3"/>
          </w:tcPr>
          <w:p>
            <w:pPr>
              <w:jc w:val="right"/>
              <w:ind w:right="570"/>
              <w:spacing w:after="0"/>
              <w:rPr>
                <w:sz w:val="20"/>
                <w:szCs w:val="20"/>
                <w:color w:val="auto"/>
              </w:rPr>
            </w:pPr>
            <w:r>
              <w:rPr>
                <w:rFonts w:ascii="Arial" w:cs="Arial" w:eastAsia="Arial" w:hAnsi="Arial"/>
                <w:sz w:val="14"/>
                <w:szCs w:val="14"/>
                <w:b w:val="1"/>
                <w:bCs w:val="1"/>
                <w:color w:val="auto"/>
              </w:rPr>
              <w:t>Average Daily Rate</w:t>
            </w:r>
          </w:p>
        </w:tc>
        <w:tc>
          <w:tcPr>
            <w:tcW w:w="0" w:type="dxa"/>
            <w:vAlign w:val="bottom"/>
          </w:tcPr>
          <w:p>
            <w:pPr>
              <w:spacing w:after="0"/>
              <w:rPr>
                <w:sz w:val="1"/>
                <w:szCs w:val="1"/>
                <w:color w:val="auto"/>
              </w:rPr>
            </w:pPr>
          </w:p>
        </w:tc>
      </w:tr>
      <w:tr>
        <w:trPr>
          <w:trHeight w:val="182"/>
        </w:trPr>
        <w:tc>
          <w:tcPr>
            <w:tcW w:w="140" w:type="dxa"/>
            <w:vAlign w:val="bottom"/>
            <w:tcBorders>
              <w:bottom w:val="single" w:sz="8" w:color="CCEEFF"/>
            </w:tcBorders>
          </w:tcPr>
          <w:p>
            <w:pPr>
              <w:spacing w:after="0"/>
              <w:rPr>
                <w:sz w:val="15"/>
                <w:szCs w:val="15"/>
                <w:color w:val="auto"/>
              </w:rPr>
            </w:pPr>
          </w:p>
        </w:tc>
        <w:tc>
          <w:tcPr>
            <w:tcW w:w="302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w w:val="91"/>
              </w:rPr>
              <w:t>vs. 2019</w:t>
            </w:r>
          </w:p>
        </w:tc>
        <w:tc>
          <w:tcPr>
            <w:tcW w:w="100" w:type="dxa"/>
            <w:vAlign w:val="bottom"/>
            <w:tcBorders>
              <w:bottom w:val="single" w:sz="8" w:color="CCEEFF"/>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5"/>
                <w:szCs w:val="15"/>
                <w:color w:val="auto"/>
              </w:rPr>
            </w:pPr>
          </w:p>
        </w:tc>
        <w:tc>
          <w:tcPr>
            <w:tcW w:w="1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4"/>
                <w:szCs w:val="14"/>
                <w:b w:val="1"/>
                <w:bCs w:val="1"/>
                <w:color w:val="auto"/>
              </w:rPr>
              <w:t>vs. 2019</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vs. 2019</w:t>
            </w:r>
          </w:p>
        </w:tc>
        <w:tc>
          <w:tcPr>
            <w:tcW w:w="0" w:type="dxa"/>
            <w:vAlign w:val="bottom"/>
          </w:tcPr>
          <w:p>
            <w:pPr>
              <w:spacing w:after="0"/>
              <w:rPr>
                <w:sz w:val="1"/>
                <w:szCs w:val="1"/>
                <w:color w:val="auto"/>
              </w:rPr>
            </w:pPr>
          </w:p>
        </w:tc>
      </w:tr>
      <w:tr>
        <w:trPr>
          <w:trHeight w:val="165"/>
        </w:trPr>
        <w:tc>
          <w:tcPr>
            <w:tcW w:w="316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i w:val="1"/>
                <w:iCs w:val="1"/>
                <w:color w:val="auto"/>
              </w:rPr>
              <w:t>Comparable Company-Operated Properties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37"/>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U.S. &amp; Canada</w:t>
            </w: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50.73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(67.3)%</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28.6 %</w:t>
            </w:r>
          </w:p>
        </w:tc>
        <w:tc>
          <w:tcPr>
            <w:tcW w:w="120" w:type="dxa"/>
            <w:vAlign w:val="bottom"/>
          </w:tcPr>
          <w:p>
            <w:pPr>
              <w:spacing w:after="0"/>
              <w:rPr>
                <w:sz w:val="24"/>
                <w:szCs w:val="24"/>
                <w:color w:val="auto"/>
              </w:rPr>
            </w:pPr>
          </w:p>
        </w:tc>
        <w:tc>
          <w:tcPr>
            <w:tcW w:w="1740" w:type="dxa"/>
            <w:vAlign w:val="bottom"/>
            <w:gridSpan w:val="2"/>
          </w:tcPr>
          <w:p>
            <w:pPr>
              <w:ind w:left="740"/>
              <w:spacing w:after="0"/>
              <w:rPr>
                <w:sz w:val="20"/>
                <w:szCs w:val="20"/>
                <w:color w:val="auto"/>
              </w:rPr>
            </w:pPr>
            <w:r>
              <w:rPr>
                <w:rFonts w:ascii="Arial" w:cs="Arial" w:eastAsia="Arial" w:hAnsi="Arial"/>
                <w:sz w:val="14"/>
                <w:szCs w:val="14"/>
                <w:color w:val="auto"/>
              </w:rPr>
              <w:t>(47.2)% pts.</w:t>
            </w: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177.48</w:t>
            </w: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9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Asia Pacific</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39.6 %</w:t>
            </w:r>
          </w:p>
        </w:tc>
        <w:tc>
          <w:tcPr>
            <w:tcW w:w="1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(31.7)% pts.</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116.90</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82"/>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CALA</w:t>
            </w: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52.55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26.7 %</w:t>
            </w:r>
          </w:p>
        </w:tc>
        <w:tc>
          <w:tcPr>
            <w:tcW w:w="120" w:type="dxa"/>
            <w:vAlign w:val="bottom"/>
          </w:tcPr>
          <w:p>
            <w:pPr>
              <w:spacing w:after="0"/>
              <w:rPr>
                <w:sz w:val="15"/>
                <w:szCs w:val="15"/>
                <w:color w:val="auto"/>
              </w:rPr>
            </w:pPr>
          </w:p>
        </w:tc>
        <w:tc>
          <w:tcPr>
            <w:tcW w:w="1740" w:type="dxa"/>
            <w:vAlign w:val="bottom"/>
            <w:gridSpan w:val="2"/>
          </w:tcPr>
          <w:p>
            <w:pPr>
              <w:ind w:left="740"/>
              <w:spacing w:after="0"/>
              <w:rPr>
                <w:sz w:val="20"/>
                <w:szCs w:val="20"/>
                <w:color w:val="auto"/>
              </w:rPr>
            </w:pPr>
            <w:r>
              <w:rPr>
                <w:rFonts w:ascii="Arial" w:cs="Arial" w:eastAsia="Arial" w:hAnsi="Arial"/>
                <w:sz w:val="14"/>
                <w:szCs w:val="14"/>
                <w:color w:val="auto"/>
              </w:rPr>
              <w:t>(37.8)% pts.</w:t>
            </w: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196.51</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7"/>
        </w:trPr>
        <w:tc>
          <w:tcPr>
            <w:tcW w:w="14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4"/>
                <w:szCs w:val="14"/>
                <w:color w:val="auto"/>
              </w:rPr>
              <w:t>Europe</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20.8 %</w:t>
            </w:r>
          </w:p>
        </w:tc>
        <w:tc>
          <w:tcPr>
            <w:tcW w:w="1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(53.3)% pts.</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167.70</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82"/>
        </w:trPr>
        <w:tc>
          <w:tcPr>
            <w:tcW w:w="140" w:type="dxa"/>
            <w:vAlign w:val="bottom"/>
          </w:tcPr>
          <w:p>
            <w:pPr>
              <w:spacing w:after="0"/>
              <w:rPr>
                <w:sz w:val="15"/>
                <w:szCs w:val="15"/>
                <w:color w:val="auto"/>
              </w:rPr>
            </w:pPr>
          </w:p>
        </w:tc>
        <w:tc>
          <w:tcPr>
            <w:tcW w:w="3020" w:type="dxa"/>
            <w:vAlign w:val="bottom"/>
          </w:tcPr>
          <w:p>
            <w:pPr>
              <w:spacing w:after="0"/>
              <w:rPr>
                <w:sz w:val="20"/>
                <w:szCs w:val="20"/>
                <w:color w:val="auto"/>
              </w:rPr>
            </w:pPr>
            <w:r>
              <w:rPr>
                <w:rFonts w:ascii="Arial" w:cs="Arial" w:eastAsia="Arial" w:hAnsi="Arial"/>
                <w:sz w:val="14"/>
                <w:szCs w:val="14"/>
                <w:color w:val="auto"/>
              </w:rPr>
              <w:t>Middle East &amp; Africa</w:t>
            </w: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48.97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(52.1)%</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34.9 %</w:t>
            </w:r>
          </w:p>
        </w:tc>
        <w:tc>
          <w:tcPr>
            <w:tcW w:w="120" w:type="dxa"/>
            <w:vAlign w:val="bottom"/>
          </w:tcPr>
          <w:p>
            <w:pPr>
              <w:spacing w:after="0"/>
              <w:rPr>
                <w:sz w:val="15"/>
                <w:szCs w:val="15"/>
                <w:color w:val="auto"/>
              </w:rPr>
            </w:pPr>
          </w:p>
        </w:tc>
        <w:tc>
          <w:tcPr>
            <w:tcW w:w="1740" w:type="dxa"/>
            <w:vAlign w:val="bottom"/>
            <w:gridSpan w:val="2"/>
          </w:tcPr>
          <w:p>
            <w:pPr>
              <w:ind w:left="740"/>
              <w:spacing w:after="0"/>
              <w:rPr>
                <w:sz w:val="20"/>
                <w:szCs w:val="20"/>
                <w:color w:val="auto"/>
              </w:rPr>
            </w:pPr>
            <w:r>
              <w:rPr>
                <w:rFonts w:ascii="Arial" w:cs="Arial" w:eastAsia="Arial" w:hAnsi="Arial"/>
                <w:sz w:val="14"/>
                <w:szCs w:val="14"/>
                <w:color w:val="auto"/>
              </w:rPr>
              <w:t>(32.9)% pts.</w:t>
            </w: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140.34</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7"/>
        </w:trPr>
        <w:tc>
          <w:tcPr>
            <w:tcW w:w="3160" w:type="dxa"/>
            <w:vAlign w:val="bottom"/>
            <w:gridSpan w:val="2"/>
            <w:shd w:val="clear" w:color="auto" w:fill="CCEEFF"/>
          </w:tcPr>
          <w:p>
            <w:pPr>
              <w:ind w:left="20"/>
              <w:spacing w:after="0" w:line="187" w:lineRule="exact"/>
              <w:rPr>
                <w:sz w:val="20"/>
                <w:szCs w:val="20"/>
                <w:color w:val="auto"/>
              </w:rPr>
            </w:pPr>
            <w:r>
              <w:rPr>
                <w:rFonts w:ascii="Arial" w:cs="Arial" w:eastAsia="Arial" w:hAnsi="Arial"/>
                <w:sz w:val="14"/>
                <w:szCs w:val="14"/>
                <w:color w:val="auto"/>
              </w:rPr>
              <w:t xml:space="preserve">EMEA </w:t>
            </w:r>
            <w:r>
              <w:rPr>
                <w:rFonts w:ascii="Arial" w:cs="Arial" w:eastAsia="Arial" w:hAnsi="Arial"/>
                <w:sz w:val="18"/>
                <w:szCs w:val="18"/>
                <w:color w:val="auto"/>
                <w:vertAlign w:val="superscript"/>
              </w:rPr>
              <w:t>(1)</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27.0 %</w:t>
            </w:r>
          </w:p>
        </w:tc>
        <w:tc>
          <w:tcPr>
            <w:tcW w:w="1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(44.3)% pts.</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152.08</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84"/>
        </w:trPr>
        <w:tc>
          <w:tcPr>
            <w:tcW w:w="3160" w:type="dxa"/>
            <w:vAlign w:val="bottom"/>
            <w:gridSpan w:val="2"/>
          </w:tcPr>
          <w:p>
            <w:pPr>
              <w:ind w:left="20"/>
              <w:spacing w:after="0" w:line="184" w:lineRule="exact"/>
              <w:rPr>
                <w:sz w:val="20"/>
                <w:szCs w:val="20"/>
                <w:color w:val="auto"/>
              </w:rPr>
            </w:pPr>
            <w:r>
              <w:rPr>
                <w:rFonts w:ascii="Arial" w:cs="Arial" w:eastAsia="Arial" w:hAnsi="Arial"/>
                <w:sz w:val="14"/>
                <w:szCs w:val="14"/>
                <w:color w:val="auto"/>
              </w:rPr>
              <w:t xml:space="preserve">International - All </w:t>
            </w:r>
            <w:r>
              <w:rPr>
                <w:rFonts w:ascii="Arial" w:cs="Arial" w:eastAsia="Arial" w:hAnsi="Arial"/>
                <w:sz w:val="18"/>
                <w:szCs w:val="18"/>
                <w:color w:val="auto"/>
                <w:vertAlign w:val="superscript"/>
              </w:rPr>
              <w:t>(2)</w:t>
            </w: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44.77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(60.6)%</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33.8 %</w:t>
            </w:r>
          </w:p>
        </w:tc>
        <w:tc>
          <w:tcPr>
            <w:tcW w:w="120" w:type="dxa"/>
            <w:vAlign w:val="bottom"/>
          </w:tcPr>
          <w:p>
            <w:pPr>
              <w:spacing w:after="0"/>
              <w:rPr>
                <w:sz w:val="16"/>
                <w:szCs w:val="16"/>
                <w:color w:val="auto"/>
              </w:rPr>
            </w:pPr>
          </w:p>
        </w:tc>
        <w:tc>
          <w:tcPr>
            <w:tcW w:w="1740" w:type="dxa"/>
            <w:vAlign w:val="bottom"/>
            <w:gridSpan w:val="2"/>
          </w:tcPr>
          <w:p>
            <w:pPr>
              <w:ind w:left="740"/>
              <w:spacing w:after="0"/>
              <w:rPr>
                <w:sz w:val="20"/>
                <w:szCs w:val="20"/>
                <w:color w:val="auto"/>
              </w:rPr>
            </w:pPr>
            <w:r>
              <w:rPr>
                <w:rFonts w:ascii="Arial" w:cs="Arial" w:eastAsia="Arial" w:hAnsi="Arial"/>
                <w:sz w:val="14"/>
                <w:szCs w:val="14"/>
                <w:color w:val="auto"/>
              </w:rPr>
              <w:t>(37.0)% pts.</w:t>
            </w: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132.56</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84"/>
        </w:trPr>
        <w:tc>
          <w:tcPr>
            <w:tcW w:w="31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4"/>
                <w:szCs w:val="14"/>
                <w:color w:val="auto"/>
              </w:rPr>
              <w:t xml:space="preserve">Worldwide </w:t>
            </w:r>
            <w:r>
              <w:rPr>
                <w:rFonts w:ascii="Arial" w:cs="Arial" w:eastAsia="Arial" w:hAnsi="Arial"/>
                <w:sz w:val="18"/>
                <w:szCs w:val="18"/>
                <w:color w:val="auto"/>
                <w:vertAlign w:val="superscript"/>
              </w:rPr>
              <w:t>(3)</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31.4 %</w:t>
            </w:r>
          </w:p>
        </w:tc>
        <w:tc>
          <w:tcPr>
            <w:tcW w:w="1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(41.7)% pts.</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151.51</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82"/>
        </w:trPr>
        <w:tc>
          <w:tcPr>
            <w:tcW w:w="3160" w:type="dxa"/>
            <w:vAlign w:val="bottom"/>
            <w:gridSpan w:val="2"/>
          </w:tcPr>
          <w:p>
            <w:pPr>
              <w:ind w:left="120"/>
              <w:spacing w:after="0"/>
              <w:rPr>
                <w:sz w:val="20"/>
                <w:szCs w:val="20"/>
                <w:color w:val="auto"/>
              </w:rPr>
            </w:pPr>
            <w:r>
              <w:rPr>
                <w:rFonts w:ascii="Arial" w:cs="Arial" w:eastAsia="Arial" w:hAnsi="Arial"/>
                <w:sz w:val="14"/>
                <w:szCs w:val="14"/>
                <w:i w:val="1"/>
                <w:iCs w:val="1"/>
                <w:color w:val="auto"/>
              </w:rPr>
              <w:t>Comparable Systemwide Properties</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U.S. &amp; Canada</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37.2 %</w:t>
            </w:r>
          </w:p>
        </w:tc>
        <w:tc>
          <w:tcPr>
            <w:tcW w:w="12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(36.5)% pts.</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129.96</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82"/>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Asia Pacific</w:t>
            </w: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46.51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(54.2)%</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38.8 %</w:t>
            </w:r>
          </w:p>
        </w:tc>
        <w:tc>
          <w:tcPr>
            <w:tcW w:w="120" w:type="dxa"/>
            <w:vAlign w:val="bottom"/>
          </w:tcPr>
          <w:p>
            <w:pPr>
              <w:spacing w:after="0"/>
              <w:rPr>
                <w:sz w:val="15"/>
                <w:szCs w:val="15"/>
                <w:color w:val="auto"/>
              </w:rPr>
            </w:pPr>
          </w:p>
        </w:tc>
        <w:tc>
          <w:tcPr>
            <w:tcW w:w="1740" w:type="dxa"/>
            <w:vAlign w:val="bottom"/>
            <w:gridSpan w:val="2"/>
          </w:tcPr>
          <w:p>
            <w:pPr>
              <w:ind w:left="740"/>
              <w:spacing w:after="0"/>
              <w:rPr>
                <w:sz w:val="20"/>
                <w:szCs w:val="20"/>
                <w:color w:val="auto"/>
              </w:rPr>
            </w:pPr>
            <w:r>
              <w:rPr>
                <w:rFonts w:ascii="Arial" w:cs="Arial" w:eastAsia="Arial" w:hAnsi="Arial"/>
                <w:sz w:val="14"/>
                <w:szCs w:val="14"/>
                <w:color w:val="auto"/>
              </w:rPr>
              <w:t>(32.4)% pts.</w:t>
            </w: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119.89</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87"/>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CALA</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24.4 %</w:t>
            </w:r>
          </w:p>
        </w:tc>
        <w:tc>
          <w:tcPr>
            <w:tcW w:w="1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(37.4)% pts.</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159.12</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82"/>
        </w:trPr>
        <w:tc>
          <w:tcPr>
            <w:tcW w:w="140" w:type="dxa"/>
            <w:vAlign w:val="bottom"/>
          </w:tcPr>
          <w:p>
            <w:pPr>
              <w:spacing w:after="0"/>
              <w:rPr>
                <w:sz w:val="15"/>
                <w:szCs w:val="15"/>
                <w:color w:val="auto"/>
              </w:rPr>
            </w:pPr>
          </w:p>
        </w:tc>
        <w:tc>
          <w:tcPr>
            <w:tcW w:w="3020" w:type="dxa"/>
            <w:vAlign w:val="bottom"/>
          </w:tcPr>
          <w:p>
            <w:pPr>
              <w:spacing w:after="0"/>
              <w:rPr>
                <w:sz w:val="20"/>
                <w:szCs w:val="20"/>
                <w:color w:val="auto"/>
              </w:rPr>
            </w:pPr>
            <w:r>
              <w:rPr>
                <w:rFonts w:ascii="Arial" w:cs="Arial" w:eastAsia="Arial" w:hAnsi="Arial"/>
                <w:sz w:val="14"/>
                <w:szCs w:val="14"/>
                <w:color w:val="auto"/>
              </w:rPr>
              <w:t>Europe</w:t>
            </w: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32.53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(75.1)%</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21.7 %</w:t>
            </w:r>
          </w:p>
        </w:tc>
        <w:tc>
          <w:tcPr>
            <w:tcW w:w="120" w:type="dxa"/>
            <w:vAlign w:val="bottom"/>
          </w:tcPr>
          <w:p>
            <w:pPr>
              <w:spacing w:after="0"/>
              <w:rPr>
                <w:sz w:val="15"/>
                <w:szCs w:val="15"/>
                <w:color w:val="auto"/>
              </w:rPr>
            </w:pPr>
          </w:p>
        </w:tc>
        <w:tc>
          <w:tcPr>
            <w:tcW w:w="1740" w:type="dxa"/>
            <w:vAlign w:val="bottom"/>
            <w:gridSpan w:val="2"/>
          </w:tcPr>
          <w:p>
            <w:pPr>
              <w:ind w:left="740"/>
              <w:spacing w:after="0"/>
              <w:rPr>
                <w:sz w:val="20"/>
                <w:szCs w:val="20"/>
                <w:color w:val="auto"/>
              </w:rPr>
            </w:pPr>
            <w:r>
              <w:rPr>
                <w:rFonts w:ascii="Arial" w:cs="Arial" w:eastAsia="Arial" w:hAnsi="Arial"/>
                <w:sz w:val="14"/>
                <w:szCs w:val="14"/>
                <w:color w:val="auto"/>
              </w:rPr>
              <w:t>(51.2)% pts.</w:t>
            </w: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149.58</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87"/>
        </w:trPr>
        <w:tc>
          <w:tcPr>
            <w:tcW w:w="14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4"/>
                <w:szCs w:val="14"/>
                <w:color w:val="auto"/>
              </w:rPr>
              <w:t>Middle East &amp; Africa</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34.3 %</w:t>
            </w:r>
          </w:p>
        </w:tc>
        <w:tc>
          <w:tcPr>
            <w:tcW w:w="1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(33.2)% pts.</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134.87</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4"/>
        </w:trPr>
        <w:tc>
          <w:tcPr>
            <w:tcW w:w="3160" w:type="dxa"/>
            <w:vAlign w:val="bottom"/>
            <w:gridSpan w:val="2"/>
          </w:tcPr>
          <w:p>
            <w:pPr>
              <w:ind w:left="20"/>
              <w:spacing w:after="0" w:line="184" w:lineRule="exact"/>
              <w:rPr>
                <w:sz w:val="20"/>
                <w:szCs w:val="20"/>
                <w:color w:val="auto"/>
              </w:rPr>
            </w:pPr>
            <w:r>
              <w:rPr>
                <w:rFonts w:ascii="Arial" w:cs="Arial" w:eastAsia="Arial" w:hAnsi="Arial"/>
                <w:sz w:val="14"/>
                <w:szCs w:val="14"/>
                <w:color w:val="auto"/>
              </w:rPr>
              <w:t xml:space="preserve">EMEA </w:t>
            </w:r>
            <w:r>
              <w:rPr>
                <w:rFonts w:ascii="Arial" w:cs="Arial" w:eastAsia="Arial" w:hAnsi="Arial"/>
                <w:sz w:val="18"/>
                <w:szCs w:val="18"/>
                <w:color w:val="auto"/>
                <w:vertAlign w:val="superscript"/>
              </w:rPr>
              <w:t>(1)</w:t>
            </w: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36.91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(69.2)%</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25.8 %</w:t>
            </w:r>
          </w:p>
        </w:tc>
        <w:tc>
          <w:tcPr>
            <w:tcW w:w="120" w:type="dxa"/>
            <w:vAlign w:val="bottom"/>
          </w:tcPr>
          <w:p>
            <w:pPr>
              <w:spacing w:after="0"/>
              <w:rPr>
                <w:sz w:val="16"/>
                <w:szCs w:val="16"/>
                <w:color w:val="auto"/>
              </w:rPr>
            </w:pPr>
          </w:p>
        </w:tc>
        <w:tc>
          <w:tcPr>
            <w:tcW w:w="1740" w:type="dxa"/>
            <w:vAlign w:val="bottom"/>
            <w:gridSpan w:val="2"/>
          </w:tcPr>
          <w:p>
            <w:pPr>
              <w:ind w:left="740"/>
              <w:spacing w:after="0"/>
              <w:rPr>
                <w:sz w:val="20"/>
                <w:szCs w:val="20"/>
                <w:color w:val="auto"/>
              </w:rPr>
            </w:pPr>
            <w:r>
              <w:rPr>
                <w:rFonts w:ascii="Arial" w:cs="Arial" w:eastAsia="Arial" w:hAnsi="Arial"/>
                <w:sz w:val="14"/>
                <w:szCs w:val="14"/>
                <w:color w:val="auto"/>
              </w:rPr>
              <w:t>(45.4)% pts.</w:t>
            </w: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143.33</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84"/>
        </w:trPr>
        <w:tc>
          <w:tcPr>
            <w:tcW w:w="316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4"/>
                <w:szCs w:val="14"/>
                <w:color w:val="auto"/>
              </w:rPr>
              <w:t xml:space="preserve">International - All </w:t>
            </w:r>
            <w:r>
              <w:rPr>
                <w:rFonts w:ascii="Arial" w:cs="Arial" w:eastAsia="Arial" w:hAnsi="Arial"/>
                <w:sz w:val="18"/>
                <w:szCs w:val="18"/>
                <w:color w:val="auto"/>
                <w:vertAlign w:val="superscript"/>
              </w:rPr>
              <w:t>(2)</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31.5 %</w:t>
            </w:r>
          </w:p>
        </w:tc>
        <w:tc>
          <w:tcPr>
            <w:tcW w:w="1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(38.5)% pts.</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131.63</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37"/>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 xml:space="preserve">Worldwide </w:t>
            </w:r>
            <w:r>
              <w:rPr>
                <w:rFonts w:ascii="Arial" w:cs="Arial" w:eastAsia="Arial" w:hAnsi="Arial"/>
                <w:sz w:val="18"/>
                <w:szCs w:val="18"/>
                <w:color w:val="auto"/>
                <w:vertAlign w:val="superscript"/>
              </w:rPr>
              <w:t>(3)</w:t>
            </w: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46.28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(60.2)%</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35.5 %</w:t>
            </w:r>
          </w:p>
        </w:tc>
        <w:tc>
          <w:tcPr>
            <w:tcW w:w="120" w:type="dxa"/>
            <w:vAlign w:val="bottom"/>
          </w:tcPr>
          <w:p>
            <w:pPr>
              <w:spacing w:after="0"/>
              <w:rPr>
                <w:sz w:val="20"/>
                <w:szCs w:val="20"/>
                <w:color w:val="auto"/>
              </w:rPr>
            </w:pPr>
          </w:p>
        </w:tc>
        <w:tc>
          <w:tcPr>
            <w:tcW w:w="1740" w:type="dxa"/>
            <w:vAlign w:val="bottom"/>
            <w:gridSpan w:val="2"/>
          </w:tcPr>
          <w:p>
            <w:pPr>
              <w:ind w:left="740"/>
              <w:spacing w:after="0"/>
              <w:rPr>
                <w:sz w:val="20"/>
                <w:szCs w:val="20"/>
                <w:color w:val="auto"/>
              </w:rPr>
            </w:pPr>
            <w:r>
              <w:rPr>
                <w:rFonts w:ascii="Arial" w:cs="Arial" w:eastAsia="Arial" w:hAnsi="Arial"/>
                <w:sz w:val="14"/>
                <w:szCs w:val="14"/>
                <w:color w:val="auto"/>
              </w:rPr>
              <w:t>(37.1)% pts.</w:t>
            </w: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130.40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415"/>
        </w:trPr>
        <w:tc>
          <w:tcPr>
            <w:tcW w:w="140" w:type="dxa"/>
            <w:vAlign w:val="bottom"/>
          </w:tcPr>
          <w:p>
            <w:pPr>
              <w:spacing w:after="0"/>
              <w:rPr>
                <w:sz w:val="20"/>
                <w:szCs w:val="20"/>
                <w:color w:val="auto"/>
              </w:rPr>
            </w:pPr>
            <w:r>
              <w:rPr>
                <w:rFonts w:ascii="Arial" w:cs="Arial" w:eastAsia="Arial" w:hAnsi="Arial"/>
                <w:sz w:val="11"/>
                <w:szCs w:val="11"/>
                <w:color w:val="auto"/>
                <w:w w:val="88"/>
              </w:rPr>
              <w:t>(1)</w:t>
            </w:r>
          </w:p>
        </w:tc>
        <w:tc>
          <w:tcPr>
            <w:tcW w:w="3020" w:type="dxa"/>
            <w:vAlign w:val="bottom"/>
            <w:vMerge w:val="restart"/>
          </w:tcPr>
          <w:p>
            <w:pPr>
              <w:ind w:left="160"/>
              <w:spacing w:after="0"/>
              <w:rPr>
                <w:sz w:val="20"/>
                <w:szCs w:val="20"/>
                <w:color w:val="auto"/>
              </w:rPr>
            </w:pPr>
            <w:r>
              <w:rPr>
                <w:rFonts w:ascii="Arial" w:cs="Arial" w:eastAsia="Arial" w:hAnsi="Arial"/>
                <w:sz w:val="14"/>
                <w:szCs w:val="14"/>
                <w:color w:val="auto"/>
              </w:rPr>
              <w:t>Includes Europe and Middle East &amp; Africa.</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40" w:type="dxa"/>
            <w:vAlign w:val="bottom"/>
          </w:tcPr>
          <w:p>
            <w:pPr>
              <w:spacing w:after="0" w:line="20" w:lineRule="exact"/>
              <w:rPr>
                <w:sz w:val="1"/>
                <w:szCs w:val="1"/>
                <w:color w:val="auto"/>
              </w:rPr>
            </w:pPr>
          </w:p>
        </w:tc>
        <w:tc>
          <w:tcPr>
            <w:tcW w:w="302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20" w:type="dxa"/>
            <w:vAlign w:val="bottom"/>
          </w:tcPr>
          <w:p>
            <w:pPr>
              <w:spacing w:after="0"/>
              <w:rPr>
                <w:sz w:val="20"/>
                <w:szCs w:val="20"/>
                <w:color w:val="auto"/>
              </w:rPr>
            </w:pPr>
            <w:r>
              <w:rPr>
                <w:rFonts w:ascii="Arial" w:cs="Arial" w:eastAsia="Arial" w:hAnsi="Arial"/>
                <w:sz w:val="11"/>
                <w:szCs w:val="11"/>
                <w:color w:val="auto"/>
              </w:rPr>
              <w:t>(2)</w:t>
            </w:r>
          </w:p>
        </w:tc>
        <w:tc>
          <w:tcPr>
            <w:tcW w:w="2760" w:type="dxa"/>
            <w:vAlign w:val="bottom"/>
            <w:vMerge w:val="restart"/>
          </w:tcPr>
          <w:p>
            <w:pPr>
              <w:ind w:left="80"/>
              <w:spacing w:after="0"/>
              <w:rPr>
                <w:sz w:val="20"/>
                <w:szCs w:val="20"/>
                <w:color w:val="auto"/>
              </w:rPr>
            </w:pPr>
            <w:r>
              <w:rPr>
                <w:rFonts w:ascii="Arial" w:cs="Arial" w:eastAsia="Arial" w:hAnsi="Arial"/>
                <w:sz w:val="14"/>
                <w:szCs w:val="14"/>
                <w:color w:val="auto"/>
              </w:rPr>
              <w:t>Includes Asia Pacific, CALA, and EMEA.</w:t>
            </w:r>
          </w:p>
        </w:tc>
        <w:tc>
          <w:tcPr>
            <w:tcW w:w="0" w:type="dxa"/>
            <w:vAlign w:val="bottom"/>
          </w:tcPr>
          <w:p>
            <w:pPr>
              <w:spacing w:after="0"/>
              <w:rPr>
                <w:sz w:val="1"/>
                <w:szCs w:val="1"/>
                <w:color w:val="auto"/>
              </w:rPr>
            </w:pPr>
          </w:p>
        </w:tc>
      </w:tr>
      <w:tr>
        <w:trPr>
          <w:trHeight w:val="43"/>
        </w:trPr>
        <w:tc>
          <w:tcPr>
            <w:tcW w:w="220" w:type="dxa"/>
            <w:vAlign w:val="bottom"/>
            <w:vMerge w:val="restart"/>
          </w:tcPr>
          <w:p>
            <w:pPr>
              <w:spacing w:after="0"/>
              <w:rPr>
                <w:sz w:val="20"/>
                <w:szCs w:val="20"/>
                <w:color w:val="auto"/>
              </w:rPr>
            </w:pPr>
            <w:r>
              <w:rPr>
                <w:rFonts w:ascii="Arial" w:cs="Arial" w:eastAsia="Arial" w:hAnsi="Arial"/>
                <w:sz w:val="11"/>
                <w:szCs w:val="11"/>
                <w:color w:val="auto"/>
              </w:rPr>
              <w:t>(3)</w:t>
            </w:r>
          </w:p>
        </w:tc>
        <w:tc>
          <w:tcPr>
            <w:tcW w:w="2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220" w:type="dxa"/>
            <w:vAlign w:val="bottom"/>
            <w:vMerge w:val="continue"/>
          </w:tcPr>
          <w:p>
            <w:pPr>
              <w:spacing w:after="0"/>
              <w:rPr>
                <w:sz w:val="9"/>
                <w:szCs w:val="9"/>
                <w:color w:val="auto"/>
              </w:rPr>
            </w:pPr>
          </w:p>
        </w:tc>
        <w:tc>
          <w:tcPr>
            <w:tcW w:w="2760" w:type="dxa"/>
            <w:vAlign w:val="bottom"/>
            <w:vMerge w:val="restart"/>
          </w:tcPr>
          <w:p>
            <w:pPr>
              <w:ind w:left="80"/>
              <w:spacing w:after="0"/>
              <w:rPr>
                <w:sz w:val="20"/>
                <w:szCs w:val="20"/>
                <w:color w:val="auto"/>
              </w:rPr>
            </w:pPr>
            <w:r>
              <w:rPr>
                <w:rFonts w:ascii="Arial" w:cs="Arial" w:eastAsia="Arial" w:hAnsi="Arial"/>
                <w:sz w:val="14"/>
                <w:szCs w:val="14"/>
                <w:color w:val="auto"/>
                <w:w w:val="91"/>
              </w:rPr>
              <w:t>Includes U.S. &amp; Canada and International - All.</w:t>
            </w:r>
          </w:p>
        </w:tc>
        <w:tc>
          <w:tcPr>
            <w:tcW w:w="0" w:type="dxa"/>
            <w:vAlign w:val="bottom"/>
          </w:tcPr>
          <w:p>
            <w:pPr>
              <w:spacing w:after="0"/>
              <w:rPr>
                <w:sz w:val="1"/>
                <w:szCs w:val="1"/>
                <w:color w:val="auto"/>
              </w:rPr>
            </w:pPr>
          </w:p>
        </w:tc>
      </w:tr>
      <w:tr>
        <w:trPr>
          <w:trHeight w:val="74"/>
        </w:trPr>
        <w:tc>
          <w:tcPr>
            <w:tcW w:w="220" w:type="dxa"/>
            <w:vAlign w:val="bottom"/>
          </w:tcPr>
          <w:p>
            <w:pPr>
              <w:spacing w:after="0"/>
              <w:rPr>
                <w:sz w:val="6"/>
                <w:szCs w:val="6"/>
                <w:color w:val="auto"/>
              </w:rPr>
            </w:pPr>
          </w:p>
        </w:tc>
        <w:tc>
          <w:tcPr>
            <w:tcW w:w="2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5"/>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CONSOLIDATED RESULTS</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right="240" w:firstLine="395"/>
        <w:spacing w:after="0" w:line="256" w:lineRule="auto"/>
        <w:rPr>
          <w:sz w:val="20"/>
          <w:szCs w:val="20"/>
          <w:color w:val="auto"/>
        </w:rPr>
      </w:pPr>
      <w:r>
        <w:rPr>
          <w:rFonts w:ascii="Arial" w:cs="Arial" w:eastAsia="Arial" w:hAnsi="Arial"/>
          <w:sz w:val="18"/>
          <w:szCs w:val="18"/>
          <w:color w:val="auto"/>
        </w:rPr>
        <w:t xml:space="preserve">Our results declined in 2020 compared to 2019, primarily due to the impact of </w:t>
      </w:r>
      <w:r>
        <w:rPr>
          <w:rFonts w:ascii="Arial" w:cs="Arial" w:eastAsia="Arial" w:hAnsi="Arial"/>
          <w:sz w:val="19"/>
          <w:szCs w:val="19"/>
          <w:color w:val="auto"/>
        </w:rPr>
        <w:t>COVID-19</w:t>
      </w:r>
      <w:r>
        <w:rPr>
          <w:rFonts w:ascii="Arial" w:cs="Arial" w:eastAsia="Arial" w:hAnsi="Arial"/>
          <w:sz w:val="18"/>
          <w:szCs w:val="18"/>
          <w:color w:val="auto"/>
        </w:rPr>
        <w:t>. See the “</w:t>
      </w:r>
      <w:r>
        <w:rPr>
          <w:rFonts w:ascii="Arial" w:cs="Arial" w:eastAsia="Arial" w:hAnsi="Arial"/>
          <w:sz w:val="18"/>
          <w:szCs w:val="18"/>
          <w:i w:val="1"/>
          <w:iCs w:val="1"/>
          <w:color w:val="auto"/>
        </w:rPr>
        <w:t>Impact of COVID-19</w:t>
      </w:r>
      <w:r>
        <w:rPr>
          <w:rFonts w:ascii="Arial" w:cs="Arial" w:eastAsia="Arial" w:hAnsi="Arial"/>
          <w:sz w:val="18"/>
          <w:szCs w:val="18"/>
          <w:color w:val="auto"/>
        </w:rPr>
        <w:t>” section above for more information about the impact to our business during 2020, and the discussion below for additional analysis of our consolidated results of operations for 2020 and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Revenues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Change 2020 vs. 2019</w:t>
            </w:r>
          </w:p>
        </w:tc>
        <w:tc>
          <w:tcPr>
            <w:tcW w:w="880" w:type="dxa"/>
            <w:vAlign w:val="bottom"/>
            <w:tcBorders>
              <w:bottom w:val="single" w:sz="8" w:color="auto"/>
            </w:tcBorders>
          </w:tcPr>
          <w:p>
            <w:pPr>
              <w:spacing w:after="0"/>
              <w:rPr>
                <w:sz w:val="16"/>
                <w:szCs w:val="16"/>
                <w:color w:val="auto"/>
              </w:rPr>
            </w:pPr>
          </w:p>
        </w:tc>
      </w:tr>
      <w:tr>
        <w:trPr>
          <w:trHeight w:val="183"/>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Base management fees</w:t>
            </w:r>
          </w:p>
        </w:tc>
        <w:tc>
          <w:tcPr>
            <w:tcW w:w="1320" w:type="dxa"/>
            <w:vAlign w:val="bottom"/>
            <w:shd w:val="clear" w:color="auto" w:fill="CCEEFF"/>
          </w:tcPr>
          <w:p>
            <w:pPr>
              <w:jc w:val="right"/>
              <w:ind w:right="115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15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1,180</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7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1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182"/>
        </w:trPr>
        <w:tc>
          <w:tcPr>
            <w:tcW w:w="3220" w:type="dxa"/>
            <w:vAlign w:val="bottom"/>
          </w:tcPr>
          <w:p>
            <w:pPr>
              <w:ind w:left="20"/>
              <w:spacing w:after="0"/>
              <w:rPr>
                <w:sz w:val="20"/>
                <w:szCs w:val="20"/>
                <w:color w:val="auto"/>
              </w:rPr>
            </w:pPr>
            <w:r>
              <w:rPr>
                <w:rFonts w:ascii="Arial" w:cs="Arial" w:eastAsia="Arial" w:hAnsi="Arial"/>
                <w:sz w:val="14"/>
                <w:szCs w:val="14"/>
                <w:color w:val="auto"/>
              </w:rPr>
              <w:t>Franchise fees</w:t>
            </w:r>
          </w:p>
        </w:tc>
        <w:tc>
          <w:tcPr>
            <w:tcW w:w="1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1,153</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(853)</w:t>
            </w:r>
          </w:p>
        </w:tc>
        <w:tc>
          <w:tcPr>
            <w:tcW w:w="1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187"/>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Incentive management fees</w:t>
            </w:r>
          </w:p>
        </w:tc>
        <w:tc>
          <w:tcPr>
            <w:tcW w:w="13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w:t>
            </w:r>
          </w:p>
        </w:tc>
        <w:tc>
          <w:tcPr>
            <w:tcW w:w="10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1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r>
      <w:tr>
        <w:trPr>
          <w:trHeight w:val="175"/>
        </w:trPr>
        <w:tc>
          <w:tcPr>
            <w:tcW w:w="3220" w:type="dxa"/>
            <w:vAlign w:val="bottom"/>
          </w:tcPr>
          <w:p>
            <w:pPr>
              <w:ind w:left="220"/>
              <w:spacing w:after="0"/>
              <w:rPr>
                <w:sz w:val="20"/>
                <w:szCs w:val="20"/>
                <w:color w:val="auto"/>
              </w:rPr>
            </w:pPr>
            <w:r>
              <w:rPr>
                <w:rFonts w:ascii="Arial" w:cs="Arial" w:eastAsia="Arial" w:hAnsi="Arial"/>
                <w:sz w:val="14"/>
                <w:szCs w:val="14"/>
                <w:color w:val="auto"/>
              </w:rPr>
              <w:t>Gross fee revenues</w:t>
            </w:r>
          </w:p>
        </w:tc>
        <w:tc>
          <w:tcPr>
            <w:tcW w:w="1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1,683</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3,823</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(2,140)</w:t>
            </w:r>
          </w:p>
        </w:tc>
        <w:tc>
          <w:tcPr>
            <w:tcW w:w="1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187"/>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investment amortization</w:t>
            </w:r>
          </w:p>
        </w:tc>
        <w:tc>
          <w:tcPr>
            <w:tcW w:w="13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113 %</w:t>
            </w:r>
          </w:p>
        </w:tc>
      </w:tr>
      <w:tr>
        <w:trPr>
          <w:trHeight w:val="172"/>
        </w:trPr>
        <w:tc>
          <w:tcPr>
            <w:tcW w:w="3220" w:type="dxa"/>
            <w:vAlign w:val="bottom"/>
          </w:tcPr>
          <w:p>
            <w:pPr>
              <w:ind w:left="220"/>
              <w:spacing w:after="0"/>
              <w:rPr>
                <w:sz w:val="20"/>
                <w:szCs w:val="20"/>
                <w:color w:val="auto"/>
              </w:rPr>
            </w:pPr>
            <w:r>
              <w:rPr>
                <w:rFonts w:ascii="Arial" w:cs="Arial" w:eastAsia="Arial" w:hAnsi="Arial"/>
                <w:sz w:val="14"/>
                <w:szCs w:val="14"/>
                <w:color w:val="auto"/>
              </w:rPr>
              <w:t>Net fee revenues</w:t>
            </w:r>
          </w:p>
        </w:tc>
        <w:tc>
          <w:tcPr>
            <w:tcW w:w="1320" w:type="dxa"/>
            <w:vAlign w:val="bottom"/>
          </w:tcPr>
          <w:p>
            <w:pPr>
              <w:jc w:val="right"/>
              <w:ind w:right="115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1,551</w:t>
            </w:r>
          </w:p>
        </w:tc>
        <w:tc>
          <w:tcPr>
            <w:tcW w:w="100" w:type="dxa"/>
            <w:vAlign w:val="bottom"/>
          </w:tcPr>
          <w:p>
            <w:pPr>
              <w:spacing w:after="0"/>
              <w:rPr>
                <w:sz w:val="14"/>
                <w:szCs w:val="14"/>
                <w:color w:val="auto"/>
              </w:rPr>
            </w:pPr>
          </w:p>
        </w:tc>
        <w:tc>
          <w:tcPr>
            <w:tcW w:w="1320" w:type="dxa"/>
            <w:vAlign w:val="bottom"/>
          </w:tcPr>
          <w:p>
            <w:pPr>
              <w:jc w:val="right"/>
              <w:ind w:right="115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3,761</w:t>
            </w:r>
          </w:p>
        </w:tc>
        <w:tc>
          <w:tcPr>
            <w:tcW w:w="840" w:type="dxa"/>
            <w:vAlign w:val="bottom"/>
            <w:gridSpan w:val="2"/>
          </w:tcPr>
          <w:p>
            <w:pPr>
              <w:jc w:val="right"/>
              <w:ind w:right="57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(2,210)</w:t>
            </w:r>
          </w:p>
        </w:tc>
        <w:tc>
          <w:tcPr>
            <w:tcW w:w="1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(59)%</w:t>
            </w:r>
          </w:p>
        </w:tc>
      </w:tr>
    </w:tbl>
    <w:p>
      <w:pPr>
        <w:spacing w:after="0" w:line="151" w:lineRule="exact"/>
        <w:rPr>
          <w:sz w:val="20"/>
          <w:szCs w:val="20"/>
          <w:color w:val="auto"/>
        </w:rPr>
      </w:pPr>
    </w:p>
    <w:p>
      <w:pPr>
        <w:jc w:val="both"/>
        <w:ind w:right="60" w:firstLine="395"/>
        <w:spacing w:after="0" w:line="253" w:lineRule="auto"/>
        <w:rPr>
          <w:sz w:val="20"/>
          <w:szCs w:val="20"/>
          <w:color w:val="auto"/>
        </w:rPr>
      </w:pPr>
      <w:r>
        <w:rPr>
          <w:rFonts w:ascii="Arial" w:cs="Arial" w:eastAsia="Arial" w:hAnsi="Arial"/>
          <w:sz w:val="18"/>
          <w:szCs w:val="18"/>
          <w:color w:val="auto"/>
        </w:rPr>
        <w:t xml:space="preserve">The decrease in base management and franchise fees primarily reflected lower RevPAR and lower co-brand credit card fees of $84 million primarily due to </w:t>
      </w:r>
      <w:r>
        <w:rPr>
          <w:rFonts w:ascii="Arial" w:cs="Arial" w:eastAsia="Arial" w:hAnsi="Arial"/>
          <w:sz w:val="19"/>
          <w:szCs w:val="19"/>
          <w:color w:val="auto"/>
        </w:rPr>
        <w:t>COVID-19</w:t>
      </w:r>
      <w:r>
        <w:rPr>
          <w:rFonts w:ascii="Arial" w:cs="Arial" w:eastAsia="Arial" w:hAnsi="Arial"/>
          <w:sz w:val="18"/>
          <w:szCs w:val="18"/>
          <w:color w:val="auto"/>
        </w:rPr>
        <w:t>, as well as lower fees from properties that left the system of $32 million. The decrease in franchise fees was partially offset by unit growth ($37 million).</w:t>
      </w:r>
    </w:p>
    <w:p>
      <w:pPr>
        <w:spacing w:after="0" w:line="132" w:lineRule="exact"/>
        <w:rPr>
          <w:sz w:val="20"/>
          <w:szCs w:val="20"/>
          <w:color w:val="auto"/>
        </w:rPr>
      </w:pPr>
    </w:p>
    <w:p>
      <w:pPr>
        <w:ind w:right="40" w:firstLine="395"/>
        <w:spacing w:after="0" w:line="250" w:lineRule="auto"/>
        <w:rPr>
          <w:sz w:val="20"/>
          <w:szCs w:val="20"/>
          <w:color w:val="auto"/>
        </w:rPr>
      </w:pPr>
      <w:r>
        <w:rPr>
          <w:rFonts w:ascii="Arial" w:cs="Arial" w:eastAsia="Arial" w:hAnsi="Arial"/>
          <w:sz w:val="18"/>
          <w:szCs w:val="18"/>
          <w:color w:val="auto"/>
        </w:rPr>
        <w:t xml:space="preserve">The decrease in incentive management fees was primarily due to </w:t>
      </w:r>
      <w:r>
        <w:rPr>
          <w:rFonts w:ascii="Arial" w:cs="Arial" w:eastAsia="Arial" w:hAnsi="Arial"/>
          <w:sz w:val="19"/>
          <w:szCs w:val="19"/>
          <w:color w:val="auto"/>
        </w:rPr>
        <w:t>COVID-19</w:t>
      </w:r>
      <w:r>
        <w:rPr>
          <w:rFonts w:ascii="Arial" w:cs="Arial" w:eastAsia="Arial" w:hAnsi="Arial"/>
          <w:sz w:val="18"/>
          <w:szCs w:val="18"/>
          <w:color w:val="auto"/>
        </w:rPr>
        <w:t>. In 2020, we earned incentive management fees from 37 percent of our managed properties worldwide, compared to 72 percent in 2019. We earned incentive management fees from 3 percent of managed properties in U.S. &amp; Canada and 56 percent of managed properties outside U.S. &amp; Canada in 2020, compared to 57 percent in U.S. &amp; Canada and 81 percent outside U.S. &amp; Canada in 2019. In addition, 92 percent of our total incentive management fees in 2020 came from our managed properties outside U.S. &amp; Canada, primarily in Asia Pacific, versus 65 percent in 2019.</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Contract investment amortization increased primarily due to higher impairments of investments in management and franchise contracts, primarily due to</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COVID-19</w:t>
      </w:r>
      <w:r>
        <w:rPr>
          <w:rFonts w:ascii="Arial" w:cs="Arial" w:eastAsia="Arial" w:hAnsi="Arial"/>
          <w:sz w:val="17"/>
          <w:szCs w:val="17"/>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Owned, Leased, and Other</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3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Change 2020 vs. 2019</w:t>
            </w:r>
          </w:p>
        </w:tc>
        <w:tc>
          <w:tcPr>
            <w:tcW w:w="900" w:type="dxa"/>
            <w:vAlign w:val="bottom"/>
            <w:tcBorders>
              <w:bottom w:val="single" w:sz="8" w:color="auto"/>
            </w:tcBorders>
          </w:tcPr>
          <w:p>
            <w:pPr>
              <w:spacing w:after="0"/>
              <w:rPr>
                <w:sz w:val="16"/>
                <w:szCs w:val="16"/>
                <w:color w:val="auto"/>
              </w:rPr>
            </w:pPr>
          </w:p>
        </w:tc>
      </w:tr>
      <w:tr>
        <w:trPr>
          <w:trHeight w:val="183"/>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Owned, leased, and other revenue</w:t>
            </w:r>
          </w:p>
        </w:tc>
        <w:tc>
          <w:tcPr>
            <w:tcW w:w="46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center"/>
              <w:ind w:left="1050"/>
              <w:spacing w:after="0"/>
              <w:rPr>
                <w:sz w:val="20"/>
                <w:szCs w:val="20"/>
                <w:color w:val="auto"/>
              </w:rPr>
            </w:pPr>
            <w:r>
              <w:rPr>
                <w:rFonts w:ascii="Arial" w:cs="Arial" w:eastAsia="Arial" w:hAnsi="Arial"/>
                <w:sz w:val="14"/>
                <w:szCs w:val="14"/>
                <w:color w:val="auto"/>
                <w:w w:val="85"/>
              </w:rPr>
              <w:t>568</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15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1,612</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7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(1,044)</w:t>
            </w:r>
          </w:p>
        </w:tc>
        <w:tc>
          <w:tcPr>
            <w:tcW w:w="1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r>
      <w:tr>
        <w:trPr>
          <w:trHeight w:val="182"/>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Owned, leased, and other - direct expenses</w:t>
            </w:r>
          </w:p>
        </w:tc>
        <w:tc>
          <w:tcPr>
            <w:tcW w:w="4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left="1050"/>
              <w:spacing w:after="0"/>
              <w:rPr>
                <w:sz w:val="20"/>
                <w:szCs w:val="20"/>
                <w:color w:val="auto"/>
              </w:rPr>
            </w:pPr>
            <w:r>
              <w:rPr>
                <w:rFonts w:ascii="Arial" w:cs="Arial" w:eastAsia="Arial" w:hAnsi="Arial"/>
                <w:sz w:val="14"/>
                <w:szCs w:val="14"/>
                <w:color w:val="auto"/>
                <w:w w:val="85"/>
              </w:rPr>
              <w:t>677</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1,316</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(639)</w:t>
            </w:r>
          </w:p>
        </w:tc>
        <w:tc>
          <w:tcPr>
            <w:tcW w:w="12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(49)%</w:t>
            </w:r>
          </w:p>
        </w:tc>
      </w:tr>
      <w:tr>
        <w:trPr>
          <w:trHeight w:val="180"/>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Owned, leased, and other, net</w:t>
            </w:r>
          </w:p>
        </w:tc>
        <w:tc>
          <w:tcPr>
            <w:tcW w:w="46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center"/>
              <w:ind w:left="1030"/>
              <w:spacing w:after="0"/>
              <w:rPr>
                <w:sz w:val="20"/>
                <w:szCs w:val="20"/>
                <w:color w:val="auto"/>
              </w:rPr>
            </w:pPr>
            <w:r>
              <w:rPr>
                <w:rFonts w:ascii="Arial" w:cs="Arial" w:eastAsia="Arial" w:hAnsi="Arial"/>
                <w:sz w:val="14"/>
                <w:szCs w:val="14"/>
                <w:color w:val="auto"/>
                <w:w w:val="91"/>
              </w:rPr>
              <w:t>(109)</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15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7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1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r>
    </w:tbl>
    <w:p>
      <w:pPr>
        <w:spacing w:after="0" w:line="146" w:lineRule="exact"/>
        <w:rPr>
          <w:sz w:val="20"/>
          <w:szCs w:val="20"/>
          <w:color w:val="auto"/>
        </w:rPr>
      </w:pPr>
    </w:p>
    <w:p>
      <w:pPr>
        <w:ind w:right="180" w:firstLine="395"/>
        <w:spacing w:after="0" w:line="253" w:lineRule="auto"/>
        <w:rPr>
          <w:sz w:val="20"/>
          <w:szCs w:val="20"/>
          <w:color w:val="auto"/>
        </w:rPr>
      </w:pPr>
      <w:r>
        <w:rPr>
          <w:rFonts w:ascii="Arial" w:cs="Arial" w:eastAsia="Arial" w:hAnsi="Arial"/>
          <w:sz w:val="18"/>
          <w:szCs w:val="18"/>
          <w:color w:val="auto"/>
        </w:rPr>
        <w:t xml:space="preserve">Owned, leased, and other revenue, net of direct expenses decreased primarily due to lower demand at and the temporary closure of certain of our owned and leased hotels due to </w:t>
      </w:r>
      <w:r>
        <w:rPr>
          <w:rFonts w:ascii="Arial" w:cs="Arial" w:eastAsia="Arial" w:hAnsi="Arial"/>
          <w:sz w:val="19"/>
          <w:szCs w:val="19"/>
          <w:color w:val="auto"/>
        </w:rPr>
        <w:t>COVID-19</w:t>
      </w:r>
      <w:r>
        <w:rPr>
          <w:rFonts w:ascii="Arial" w:cs="Arial" w:eastAsia="Arial" w:hAnsi="Arial"/>
          <w:sz w:val="18"/>
          <w:szCs w:val="18"/>
          <w:color w:val="auto"/>
        </w:rPr>
        <w:t>, as well as net lower owned and leased profits attributable to hotels sold in the 2019 fourth and 2020 first quarters ($19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Reimbursements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3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3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Change 2020 vs. 2019</w:t>
            </w:r>
          </w:p>
        </w:tc>
        <w:tc>
          <w:tcPr>
            <w:tcW w:w="880" w:type="dxa"/>
            <w:vAlign w:val="bottom"/>
            <w:tcBorders>
              <w:bottom w:val="single" w:sz="8" w:color="auto"/>
            </w:tcBorders>
          </w:tcPr>
          <w:p>
            <w:pPr>
              <w:spacing w:after="0"/>
              <w:rPr>
                <w:sz w:val="16"/>
                <w:szCs w:val="16"/>
                <w:color w:val="auto"/>
              </w:rPr>
            </w:pPr>
          </w:p>
        </w:tc>
      </w:tr>
      <w:tr>
        <w:trPr>
          <w:trHeight w:val="183"/>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reimbursement revenue</w:t>
            </w:r>
          </w:p>
        </w:tc>
        <w:tc>
          <w:tcPr>
            <w:tcW w:w="44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15,599</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7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(7,147)</w:t>
            </w:r>
          </w:p>
        </w:tc>
        <w:tc>
          <w:tcPr>
            <w:tcW w:w="1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182"/>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Reimbursed expenses</w:t>
            </w: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8,435</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16,439</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(8,004)</w:t>
            </w:r>
          </w:p>
        </w:tc>
        <w:tc>
          <w:tcPr>
            <w:tcW w:w="124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(49)%</w:t>
            </w:r>
          </w:p>
        </w:tc>
      </w:tr>
      <w:tr>
        <w:trPr>
          <w:trHeight w:val="180"/>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reimbursements, net</w:t>
            </w:r>
          </w:p>
        </w:tc>
        <w:tc>
          <w:tcPr>
            <w:tcW w:w="44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7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w:t>
            </w:r>
          </w:p>
        </w:tc>
        <w:tc>
          <w:tcPr>
            <w:tcW w:w="1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102 %</w:t>
            </w:r>
          </w:p>
        </w:tc>
      </w:tr>
    </w:tbl>
    <w:p>
      <w:pPr>
        <w:spacing w:after="0" w:line="146" w:lineRule="exact"/>
        <w:rPr>
          <w:sz w:val="20"/>
          <w:szCs w:val="20"/>
          <w:color w:val="auto"/>
        </w:rPr>
      </w:pPr>
    </w:p>
    <w:p>
      <w:pPr>
        <w:ind w:right="340" w:firstLine="395"/>
        <w:spacing w:after="0" w:line="236" w:lineRule="auto"/>
        <w:rPr>
          <w:sz w:val="20"/>
          <w:szCs w:val="20"/>
          <w:color w:val="auto"/>
        </w:rPr>
      </w:pPr>
      <w:r>
        <w:rPr>
          <w:rFonts w:ascii="Arial" w:cs="Arial" w:eastAsia="Arial" w:hAnsi="Arial"/>
          <w:sz w:val="18"/>
          <w:szCs w:val="18"/>
          <w:color w:val="auto"/>
        </w:rPr>
        <w:t>Cost reimbursements, net (cost reimbursement revenue, net of reimbursed expenses) varies due to timing differences between the costs we incur for centralized programs and services and the related reimbursements we receive from hotel owners and franchisees, primarily driven by our Loyalty Program. Over the long term, our centralized programs and services are not designed to impact our economics, either positively or negatively. See Note 2 for more information about the accounting for our Loyalty Program.</w:t>
      </w:r>
    </w:p>
    <w:p>
      <w:pPr>
        <w:spacing w:after="0" w:line="133" w:lineRule="exact"/>
        <w:rPr>
          <w:sz w:val="20"/>
          <w:szCs w:val="20"/>
          <w:color w:val="auto"/>
        </w:rPr>
      </w:pPr>
    </w:p>
    <w:p>
      <w:pPr>
        <w:ind w:right="400" w:firstLine="395"/>
        <w:spacing w:after="0" w:line="261" w:lineRule="auto"/>
        <w:rPr>
          <w:sz w:val="20"/>
          <w:szCs w:val="20"/>
          <w:color w:val="auto"/>
        </w:rPr>
      </w:pPr>
      <w:r>
        <w:rPr>
          <w:rFonts w:ascii="Arial" w:cs="Arial" w:eastAsia="Arial" w:hAnsi="Arial"/>
          <w:sz w:val="18"/>
          <w:szCs w:val="18"/>
          <w:color w:val="auto"/>
        </w:rPr>
        <w:t>The increase in cost reimbursements, net in 2020 primarily reflects the performance of the Loyalty Program, which had lower program expenses and redemptions.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3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3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Change 2020 vs. 2019</w:t>
            </w:r>
          </w:p>
        </w:tc>
        <w:tc>
          <w:tcPr>
            <w:tcW w:w="860" w:type="dxa"/>
            <w:vAlign w:val="bottom"/>
            <w:tcBorders>
              <w:bottom w:val="single" w:sz="8" w:color="auto"/>
            </w:tcBorders>
          </w:tcPr>
          <w:p>
            <w:pPr>
              <w:spacing w:after="0"/>
              <w:rPr>
                <w:sz w:val="16"/>
                <w:szCs w:val="16"/>
                <w:color w:val="auto"/>
              </w:rPr>
            </w:pPr>
          </w:p>
        </w:tc>
      </w:tr>
      <w:tr>
        <w:trPr>
          <w:trHeight w:val="183"/>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amortization, and other</w:t>
            </w:r>
          </w:p>
        </w:tc>
        <w:tc>
          <w:tcPr>
            <w:tcW w:w="44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70"/>
              <w:spacing w:after="0"/>
              <w:rPr>
                <w:sz w:val="20"/>
                <w:szCs w:val="20"/>
                <w:color w:val="auto"/>
              </w:rPr>
            </w:pPr>
            <w:r>
              <w:rPr>
                <w:rFonts w:ascii="Arial" w:cs="Arial" w:eastAsia="Arial" w:hAnsi="Arial"/>
                <w:sz w:val="14"/>
                <w:szCs w:val="14"/>
                <w:color w:val="auto"/>
              </w:rPr>
              <w:t>$</w:t>
            </w:r>
          </w:p>
        </w:tc>
        <w:tc>
          <w:tcPr>
            <w:tcW w:w="2420" w:type="dxa"/>
            <w:vAlign w:val="bottom"/>
            <w:shd w:val="clear" w:color="auto" w:fill="CCEEFF"/>
          </w:tcPr>
          <w:p>
            <w:pPr>
              <w:jc w:val="right"/>
              <w:ind w:right="1250"/>
              <w:spacing w:after="0"/>
              <w:rPr>
                <w:sz w:val="20"/>
                <w:szCs w:val="20"/>
                <w:color w:val="auto"/>
              </w:rPr>
            </w:pPr>
            <w:r>
              <w:rPr>
                <w:rFonts w:ascii="Arial" w:cs="Arial" w:eastAsia="Arial" w:hAnsi="Arial"/>
                <w:sz w:val="14"/>
                <w:szCs w:val="14"/>
                <w:color w:val="auto"/>
              </w:rPr>
              <w:t>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r>
      <w:tr>
        <w:trPr>
          <w:trHeight w:val="182"/>
        </w:trPr>
        <w:tc>
          <w:tcPr>
            <w:tcW w:w="3240" w:type="dxa"/>
            <w:vAlign w:val="bottom"/>
          </w:tcPr>
          <w:p>
            <w:pPr>
              <w:ind w:left="20"/>
              <w:spacing w:after="0"/>
              <w:rPr>
                <w:sz w:val="20"/>
                <w:szCs w:val="20"/>
                <w:color w:val="auto"/>
              </w:rPr>
            </w:pPr>
            <w:r>
              <w:rPr>
                <w:rFonts w:ascii="Arial" w:cs="Arial" w:eastAsia="Arial" w:hAnsi="Arial"/>
                <w:sz w:val="14"/>
                <w:szCs w:val="14"/>
                <w:color w:val="auto"/>
              </w:rPr>
              <w:t>General, administrative, and other</w:t>
            </w:r>
          </w:p>
        </w:tc>
        <w:tc>
          <w:tcPr>
            <w:tcW w:w="4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762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938</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20" w:type="dxa"/>
            <w:vAlign w:val="bottom"/>
          </w:tcPr>
          <w:p>
            <w:pPr>
              <w:jc w:val="right"/>
              <w:ind w:right="1210"/>
              <w:spacing w:after="0"/>
              <w:rPr>
                <w:sz w:val="20"/>
                <w:szCs w:val="20"/>
                <w:color w:val="auto"/>
              </w:rPr>
            </w:pPr>
            <w:r>
              <w:rPr>
                <w:rFonts w:ascii="Arial" w:cs="Arial" w:eastAsia="Arial" w:hAnsi="Arial"/>
                <w:sz w:val="14"/>
                <w:szCs w:val="14"/>
                <w:color w:val="auto"/>
              </w:rPr>
              <w:t>(176)</w:t>
            </w:r>
          </w:p>
        </w:tc>
        <w:tc>
          <w:tcPr>
            <w:tcW w:w="86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87"/>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and merger-related charges</w:t>
            </w:r>
          </w:p>
        </w:tc>
        <w:tc>
          <w:tcPr>
            <w:tcW w:w="4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20" w:type="dxa"/>
            <w:vAlign w:val="bottom"/>
            <w:shd w:val="clear" w:color="auto" w:fill="CCEEFF"/>
          </w:tcPr>
          <w:p>
            <w:pPr>
              <w:jc w:val="right"/>
              <w:ind w:right="1250"/>
              <w:spacing w:after="0"/>
              <w:rPr>
                <w:sz w:val="20"/>
                <w:szCs w:val="20"/>
                <w:color w:val="auto"/>
              </w:rPr>
            </w:pPr>
            <w:r>
              <w:rPr>
                <w:rFonts w:ascii="Arial" w:cs="Arial" w:eastAsia="Arial" w:hAnsi="Arial"/>
                <w:sz w:val="14"/>
                <w:szCs w:val="14"/>
                <w:color w:val="auto"/>
              </w:rPr>
              <w:t>129</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93 %</w:t>
            </w:r>
          </w:p>
        </w:tc>
      </w:tr>
    </w:tbl>
    <w:p>
      <w:pPr>
        <w:spacing w:after="0" w:line="146" w:lineRule="exact"/>
        <w:rPr>
          <w:sz w:val="20"/>
          <w:szCs w:val="20"/>
          <w:color w:val="auto"/>
        </w:rPr>
      </w:pPr>
    </w:p>
    <w:p>
      <w:pPr>
        <w:ind w:right="100" w:firstLine="395"/>
        <w:spacing w:after="0" w:line="261" w:lineRule="auto"/>
        <w:rPr>
          <w:sz w:val="20"/>
          <w:szCs w:val="20"/>
          <w:color w:val="auto"/>
        </w:rPr>
      </w:pPr>
      <w:r>
        <w:rPr>
          <w:rFonts w:ascii="Arial" w:cs="Arial" w:eastAsia="Arial" w:hAnsi="Arial"/>
          <w:sz w:val="18"/>
          <w:szCs w:val="18"/>
          <w:color w:val="auto"/>
        </w:rPr>
        <w:t>Depreciation, amortization, and other expenses increased, primarily due to higher operating lease impairment charges ($16 million). See Note 9 for more information about the operating lease impairment charges.</w:t>
      </w:r>
    </w:p>
    <w:p>
      <w:pPr>
        <w:spacing w:after="0" w:line="129" w:lineRule="exact"/>
        <w:rPr>
          <w:sz w:val="20"/>
          <w:szCs w:val="20"/>
          <w:color w:val="auto"/>
        </w:rPr>
      </w:pPr>
    </w:p>
    <w:p>
      <w:pPr>
        <w:ind w:right="140" w:firstLine="395"/>
        <w:spacing w:after="0" w:line="256" w:lineRule="auto"/>
        <w:rPr>
          <w:sz w:val="20"/>
          <w:szCs w:val="20"/>
          <w:color w:val="auto"/>
        </w:rPr>
      </w:pPr>
      <w:r>
        <w:rPr>
          <w:rFonts w:ascii="Arial" w:cs="Arial" w:eastAsia="Arial" w:hAnsi="Arial"/>
          <w:sz w:val="18"/>
          <w:szCs w:val="18"/>
          <w:color w:val="auto"/>
        </w:rPr>
        <w:t xml:space="preserve">General, administrative, and other expenses decreased primarily due to lower administrative costs due to our cost reduction measures and $20 million of lower legal expenses. The decrease was partially offset by a higher provision for credit losses and higher guarantee reserves primarily due to the negative current and expected economic impact of </w:t>
      </w:r>
      <w:r>
        <w:rPr>
          <w:rFonts w:ascii="Arial" w:cs="Arial" w:eastAsia="Arial" w:hAnsi="Arial"/>
          <w:sz w:val="19"/>
          <w:szCs w:val="19"/>
          <w:color w:val="auto"/>
        </w:rPr>
        <w:t>COVID-19</w:t>
      </w:r>
      <w:r>
        <w:rPr>
          <w:rFonts w:ascii="Arial" w:cs="Arial" w:eastAsia="Arial" w:hAnsi="Arial"/>
          <w:sz w:val="18"/>
          <w:szCs w:val="18"/>
          <w:color w:val="auto"/>
        </w:rPr>
        <w:t xml:space="preserve"> ($105 million).</w:t>
      </w:r>
    </w:p>
    <w:p>
      <w:pPr>
        <w:spacing w:after="0" w:line="128" w:lineRule="exact"/>
        <w:rPr>
          <w:sz w:val="20"/>
          <w:szCs w:val="20"/>
          <w:color w:val="auto"/>
        </w:rPr>
      </w:pPr>
    </w:p>
    <w:p>
      <w:pPr>
        <w:ind w:right="20" w:firstLine="395"/>
        <w:spacing w:after="0" w:line="299" w:lineRule="auto"/>
        <w:rPr>
          <w:sz w:val="20"/>
          <w:szCs w:val="20"/>
          <w:color w:val="auto"/>
        </w:rPr>
      </w:pPr>
      <w:r>
        <w:rPr>
          <w:rFonts w:ascii="Arial" w:cs="Arial" w:eastAsia="Arial" w:hAnsi="Arial"/>
          <w:sz w:val="16"/>
          <w:szCs w:val="16"/>
          <w:color w:val="auto"/>
        </w:rPr>
        <w:t>Restructuring and merger-related charges increased primarily due to the increased put option liability discussed in Note 8 ($243 million) and 2020 restructuring charges ($56 million), partially offset by the ICO Fine discussed in Note 8 ($104 million, representing the 2019 accrual and the 2020 reversal), the 2019 impairment charge of a Legacy-Starwood office building ($34 million), and lower integration costs ($19 million).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3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3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Change 2020 vs. 2019</w:t>
            </w:r>
          </w:p>
        </w:tc>
        <w:tc>
          <w:tcPr>
            <w:tcW w:w="960" w:type="dxa"/>
            <w:vAlign w:val="bottom"/>
            <w:tcBorders>
              <w:bottom w:val="single" w:sz="8" w:color="auto"/>
            </w:tcBorders>
          </w:tcPr>
          <w:p>
            <w:pPr>
              <w:spacing w:after="0"/>
              <w:rPr>
                <w:sz w:val="16"/>
                <w:szCs w:val="16"/>
                <w:color w:val="auto"/>
              </w:rPr>
            </w:pPr>
          </w:p>
        </w:tc>
      </w:tr>
      <w:tr>
        <w:trPr>
          <w:trHeight w:val="183"/>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Gains and other income, net</w:t>
            </w:r>
          </w:p>
        </w:tc>
        <w:tc>
          <w:tcPr>
            <w:tcW w:w="46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70"/>
              <w:spacing w:after="0"/>
              <w:rPr>
                <w:sz w:val="20"/>
                <w:szCs w:val="20"/>
                <w:color w:val="auto"/>
              </w:rPr>
            </w:pPr>
            <w:r>
              <w:rPr>
                <w:rFonts w:ascii="Arial" w:cs="Arial" w:eastAsia="Arial" w:hAnsi="Arial"/>
                <w:sz w:val="14"/>
                <w:szCs w:val="14"/>
                <w:color w:val="auto"/>
              </w:rPr>
              <w:t>$</w:t>
            </w:r>
          </w:p>
        </w:tc>
        <w:tc>
          <w:tcPr>
            <w:tcW w:w="2320" w:type="dxa"/>
            <w:vAlign w:val="bottom"/>
            <w:shd w:val="clear" w:color="auto" w:fill="CCEEFF"/>
          </w:tcPr>
          <w:p>
            <w:pPr>
              <w:jc w:val="right"/>
              <w:ind w:right="1110"/>
              <w:spacing w:after="0"/>
              <w:rPr>
                <w:sz w:val="20"/>
                <w:szCs w:val="20"/>
                <w:color w:val="auto"/>
              </w:rPr>
            </w:pPr>
            <w:r>
              <w:rPr>
                <w:rFonts w:ascii="Arial" w:cs="Arial" w:eastAsia="Arial" w:hAnsi="Arial"/>
                <w:sz w:val="14"/>
                <w:szCs w:val="14"/>
                <w:color w:val="auto"/>
              </w:rPr>
              <w:t>(145)</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r>
      <w:tr>
        <w:trPr>
          <w:trHeight w:val="182"/>
        </w:trPr>
        <w:tc>
          <w:tcPr>
            <w:tcW w:w="32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4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320" w:type="dxa"/>
            <w:vAlign w:val="bottom"/>
          </w:tcPr>
          <w:p>
            <w:pPr>
              <w:jc w:val="right"/>
              <w:ind w:right="1150"/>
              <w:spacing w:after="0"/>
              <w:rPr>
                <w:sz w:val="20"/>
                <w:szCs w:val="20"/>
                <w:color w:val="auto"/>
              </w:rPr>
            </w:pPr>
            <w:r>
              <w:rPr>
                <w:rFonts w:ascii="Arial" w:cs="Arial" w:eastAsia="Arial" w:hAnsi="Arial"/>
                <w:sz w:val="14"/>
                <w:szCs w:val="14"/>
                <w:color w:val="auto"/>
              </w:rPr>
              <w:t>51</w:t>
            </w:r>
          </w:p>
        </w:tc>
        <w:tc>
          <w:tcPr>
            <w:tcW w:w="960" w:type="dxa"/>
            <w:vAlign w:val="bottom"/>
          </w:tcPr>
          <w:p>
            <w:pPr>
              <w:jc w:val="right"/>
              <w:spacing w:after="0"/>
              <w:rPr>
                <w:sz w:val="20"/>
                <w:szCs w:val="20"/>
                <w:color w:val="auto"/>
              </w:rPr>
            </w:pPr>
            <w:r>
              <w:rPr>
                <w:rFonts w:ascii="Arial" w:cs="Arial" w:eastAsia="Arial" w:hAnsi="Arial"/>
                <w:sz w:val="14"/>
                <w:szCs w:val="14"/>
                <w:color w:val="auto"/>
              </w:rPr>
              <w:t>13 %</w:t>
            </w:r>
          </w:p>
        </w:tc>
      </w:tr>
      <w:tr>
        <w:trPr>
          <w:trHeight w:val="187"/>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4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320" w:type="dxa"/>
            <w:vAlign w:val="bottom"/>
            <w:shd w:val="clear" w:color="auto" w:fill="CCEEFF"/>
          </w:tcPr>
          <w:p>
            <w:pPr>
              <w:jc w:val="right"/>
              <w:ind w:right="1150"/>
              <w:spacing w:after="0"/>
              <w:rPr>
                <w:sz w:val="20"/>
                <w:szCs w:val="20"/>
                <w:color w:val="auto"/>
              </w:rPr>
            </w:pPr>
            <w:r>
              <w:rPr>
                <w:rFonts w:ascii="Arial" w:cs="Arial" w:eastAsia="Arial" w:hAnsi="Arial"/>
                <w:sz w:val="14"/>
                <w:szCs w:val="14"/>
                <w:color w:val="auto"/>
              </w:rPr>
              <w:t>1</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r>
      <w:tr>
        <w:trPr>
          <w:trHeight w:val="179"/>
        </w:trPr>
        <w:tc>
          <w:tcPr>
            <w:tcW w:w="3220" w:type="dxa"/>
            <w:vAlign w:val="bottom"/>
          </w:tcPr>
          <w:p>
            <w:pPr>
              <w:ind w:left="20"/>
              <w:spacing w:after="0"/>
              <w:rPr>
                <w:sz w:val="20"/>
                <w:szCs w:val="20"/>
                <w:color w:val="auto"/>
              </w:rPr>
            </w:pPr>
            <w:r>
              <w:rPr>
                <w:rFonts w:ascii="Arial" w:cs="Arial" w:eastAsia="Arial" w:hAnsi="Arial"/>
                <w:sz w:val="14"/>
                <w:szCs w:val="14"/>
                <w:color w:val="auto"/>
              </w:rPr>
              <w:t>Equity in (losses) earnings</w:t>
            </w:r>
          </w:p>
        </w:tc>
        <w:tc>
          <w:tcPr>
            <w:tcW w:w="4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320" w:type="dxa"/>
            <w:vAlign w:val="bottom"/>
          </w:tcPr>
          <w:p>
            <w:pPr>
              <w:jc w:val="right"/>
              <w:ind w:right="1110"/>
              <w:spacing w:after="0"/>
              <w:rPr>
                <w:sz w:val="20"/>
                <w:szCs w:val="20"/>
                <w:color w:val="auto"/>
              </w:rPr>
            </w:pPr>
            <w:r>
              <w:rPr>
                <w:rFonts w:ascii="Arial" w:cs="Arial" w:eastAsia="Arial" w:hAnsi="Arial"/>
                <w:sz w:val="14"/>
                <w:szCs w:val="14"/>
                <w:color w:val="auto"/>
              </w:rPr>
              <w:t>(154)</w:t>
            </w:r>
          </w:p>
        </w:tc>
        <w:tc>
          <w:tcPr>
            <w:tcW w:w="960" w:type="dxa"/>
            <w:vAlign w:val="bottom"/>
          </w:tcPr>
          <w:p>
            <w:pPr>
              <w:jc w:val="right"/>
              <w:spacing w:after="0"/>
              <w:rPr>
                <w:sz w:val="20"/>
                <w:szCs w:val="20"/>
                <w:color w:val="auto"/>
              </w:rPr>
            </w:pPr>
            <w:r>
              <w:rPr>
                <w:rFonts w:ascii="Arial" w:cs="Arial" w:eastAsia="Arial" w:hAnsi="Arial"/>
                <w:sz w:val="14"/>
                <w:szCs w:val="14"/>
                <w:color w:val="auto"/>
              </w:rPr>
              <w:t>(1,185)%</w:t>
            </w: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Gains and other income, net decreased primarily due to the 2019 gains on our property sales ($134 million).</w:t>
      </w:r>
    </w:p>
    <w:p>
      <w:pPr>
        <w:spacing w:after="0" w:line="161" w:lineRule="exact"/>
        <w:rPr>
          <w:sz w:val="20"/>
          <w:szCs w:val="20"/>
          <w:color w:val="auto"/>
        </w:rPr>
      </w:pPr>
    </w:p>
    <w:p>
      <w:pPr>
        <w:ind w:right="100" w:firstLine="395"/>
        <w:spacing w:after="0" w:line="324" w:lineRule="auto"/>
        <w:rPr>
          <w:sz w:val="20"/>
          <w:szCs w:val="20"/>
          <w:color w:val="auto"/>
        </w:rPr>
      </w:pPr>
      <w:r>
        <w:rPr>
          <w:rFonts w:ascii="Arial" w:cs="Arial" w:eastAsia="Arial" w:hAnsi="Arial"/>
          <w:sz w:val="16"/>
          <w:szCs w:val="16"/>
          <w:color w:val="auto"/>
        </w:rPr>
        <w:t>Interest expense increased primarily due to higher interest on Senior Note issuances, net of maturities ($93 million), partially offset by lower commercial paper and Credit Facility interest rates and aggregate average borrowings ($24 million) and net lower interest rates on floating rate debt ($22 million).</w:t>
      </w:r>
    </w:p>
    <w:p>
      <w:pPr>
        <w:spacing w:after="0" w:line="78" w:lineRule="exact"/>
        <w:rPr>
          <w:sz w:val="20"/>
          <w:szCs w:val="20"/>
          <w:color w:val="auto"/>
        </w:rPr>
      </w:pPr>
    </w:p>
    <w:p>
      <w:pPr>
        <w:ind w:right="140" w:firstLine="395"/>
        <w:spacing w:after="0" w:line="440" w:lineRule="auto"/>
        <w:rPr>
          <w:sz w:val="20"/>
          <w:szCs w:val="20"/>
          <w:color w:val="auto"/>
        </w:rPr>
      </w:pPr>
      <w:r>
        <w:rPr>
          <w:rFonts w:ascii="Arial" w:cs="Arial" w:eastAsia="Arial" w:hAnsi="Arial"/>
          <w:sz w:val="18"/>
          <w:szCs w:val="18"/>
          <w:color w:val="auto"/>
        </w:rPr>
        <w:t xml:space="preserve">Equity in (losses) earnings decreased due to losses recorded by the investees and impairment charges ($77 million), primarily as a result of </w:t>
      </w:r>
      <w:r>
        <w:rPr>
          <w:rFonts w:ascii="Arial" w:cs="Arial" w:eastAsia="Arial" w:hAnsi="Arial"/>
          <w:sz w:val="19"/>
          <w:szCs w:val="19"/>
          <w:color w:val="auto"/>
        </w:rPr>
        <w:t>COVID-19</w:t>
      </w:r>
      <w:r>
        <w:rPr>
          <w:rFonts w:ascii="Arial" w:cs="Arial" w:eastAsia="Arial" w:hAnsi="Arial"/>
          <w:sz w:val="18"/>
          <w:szCs w:val="18"/>
          <w:color w:val="auto"/>
        </w:rPr>
        <w:t xml:space="preserve">. </w:t>
      </w:r>
      <w:r>
        <w:rPr>
          <w:rFonts w:ascii="Arial" w:cs="Arial" w:eastAsia="Arial" w:hAnsi="Arial"/>
          <w:sz w:val="18"/>
          <w:szCs w:val="18"/>
          <w:b w:val="1"/>
          <w:bCs w:val="1"/>
          <w:color w:val="auto"/>
        </w:rPr>
        <w:t>Income Taxes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3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Change 2020 vs. 2019</w:t>
            </w:r>
          </w:p>
        </w:tc>
        <w:tc>
          <w:tcPr>
            <w:tcW w:w="900" w:type="dxa"/>
            <w:vAlign w:val="bottom"/>
            <w:tcBorders>
              <w:bottom w:val="single" w:sz="8" w:color="auto"/>
            </w:tcBorders>
          </w:tcPr>
          <w:p>
            <w:pPr>
              <w:spacing w:after="0"/>
              <w:rPr>
                <w:sz w:val="16"/>
                <w:szCs w:val="16"/>
                <w:color w:val="auto"/>
              </w:rPr>
            </w:pPr>
          </w:p>
        </w:tc>
      </w:tr>
      <w:tr>
        <w:trPr>
          <w:trHeight w:val="183"/>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(provision) for income taxes</w:t>
            </w:r>
          </w:p>
        </w:tc>
        <w:tc>
          <w:tcPr>
            <w:tcW w:w="46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17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70"/>
              <w:spacing w:after="0"/>
              <w:rPr>
                <w:sz w:val="20"/>
                <w:szCs w:val="20"/>
                <w:color w:val="auto"/>
              </w:rPr>
            </w:pPr>
            <w:r>
              <w:rPr>
                <w:rFonts w:ascii="Arial" w:cs="Arial" w:eastAsia="Arial" w:hAnsi="Arial"/>
                <w:sz w:val="14"/>
                <w:szCs w:val="14"/>
                <w:color w:val="auto"/>
              </w:rPr>
              <w:t>$</w:t>
            </w:r>
          </w:p>
        </w:tc>
        <w:tc>
          <w:tcPr>
            <w:tcW w:w="2380" w:type="dxa"/>
            <w:vAlign w:val="bottom"/>
            <w:shd w:val="clear" w:color="auto" w:fill="CCEEFF"/>
          </w:tcPr>
          <w:p>
            <w:pPr>
              <w:jc w:val="right"/>
              <w:ind w:right="1170"/>
              <w:spacing w:after="0"/>
              <w:rPr>
                <w:sz w:val="20"/>
                <w:szCs w:val="20"/>
                <w:color w:val="auto"/>
              </w:rPr>
            </w:pPr>
            <w:r>
              <w:rPr>
                <w:rFonts w:ascii="Arial" w:cs="Arial" w:eastAsia="Arial" w:hAnsi="Arial"/>
                <w:sz w:val="14"/>
                <w:szCs w:val="14"/>
                <w:color w:val="auto"/>
              </w:rPr>
              <w:t>(525)</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r>
    </w:tbl>
    <w:p>
      <w:pPr>
        <w:spacing w:after="0" w:line="146" w:lineRule="exact"/>
        <w:rPr>
          <w:sz w:val="20"/>
          <w:szCs w:val="20"/>
          <w:color w:val="auto"/>
        </w:rPr>
      </w:pPr>
    </w:p>
    <w:p>
      <w:pPr>
        <w:ind w:right="140" w:firstLine="395"/>
        <w:spacing w:after="0" w:line="291" w:lineRule="auto"/>
        <w:rPr>
          <w:sz w:val="20"/>
          <w:szCs w:val="20"/>
          <w:color w:val="auto"/>
        </w:rPr>
      </w:pPr>
      <w:r>
        <w:rPr>
          <w:rFonts w:ascii="Arial" w:cs="Arial" w:eastAsia="Arial" w:hAnsi="Arial"/>
          <w:sz w:val="16"/>
          <w:szCs w:val="16"/>
          <w:color w:val="auto"/>
        </w:rPr>
        <w:t>Our tax benefit in 2020, compared to our tax provision in 2019, primarily reflected the decrease in operating income ($336 million), the tax benefit from the release of tax reserves due to audit closures during 2020 ($100 million), the tax benefit from the Sheraton Grand Chicago put option reserve ($61 million), the year-over-year tax benefit from impairment charges ($39 million), and the prior year tax expense incurred for U.S. tax on Global Intangible Low-Taxed Income ($35 million). The decrease was partially offset by a shift in earnings to jurisdictions with higher tax rates ($36 million).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63" w:lineRule="exact"/>
        <w:rPr>
          <w:sz w:val="20"/>
          <w:szCs w:val="20"/>
          <w:color w:val="auto"/>
        </w:rPr>
      </w:pPr>
    </w:p>
    <w:p>
      <w:pPr>
        <w:ind w:right="320" w:firstLine="395"/>
        <w:spacing w:after="0" w:line="301" w:lineRule="auto"/>
        <w:rPr>
          <w:sz w:val="20"/>
          <w:szCs w:val="20"/>
          <w:color w:val="auto"/>
        </w:rPr>
      </w:pPr>
      <w:r>
        <w:rPr>
          <w:rFonts w:ascii="Arial" w:cs="Arial" w:eastAsia="Arial" w:hAnsi="Arial"/>
          <w:sz w:val="16"/>
          <w:szCs w:val="16"/>
          <w:color w:val="auto"/>
        </w:rPr>
        <w:t xml:space="preserve">Our segment results declined in 2020 compared to 2019 primarily due to the impact of </w:t>
      </w:r>
      <w:r>
        <w:rPr>
          <w:rFonts w:ascii="Arial" w:cs="Arial" w:eastAsia="Arial" w:hAnsi="Arial"/>
          <w:sz w:val="17"/>
          <w:szCs w:val="17"/>
          <w:color w:val="auto"/>
        </w:rPr>
        <w:t>COVID-19</w:t>
      </w:r>
      <w:r>
        <w:rPr>
          <w:rFonts w:ascii="Arial" w:cs="Arial" w:eastAsia="Arial" w:hAnsi="Arial"/>
          <w:sz w:val="16"/>
          <w:szCs w:val="16"/>
          <w:color w:val="auto"/>
        </w:rPr>
        <w:t>. See the “</w:t>
      </w:r>
      <w:r>
        <w:rPr>
          <w:rFonts w:ascii="Arial" w:cs="Arial" w:eastAsia="Arial" w:hAnsi="Arial"/>
          <w:sz w:val="16"/>
          <w:szCs w:val="16"/>
          <w:i w:val="1"/>
          <w:iCs w:val="1"/>
          <w:color w:val="auto"/>
        </w:rPr>
        <w:t>Impact of COVID-19</w:t>
      </w:r>
      <w:r>
        <w:rPr>
          <w:rFonts w:ascii="Arial" w:cs="Arial" w:eastAsia="Arial" w:hAnsi="Arial"/>
          <w:sz w:val="16"/>
          <w:szCs w:val="16"/>
          <w:color w:val="auto"/>
        </w:rPr>
        <w:t>” section above for more information about the impact to our business during 2020 and the discussion below for additional analysis of the operating results of our reportable business segments. Segment revenues and profits for EMEA, a new reportable segment in 2020, did not change significantly in 2019 compared to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Change 2020 vs. 2019</w:t>
            </w:r>
          </w:p>
        </w:tc>
        <w:tc>
          <w:tcPr>
            <w:tcW w:w="900" w:type="dxa"/>
            <w:vAlign w:val="bottom"/>
            <w:tcBorders>
              <w:bottom w:val="single" w:sz="8" w:color="auto"/>
            </w:tcBorders>
          </w:tcPr>
          <w:p>
            <w:pPr>
              <w:spacing w:after="0"/>
              <w:rPr>
                <w:sz w:val="16"/>
                <w:szCs w:val="16"/>
                <w:color w:val="auto"/>
              </w:rPr>
            </w:pPr>
          </w:p>
        </w:tc>
      </w:tr>
      <w:tr>
        <w:trPr>
          <w:trHeight w:val="327"/>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&amp; Canada</w:t>
            </w:r>
          </w:p>
        </w:tc>
        <w:tc>
          <w:tcPr>
            <w:tcW w:w="13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3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182"/>
        </w:trPr>
        <w:tc>
          <w:tcPr>
            <w:tcW w:w="3220" w:type="dxa"/>
            <w:vAlign w:val="bottom"/>
          </w:tcPr>
          <w:p>
            <w:pPr>
              <w:ind w:left="120"/>
              <w:spacing w:after="0"/>
              <w:rPr>
                <w:sz w:val="20"/>
                <w:szCs w:val="20"/>
                <w:color w:val="auto"/>
              </w:rPr>
            </w:pPr>
            <w:r>
              <w:rPr>
                <w:rFonts w:ascii="Arial" w:cs="Arial" w:eastAsia="Arial" w:hAnsi="Arial"/>
                <w:sz w:val="14"/>
                <w:szCs w:val="14"/>
                <w:color w:val="auto"/>
              </w:rPr>
              <w:t>Segment revenues</w:t>
            </w:r>
          </w:p>
        </w:tc>
        <w:tc>
          <w:tcPr>
            <w:tcW w:w="1320" w:type="dxa"/>
            <w:vAlign w:val="bottom"/>
          </w:tcPr>
          <w:p>
            <w:pPr>
              <w:jc w:val="right"/>
              <w:ind w:right="115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7,905</w:t>
            </w:r>
          </w:p>
        </w:tc>
        <w:tc>
          <w:tcPr>
            <w:tcW w:w="100" w:type="dxa"/>
            <w:vAlign w:val="bottom"/>
          </w:tcPr>
          <w:p>
            <w:pPr>
              <w:spacing w:after="0"/>
              <w:rPr>
                <w:sz w:val="15"/>
                <w:szCs w:val="15"/>
                <w:color w:val="auto"/>
              </w:rPr>
            </w:pPr>
          </w:p>
        </w:tc>
        <w:tc>
          <w:tcPr>
            <w:tcW w:w="1280" w:type="dxa"/>
            <w:vAlign w:val="bottom"/>
          </w:tcPr>
          <w:p>
            <w:pPr>
              <w:jc w:val="right"/>
              <w:ind w:right="111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16,833</w:t>
            </w:r>
          </w:p>
        </w:tc>
        <w:tc>
          <w:tcPr>
            <w:tcW w:w="100" w:type="dxa"/>
            <w:vAlign w:val="bottom"/>
          </w:tcPr>
          <w:p>
            <w:pPr>
              <w:spacing w:after="0"/>
              <w:rPr>
                <w:sz w:val="15"/>
                <w:szCs w:val="15"/>
                <w:color w:val="auto"/>
              </w:rPr>
            </w:pPr>
          </w:p>
        </w:tc>
        <w:tc>
          <w:tcPr>
            <w:tcW w:w="740" w:type="dxa"/>
            <w:vAlign w:val="bottom"/>
          </w:tcPr>
          <w:p>
            <w:pPr>
              <w:jc w:val="right"/>
              <w:ind w:right="570"/>
              <w:spacing w:after="0"/>
              <w:rPr>
                <w:sz w:val="20"/>
                <w:szCs w:val="20"/>
                <w:color w:val="auto"/>
              </w:rPr>
            </w:pPr>
            <w:r>
              <w:rPr>
                <w:rFonts w:ascii="Arial" w:cs="Arial" w:eastAsia="Arial" w:hAnsi="Arial"/>
                <w:sz w:val="14"/>
                <w:szCs w:val="14"/>
                <w:color w:val="auto"/>
              </w:rPr>
              <w:t>$</w:t>
            </w:r>
          </w:p>
        </w:tc>
        <w:tc>
          <w:tcPr>
            <w:tcW w:w="2380" w:type="dxa"/>
            <w:vAlign w:val="bottom"/>
          </w:tcPr>
          <w:p>
            <w:pPr>
              <w:jc w:val="right"/>
              <w:ind w:right="1170"/>
              <w:spacing w:after="0"/>
              <w:rPr>
                <w:sz w:val="20"/>
                <w:szCs w:val="20"/>
                <w:color w:val="auto"/>
              </w:rPr>
            </w:pPr>
            <w:r>
              <w:rPr>
                <w:rFonts w:ascii="Arial" w:cs="Arial" w:eastAsia="Arial" w:hAnsi="Arial"/>
                <w:sz w:val="14"/>
                <w:szCs w:val="14"/>
                <w:color w:val="auto"/>
              </w:rPr>
              <w:t>(8,928)</w:t>
            </w:r>
          </w:p>
        </w:tc>
        <w:tc>
          <w:tcPr>
            <w:tcW w:w="90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187"/>
        </w:trPr>
        <w:tc>
          <w:tcPr>
            <w:tcW w:w="3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Segment profits</w:t>
            </w:r>
          </w:p>
        </w:tc>
        <w:tc>
          <w:tcPr>
            <w:tcW w:w="13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380" w:type="dxa"/>
            <w:vAlign w:val="bottom"/>
            <w:shd w:val="clear" w:color="auto" w:fill="CCEEFF"/>
          </w:tcPr>
          <w:p>
            <w:pPr>
              <w:jc w:val="right"/>
              <w:ind w:right="1170"/>
              <w:spacing w:after="0"/>
              <w:rPr>
                <w:sz w:val="20"/>
                <w:szCs w:val="20"/>
                <w:color w:val="auto"/>
              </w:rPr>
            </w:pPr>
            <w:r>
              <w:rPr>
                <w:rFonts w:ascii="Arial" w:cs="Arial" w:eastAsia="Arial" w:hAnsi="Arial"/>
                <w:sz w:val="14"/>
                <w:szCs w:val="14"/>
                <w:color w:val="auto"/>
              </w:rPr>
              <w:t>(1,802)</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r>
      <w:tr>
        <w:trPr>
          <w:trHeight w:val="337"/>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Asia Pacific</w:t>
            </w: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0"/>
        </w:trPr>
        <w:tc>
          <w:tcPr>
            <w:tcW w:w="3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Segment revenues</w:t>
            </w:r>
          </w:p>
        </w:tc>
        <w:tc>
          <w:tcPr>
            <w:tcW w:w="13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1,189</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380" w:type="dxa"/>
            <w:vAlign w:val="bottom"/>
            <w:shd w:val="clear" w:color="auto" w:fill="CCEEFF"/>
          </w:tcPr>
          <w:p>
            <w:pPr>
              <w:jc w:val="right"/>
              <w:ind w:right="1170"/>
              <w:spacing w:after="0"/>
              <w:rPr>
                <w:sz w:val="20"/>
                <w:szCs w:val="20"/>
                <w:color w:val="auto"/>
              </w:rPr>
            </w:pPr>
            <w:r>
              <w:rPr>
                <w:rFonts w:ascii="Arial" w:cs="Arial" w:eastAsia="Arial" w:hAnsi="Arial"/>
                <w:sz w:val="14"/>
                <w:szCs w:val="14"/>
                <w:color w:val="auto"/>
              </w:rPr>
              <w:t>(577)</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r>
      <w:tr>
        <w:trPr>
          <w:trHeight w:val="182"/>
        </w:trPr>
        <w:tc>
          <w:tcPr>
            <w:tcW w:w="3220" w:type="dxa"/>
            <w:vAlign w:val="bottom"/>
          </w:tcPr>
          <w:p>
            <w:pPr>
              <w:ind w:left="120"/>
              <w:spacing w:after="0"/>
              <w:rPr>
                <w:sz w:val="20"/>
                <w:szCs w:val="20"/>
                <w:color w:val="auto"/>
              </w:rPr>
            </w:pPr>
            <w:r>
              <w:rPr>
                <w:rFonts w:ascii="Arial" w:cs="Arial" w:eastAsia="Arial" w:hAnsi="Arial"/>
                <w:sz w:val="14"/>
                <w:szCs w:val="14"/>
                <w:color w:val="auto"/>
              </w:rPr>
              <w:t>Segment profits</w:t>
            </w:r>
          </w:p>
        </w:tc>
        <w:tc>
          <w:tcPr>
            <w:tcW w:w="1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380" w:type="dxa"/>
            <w:vAlign w:val="bottom"/>
          </w:tcPr>
          <w:p>
            <w:pPr>
              <w:jc w:val="right"/>
              <w:ind w:right="1170"/>
              <w:spacing w:after="0"/>
              <w:rPr>
                <w:sz w:val="20"/>
                <w:szCs w:val="20"/>
                <w:color w:val="auto"/>
              </w:rPr>
            </w:pPr>
            <w:r>
              <w:rPr>
                <w:rFonts w:ascii="Arial" w:cs="Arial" w:eastAsia="Arial" w:hAnsi="Arial"/>
                <w:sz w:val="14"/>
                <w:szCs w:val="14"/>
                <w:color w:val="auto"/>
              </w:rPr>
              <w:t>(368)</w:t>
            </w:r>
          </w:p>
        </w:tc>
        <w:tc>
          <w:tcPr>
            <w:tcW w:w="90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345"/>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EMEA</w:t>
            </w:r>
          </w:p>
        </w:tc>
        <w:tc>
          <w:tcPr>
            <w:tcW w:w="13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3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182"/>
        </w:trPr>
        <w:tc>
          <w:tcPr>
            <w:tcW w:w="3220" w:type="dxa"/>
            <w:vAlign w:val="bottom"/>
          </w:tcPr>
          <w:p>
            <w:pPr>
              <w:ind w:left="120"/>
              <w:spacing w:after="0"/>
              <w:rPr>
                <w:sz w:val="20"/>
                <w:szCs w:val="20"/>
                <w:color w:val="auto"/>
              </w:rPr>
            </w:pPr>
            <w:r>
              <w:rPr>
                <w:rFonts w:ascii="Arial" w:cs="Arial" w:eastAsia="Arial" w:hAnsi="Arial"/>
                <w:sz w:val="14"/>
                <w:szCs w:val="14"/>
                <w:color w:val="auto"/>
              </w:rPr>
              <w:t>Segment revenues</w:t>
            </w:r>
          </w:p>
        </w:tc>
        <w:tc>
          <w:tcPr>
            <w:tcW w:w="1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758</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1,932</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380" w:type="dxa"/>
            <w:vAlign w:val="bottom"/>
          </w:tcPr>
          <w:p>
            <w:pPr>
              <w:jc w:val="right"/>
              <w:ind w:right="1170"/>
              <w:spacing w:after="0"/>
              <w:rPr>
                <w:sz w:val="20"/>
                <w:szCs w:val="20"/>
                <w:color w:val="auto"/>
              </w:rPr>
            </w:pPr>
            <w:r>
              <w:rPr>
                <w:rFonts w:ascii="Arial" w:cs="Arial" w:eastAsia="Arial" w:hAnsi="Arial"/>
                <w:sz w:val="14"/>
                <w:szCs w:val="14"/>
                <w:color w:val="auto"/>
              </w:rPr>
              <w:t>(1,174)</w:t>
            </w:r>
          </w:p>
        </w:tc>
        <w:tc>
          <w:tcPr>
            <w:tcW w:w="90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187"/>
        </w:trPr>
        <w:tc>
          <w:tcPr>
            <w:tcW w:w="3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Segment (loss) profits</w:t>
            </w:r>
          </w:p>
        </w:tc>
        <w:tc>
          <w:tcPr>
            <w:tcW w:w="13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380" w:type="dxa"/>
            <w:vAlign w:val="bottom"/>
            <w:shd w:val="clear" w:color="auto" w:fill="CCEEFF"/>
          </w:tcPr>
          <w:p>
            <w:pPr>
              <w:jc w:val="right"/>
              <w:ind w:right="1170"/>
              <w:spacing w:after="0"/>
              <w:rPr>
                <w:sz w:val="20"/>
                <w:szCs w:val="20"/>
                <w:color w:val="auto"/>
              </w:rPr>
            </w:pPr>
            <w:r>
              <w:rPr>
                <w:rFonts w:ascii="Arial" w:cs="Arial" w:eastAsia="Arial" w:hAnsi="Arial"/>
                <w:sz w:val="14"/>
                <w:szCs w:val="14"/>
                <w:color w:val="auto"/>
              </w:rPr>
              <w:t>(518)</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r>
    </w:tbl>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w w:val="89"/>
              </w:rPr>
              <w:t>Properties</w:t>
            </w:r>
          </w:p>
        </w:tc>
        <w:tc>
          <w:tcPr>
            <w:tcW w:w="16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rPr>
              <w:t>Rooms</w:t>
            </w:r>
          </w:p>
        </w:tc>
        <w:tc>
          <w:tcPr>
            <w:tcW w:w="16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340" w:type="dxa"/>
            <w:vAlign w:val="bottom"/>
          </w:tcPr>
          <w:p>
            <w:pPr>
              <w:spacing w:after="0"/>
              <w:rPr>
                <w:sz w:val="11"/>
                <w:szCs w:val="11"/>
                <w:color w:val="auto"/>
              </w:rPr>
            </w:pPr>
          </w:p>
        </w:tc>
        <w:tc>
          <w:tcPr>
            <w:tcW w:w="1260" w:type="dxa"/>
            <w:vAlign w:val="bottom"/>
            <w:gridSpan w:val="2"/>
          </w:tcPr>
          <w:p>
            <w:pPr>
              <w:ind w:left="160"/>
              <w:spacing w:after="0" w:line="130" w:lineRule="exact"/>
              <w:rPr>
                <w:sz w:val="20"/>
                <w:szCs w:val="20"/>
                <w:color w:val="auto"/>
              </w:rPr>
            </w:pPr>
            <w:r>
              <w:rPr>
                <w:rFonts w:ascii="Arial" w:cs="Arial" w:eastAsia="Arial" w:hAnsi="Arial"/>
                <w:sz w:val="14"/>
                <w:szCs w:val="14"/>
                <w:b w:val="1"/>
                <w:bCs w:val="1"/>
                <w:color w:val="auto"/>
              </w:rPr>
              <w:t>December 31,</w:t>
            </w:r>
          </w:p>
        </w:tc>
        <w:tc>
          <w:tcPr>
            <w:tcW w:w="1260" w:type="dxa"/>
            <w:vAlign w:val="bottom"/>
            <w:gridSpan w:val="2"/>
          </w:tcPr>
          <w:p>
            <w:pPr>
              <w:ind w:left="160"/>
              <w:spacing w:after="0" w:line="130" w:lineRule="exact"/>
              <w:rPr>
                <w:sz w:val="20"/>
                <w:szCs w:val="20"/>
                <w:color w:val="auto"/>
              </w:rPr>
            </w:pPr>
            <w:r>
              <w:rPr>
                <w:rFonts w:ascii="Arial" w:cs="Arial" w:eastAsia="Arial" w:hAnsi="Arial"/>
                <w:sz w:val="14"/>
                <w:szCs w:val="14"/>
                <w:b w:val="1"/>
                <w:bCs w:val="1"/>
                <w:color w:val="auto"/>
              </w:rPr>
              <w:t>December 31,</w:t>
            </w:r>
          </w:p>
        </w:tc>
        <w:tc>
          <w:tcPr>
            <w:tcW w:w="1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vs. December 31, 2019</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December 31, 2020</w:t>
            </w: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December 31, 2019</w:t>
            </w:r>
          </w:p>
        </w:tc>
        <w:tc>
          <w:tcPr>
            <w:tcW w:w="1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vs. December 31, 2019</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340" w:type="dxa"/>
            <w:vAlign w:val="bottom"/>
          </w:tcPr>
          <w:p>
            <w:pPr>
              <w:spacing w:after="0"/>
              <w:rPr>
                <w:sz w:val="15"/>
                <w:szCs w:val="15"/>
                <w:color w:val="auto"/>
              </w:rPr>
            </w:pPr>
          </w:p>
        </w:tc>
        <w:tc>
          <w:tcPr>
            <w:tcW w:w="1160" w:type="dxa"/>
            <w:vAlign w:val="bottom"/>
          </w:tcPr>
          <w:p>
            <w:pPr>
              <w:jc w:val="right"/>
              <w:ind w:right="37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160" w:type="dxa"/>
            <w:vAlign w:val="bottom"/>
          </w:tcPr>
          <w:p>
            <w:pPr>
              <w:jc w:val="right"/>
              <w:ind w:right="37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3"/>
        </w:trPr>
        <w:tc>
          <w:tcPr>
            <w:tcW w:w="2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U.S. &amp; Canada</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5,534</w:t>
            </w:r>
          </w:p>
        </w:tc>
        <w:tc>
          <w:tcPr>
            <w:tcW w:w="100" w:type="dxa"/>
            <w:vAlign w:val="bottom"/>
            <w:tcBorders>
              <w:top w:val="single" w:sz="8" w:color="CCEEFF"/>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5,324</w:t>
            </w:r>
          </w:p>
        </w:tc>
        <w:tc>
          <w:tcPr>
            <w:tcW w:w="100" w:type="dxa"/>
            <w:vAlign w:val="bottom"/>
            <w:tcBorders>
              <w:top w:val="single" w:sz="8" w:color="CCEEFF"/>
            </w:tcBorders>
            <w:shd w:val="clear" w:color="auto" w:fill="CCEEFF"/>
          </w:tcPr>
          <w:p>
            <w:pPr>
              <w:spacing w:after="0"/>
              <w:rPr>
                <w:sz w:val="24"/>
                <w:szCs w:val="24"/>
                <w:color w:val="auto"/>
              </w:rPr>
            </w:pPr>
          </w:p>
        </w:tc>
        <w:tc>
          <w:tcPr>
            <w:tcW w:w="160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4"/>
                <w:szCs w:val="14"/>
                <w:color w:val="auto"/>
              </w:rPr>
              <w:t>210</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4 %</w:t>
            </w:r>
          </w:p>
        </w:tc>
        <w:tc>
          <w:tcPr>
            <w:tcW w:w="100" w:type="dxa"/>
            <w:vAlign w:val="bottom"/>
            <w:tcBorders>
              <w:top w:val="single" w:sz="8" w:color="CCEEFF"/>
            </w:tcBorders>
            <w:shd w:val="clear" w:color="auto" w:fill="CCEEFF"/>
          </w:tcPr>
          <w:p>
            <w:pPr>
              <w:spacing w:after="0"/>
              <w:rPr>
                <w:sz w:val="24"/>
                <w:szCs w:val="24"/>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924,090</w:t>
            </w:r>
          </w:p>
        </w:tc>
        <w:tc>
          <w:tcPr>
            <w:tcW w:w="100" w:type="dxa"/>
            <w:vAlign w:val="bottom"/>
            <w:tcBorders>
              <w:top w:val="single" w:sz="8" w:color="CCEEFF"/>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899,805</w:t>
            </w:r>
          </w:p>
        </w:tc>
        <w:tc>
          <w:tcPr>
            <w:tcW w:w="120" w:type="dxa"/>
            <w:vAlign w:val="bottom"/>
            <w:tcBorders>
              <w:top w:val="single" w:sz="8" w:color="CCEEFF"/>
            </w:tcBorders>
            <w:shd w:val="clear" w:color="auto" w:fill="CCEEFF"/>
          </w:tcPr>
          <w:p>
            <w:pPr>
              <w:spacing w:after="0"/>
              <w:rPr>
                <w:sz w:val="24"/>
                <w:szCs w:val="24"/>
                <w:color w:val="auto"/>
              </w:rPr>
            </w:pPr>
          </w:p>
        </w:tc>
        <w:tc>
          <w:tcPr>
            <w:tcW w:w="160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4"/>
                <w:szCs w:val="14"/>
                <w:color w:val="auto"/>
              </w:rPr>
              <w:t>24,285</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3 %</w:t>
            </w:r>
          </w:p>
        </w:tc>
        <w:tc>
          <w:tcPr>
            <w:tcW w:w="0" w:type="dxa"/>
            <w:vAlign w:val="bottom"/>
          </w:tcPr>
          <w:p>
            <w:pPr>
              <w:spacing w:after="0"/>
              <w:rPr>
                <w:sz w:val="1"/>
                <w:szCs w:val="1"/>
                <w:color w:val="auto"/>
              </w:rPr>
            </w:pPr>
          </w:p>
        </w:tc>
      </w:tr>
      <w:tr>
        <w:trPr>
          <w:trHeight w:val="337"/>
        </w:trPr>
        <w:tc>
          <w:tcPr>
            <w:tcW w:w="2340" w:type="dxa"/>
            <w:vAlign w:val="bottom"/>
          </w:tcPr>
          <w:p>
            <w:pPr>
              <w:ind w:left="20"/>
              <w:spacing w:after="0"/>
              <w:rPr>
                <w:sz w:val="20"/>
                <w:szCs w:val="20"/>
                <w:color w:val="auto"/>
              </w:rPr>
            </w:pPr>
            <w:r>
              <w:rPr>
                <w:rFonts w:ascii="Arial" w:cs="Arial" w:eastAsia="Arial" w:hAnsi="Arial"/>
                <w:sz w:val="14"/>
                <w:szCs w:val="14"/>
                <w:b w:val="1"/>
                <w:bCs w:val="1"/>
                <w:color w:val="auto"/>
              </w:rPr>
              <w:t>Asia Pacific</w:t>
            </w:r>
          </w:p>
        </w:tc>
        <w:tc>
          <w:tcPr>
            <w:tcW w:w="1160" w:type="dxa"/>
            <w:vAlign w:val="bottom"/>
          </w:tcPr>
          <w:p>
            <w:pPr>
              <w:jc w:val="right"/>
              <w:spacing w:after="0"/>
              <w:rPr>
                <w:sz w:val="20"/>
                <w:szCs w:val="20"/>
                <w:color w:val="auto"/>
              </w:rPr>
            </w:pPr>
            <w:r>
              <w:rPr>
                <w:rFonts w:ascii="Arial" w:cs="Arial" w:eastAsia="Arial" w:hAnsi="Arial"/>
                <w:sz w:val="14"/>
                <w:szCs w:val="14"/>
                <w:color w:val="auto"/>
              </w:rPr>
              <w:t>843</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782</w:t>
            </w:r>
          </w:p>
        </w:tc>
        <w:tc>
          <w:tcPr>
            <w:tcW w:w="100" w:type="dxa"/>
            <w:vAlign w:val="bottom"/>
          </w:tcPr>
          <w:p>
            <w:pPr>
              <w:spacing w:after="0"/>
              <w:rPr>
                <w:sz w:val="24"/>
                <w:szCs w:val="24"/>
                <w:color w:val="auto"/>
              </w:rPr>
            </w:pPr>
          </w:p>
        </w:tc>
        <w:tc>
          <w:tcPr>
            <w:tcW w:w="1600" w:type="dxa"/>
            <w:vAlign w:val="bottom"/>
          </w:tcPr>
          <w:p>
            <w:pPr>
              <w:jc w:val="right"/>
              <w:ind w:right="770"/>
              <w:spacing w:after="0"/>
              <w:rPr>
                <w:sz w:val="20"/>
                <w:szCs w:val="20"/>
                <w:color w:val="auto"/>
              </w:rPr>
            </w:pPr>
            <w:r>
              <w:rPr>
                <w:rFonts w:ascii="Arial" w:cs="Arial" w:eastAsia="Arial" w:hAnsi="Arial"/>
                <w:sz w:val="14"/>
                <w:szCs w:val="14"/>
                <w:color w:val="auto"/>
              </w:rPr>
              <w:t>61</w:t>
            </w:r>
          </w:p>
        </w:tc>
        <w:tc>
          <w:tcPr>
            <w:tcW w:w="260" w:type="dxa"/>
            <w:vAlign w:val="bottom"/>
          </w:tcPr>
          <w:p>
            <w:pPr>
              <w:jc w:val="right"/>
              <w:spacing w:after="0"/>
              <w:rPr>
                <w:sz w:val="20"/>
                <w:szCs w:val="20"/>
                <w:color w:val="auto"/>
              </w:rPr>
            </w:pPr>
            <w:r>
              <w:rPr>
                <w:rFonts w:ascii="Arial" w:cs="Arial" w:eastAsia="Arial" w:hAnsi="Arial"/>
                <w:sz w:val="14"/>
                <w:szCs w:val="14"/>
                <w:color w:val="auto"/>
                <w:w w:val="90"/>
              </w:rPr>
              <w:t>8 %</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237,044</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221,772</w:t>
            </w:r>
          </w:p>
        </w:tc>
        <w:tc>
          <w:tcPr>
            <w:tcW w:w="120" w:type="dxa"/>
            <w:vAlign w:val="bottom"/>
          </w:tcPr>
          <w:p>
            <w:pPr>
              <w:spacing w:after="0"/>
              <w:rPr>
                <w:sz w:val="24"/>
                <w:szCs w:val="24"/>
                <w:color w:val="auto"/>
              </w:rPr>
            </w:pPr>
          </w:p>
        </w:tc>
        <w:tc>
          <w:tcPr>
            <w:tcW w:w="1600" w:type="dxa"/>
            <w:vAlign w:val="bottom"/>
          </w:tcPr>
          <w:p>
            <w:pPr>
              <w:jc w:val="right"/>
              <w:ind w:right="770"/>
              <w:spacing w:after="0"/>
              <w:rPr>
                <w:sz w:val="20"/>
                <w:szCs w:val="20"/>
                <w:color w:val="auto"/>
              </w:rPr>
            </w:pPr>
            <w:r>
              <w:rPr>
                <w:rFonts w:ascii="Arial" w:cs="Arial" w:eastAsia="Arial" w:hAnsi="Arial"/>
                <w:sz w:val="14"/>
                <w:szCs w:val="14"/>
                <w:color w:val="auto"/>
              </w:rPr>
              <w:t>15,272</w:t>
            </w:r>
          </w:p>
        </w:tc>
        <w:tc>
          <w:tcPr>
            <w:tcW w:w="260" w:type="dxa"/>
            <w:vAlign w:val="bottom"/>
          </w:tcPr>
          <w:p>
            <w:pPr>
              <w:jc w:val="right"/>
              <w:spacing w:after="0"/>
              <w:rPr>
                <w:sz w:val="20"/>
                <w:szCs w:val="20"/>
                <w:color w:val="auto"/>
              </w:rPr>
            </w:pPr>
            <w:r>
              <w:rPr>
                <w:rFonts w:ascii="Arial" w:cs="Arial" w:eastAsia="Arial" w:hAnsi="Arial"/>
                <w:sz w:val="14"/>
                <w:szCs w:val="14"/>
                <w:color w:val="auto"/>
                <w:w w:val="90"/>
              </w:rPr>
              <w:t>7 %</w:t>
            </w:r>
          </w:p>
        </w:tc>
        <w:tc>
          <w:tcPr>
            <w:tcW w:w="0" w:type="dxa"/>
            <w:vAlign w:val="bottom"/>
          </w:tcPr>
          <w:p>
            <w:pPr>
              <w:spacing w:after="0"/>
              <w:rPr>
                <w:sz w:val="1"/>
                <w:szCs w:val="1"/>
                <w:color w:val="auto"/>
              </w:rPr>
            </w:pPr>
          </w:p>
        </w:tc>
      </w:tr>
      <w:tr>
        <w:trPr>
          <w:trHeight w:val="347"/>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EMEA</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770"/>
              <w:spacing w:after="0"/>
              <w:rPr>
                <w:sz w:val="20"/>
                <w:szCs w:val="20"/>
                <w:color w:val="auto"/>
              </w:rPr>
            </w:pPr>
            <w:r>
              <w:rPr>
                <w:rFonts w:ascii="Arial" w:cs="Arial" w:eastAsia="Arial" w:hAnsi="Arial"/>
                <w:sz w:val="14"/>
                <w:szCs w:val="14"/>
                <w:color w:val="auto"/>
              </w:rPr>
              <w:t>23</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3 %</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186,573</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184,091</w:t>
            </w: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770"/>
              <w:spacing w:after="0"/>
              <w:rPr>
                <w:sz w:val="20"/>
                <w:szCs w:val="20"/>
                <w:color w:val="auto"/>
              </w:rPr>
            </w:pPr>
            <w:r>
              <w:rPr>
                <w:rFonts w:ascii="Arial" w:cs="Arial" w:eastAsia="Arial" w:hAnsi="Arial"/>
                <w:sz w:val="14"/>
                <w:szCs w:val="14"/>
                <w:color w:val="auto"/>
              </w:rPr>
              <w:t>2,482</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1 %</w:t>
            </w:r>
          </w:p>
        </w:tc>
        <w:tc>
          <w:tcPr>
            <w:tcW w:w="0" w:type="dxa"/>
            <w:vAlign w:val="bottom"/>
          </w:tcPr>
          <w:p>
            <w:pPr>
              <w:spacing w:after="0"/>
              <w:rPr>
                <w:sz w:val="1"/>
                <w:szCs w:val="1"/>
                <w:color w:val="auto"/>
              </w:rPr>
            </w:pPr>
          </w:p>
        </w:tc>
      </w:tr>
      <w:tr>
        <w:trPr>
          <w:trHeight w:val="368"/>
        </w:trPr>
        <w:tc>
          <w:tcPr>
            <w:tcW w:w="2340" w:type="dxa"/>
            <w:vAlign w:val="bottom"/>
          </w:tcPr>
          <w:p>
            <w:pPr>
              <w:spacing w:after="0"/>
              <w:rPr>
                <w:sz w:val="20"/>
                <w:szCs w:val="20"/>
                <w:color w:val="auto"/>
              </w:rPr>
            </w:pPr>
            <w:r>
              <w:rPr>
                <w:rFonts w:ascii="Arial" w:cs="Arial" w:eastAsia="Arial" w:hAnsi="Arial"/>
                <w:sz w:val="18"/>
                <w:szCs w:val="18"/>
                <w:i w:val="1"/>
                <w:iCs w:val="1"/>
                <w:color w:val="auto"/>
              </w:rPr>
              <w:t>U.S. &amp; Canada</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U.S. &amp; Canada segment profits decreased primarily due to the following:</w:t>
      </w:r>
    </w:p>
    <w:p>
      <w:pPr>
        <w:spacing w:after="0" w:line="161" w:lineRule="exact"/>
        <w:rPr>
          <w:sz w:val="20"/>
          <w:szCs w:val="20"/>
          <w:color w:val="auto"/>
        </w:rPr>
      </w:pPr>
    </w:p>
    <w:p>
      <w:pPr>
        <w:ind w:left="640" w:right="180" w:hanging="319"/>
        <w:spacing w:after="0" w:line="297" w:lineRule="auto"/>
        <w:tabs>
          <w:tab w:leader="none" w:pos="6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$1,351 million of lower gross fee revenues (primarily reflecting lower comparable systemwide RevPAR and net house profits driven by decreases in both occupancy and ADR due to lower demand resulting from </w:t>
      </w:r>
      <w:r>
        <w:rPr>
          <w:rFonts w:ascii="Arial" w:cs="Arial" w:eastAsia="Arial" w:hAnsi="Arial"/>
          <w:sz w:val="18"/>
          <w:szCs w:val="18"/>
          <w:color w:val="auto"/>
        </w:rPr>
        <w:t>COVID-19</w:t>
      </w:r>
      <w:r>
        <w:rPr>
          <w:rFonts w:ascii="Arial" w:cs="Arial" w:eastAsia="Arial" w:hAnsi="Arial"/>
          <w:sz w:val="17"/>
          <w:szCs w:val="17"/>
          <w:color w:val="auto"/>
        </w:rPr>
        <w:t>, partially offset by unit growth of $32 million);</w:t>
      </w:r>
    </w:p>
    <w:p>
      <w:pPr>
        <w:spacing w:after="0" w:line="94" w:lineRule="exact"/>
        <w:rPr>
          <w:rFonts w:ascii="Arial" w:cs="Arial" w:eastAsia="Arial" w:hAnsi="Arial"/>
          <w:sz w:val="17"/>
          <w:szCs w:val="17"/>
          <w:color w:val="auto"/>
        </w:rPr>
      </w:pPr>
    </w:p>
    <w:p>
      <w:pPr>
        <w:ind w:left="640" w:hanging="3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$60 million of higher contract investment amortization costs (primarily reflecting higher contract impairment charges);</w:t>
      </w:r>
    </w:p>
    <w:p>
      <w:pPr>
        <w:spacing w:after="0" w:line="161" w:lineRule="exact"/>
        <w:rPr>
          <w:rFonts w:ascii="Arial" w:cs="Arial" w:eastAsia="Arial" w:hAnsi="Arial"/>
          <w:sz w:val="18"/>
          <w:szCs w:val="18"/>
          <w:color w:val="auto"/>
        </w:rPr>
      </w:pPr>
    </w:p>
    <w:p>
      <w:pPr>
        <w:ind w:left="640" w:right="280" w:hanging="319"/>
        <w:spacing w:after="0" w:line="261"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$158 million of lower owned, leased, and other revenue, net of direct expenses (including $19 million from hotels sold in the 2019 fourth and 2020 first quarters);</w:t>
      </w:r>
    </w:p>
    <w:p>
      <w:pPr>
        <w:spacing w:after="0" w:line="128"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$22 million of higher general, administrative, and other expenses (primarily reflecting $75 million of higher provision for credit losses and reserves for guarantee funding, partially offset by $48 million of lower administrative costs due to our cost reduction measures);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40" w:hanging="319"/>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$141 million of lower gains and other income, net (primarily reflecting a $134 million gain on the sale of two properties in 2019);</w:t>
      </w:r>
    </w:p>
    <w:p>
      <w:pPr>
        <w:spacing w:after="0" w:line="174" w:lineRule="exact"/>
        <w:rPr>
          <w:rFonts w:ascii="Arial" w:cs="Arial" w:eastAsia="Arial" w:hAnsi="Arial"/>
          <w:sz w:val="18"/>
          <w:szCs w:val="18"/>
          <w:color w:val="auto"/>
        </w:rPr>
      </w:pPr>
    </w:p>
    <w:p>
      <w:pPr>
        <w:ind w:left="620" w:hanging="299"/>
        <w:spacing w:after="0"/>
        <w:tabs>
          <w:tab w:leader="none" w:pos="620" w:val="left"/>
        </w:tabs>
        <w:numPr>
          <w:ilvl w:val="0"/>
          <w:numId w:val="11"/>
        </w:numPr>
        <w:rPr>
          <w:rFonts w:ascii="Arial" w:cs="Arial" w:eastAsia="Arial" w:hAnsi="Arial"/>
          <w:sz w:val="17"/>
          <w:szCs w:val="17"/>
          <w:b w:val="1"/>
          <w:bCs w:val="1"/>
          <w:i w:val="1"/>
          <w:iCs w:val="1"/>
          <w:color w:val="auto"/>
        </w:rPr>
      </w:pPr>
      <w:r>
        <w:rPr>
          <w:rFonts w:ascii="Arial" w:cs="Arial" w:eastAsia="Arial" w:hAnsi="Arial"/>
          <w:sz w:val="16"/>
          <w:szCs w:val="16"/>
          <w:color w:val="auto"/>
        </w:rPr>
        <w:t>$101 million of lower equity in (losses) earnings due to impairment charges ($60 million) and losses recorded by investees, primarily as a result of</w:t>
      </w:r>
    </w:p>
    <w:p>
      <w:pPr>
        <w:spacing w:after="0" w:line="26" w:lineRule="exact"/>
        <w:rPr>
          <w:rFonts w:ascii="Arial" w:cs="Arial" w:eastAsia="Arial" w:hAnsi="Arial"/>
          <w:sz w:val="17"/>
          <w:szCs w:val="17"/>
          <w:b w:val="1"/>
          <w:bCs w:val="1"/>
          <w:i w:val="1"/>
          <w:iCs w:val="1"/>
          <w:color w:val="auto"/>
        </w:rPr>
      </w:pPr>
    </w:p>
    <w:p>
      <w:pPr>
        <w:ind w:left="640"/>
        <w:spacing w:after="0"/>
        <w:rPr>
          <w:rFonts w:ascii="Arial" w:cs="Arial" w:eastAsia="Arial" w:hAnsi="Arial"/>
          <w:sz w:val="17"/>
          <w:szCs w:val="17"/>
          <w:b w:val="1"/>
          <w:bCs w:val="1"/>
          <w:i w:val="1"/>
          <w:iCs w:val="1"/>
          <w:color w:val="auto"/>
        </w:rPr>
      </w:pPr>
      <w:r>
        <w:rPr>
          <w:rFonts w:ascii="Arial" w:cs="Arial" w:eastAsia="Arial" w:hAnsi="Arial"/>
          <w:sz w:val="19"/>
          <w:szCs w:val="19"/>
          <w:color w:val="auto"/>
        </w:rPr>
        <w:t>COVID-19</w:t>
      </w:r>
      <w:r>
        <w:rPr>
          <w:rFonts w:ascii="Arial" w:cs="Arial" w:eastAsia="Arial" w:hAnsi="Arial"/>
          <w:sz w:val="17"/>
          <w:szCs w:val="17"/>
          <w:color w:val="auto"/>
        </w:rPr>
        <w:t>; and</w:t>
      </w:r>
    </w:p>
    <w:p>
      <w:pPr>
        <w:spacing w:after="0" w:line="151" w:lineRule="exact"/>
        <w:rPr>
          <w:rFonts w:ascii="Arial" w:cs="Arial" w:eastAsia="Arial" w:hAnsi="Arial"/>
          <w:sz w:val="17"/>
          <w:szCs w:val="17"/>
          <w:b w:val="1"/>
          <w:bCs w:val="1"/>
          <w:i w:val="1"/>
          <w:iCs w:val="1"/>
          <w:color w:val="auto"/>
        </w:rPr>
      </w:pPr>
    </w:p>
    <w:p>
      <w:pPr>
        <w:ind w:left="640" w:hanging="319"/>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$27 million of higher restructuring and merger-related charges;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partially offset by:</w:t>
      </w:r>
    </w:p>
    <w:p>
      <w:pPr>
        <w:spacing w:after="0" w:line="161" w:lineRule="exact"/>
        <w:rPr>
          <w:sz w:val="20"/>
          <w:szCs w:val="20"/>
          <w:color w:val="auto"/>
        </w:rPr>
      </w:pPr>
    </w:p>
    <w:p>
      <w:pPr>
        <w:ind w:left="640" w:hanging="3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$49 million of higher cost reimbursement revenue, net of reimbursed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40" w:hanging="319"/>
        <w:spacing w:after="0" w:line="269" w:lineRule="auto"/>
        <w:tabs>
          <w:tab w:leader="none" w:pos="6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$294 million of lower gross fee revenues (primarily reflecting lower comparable systemwide RevPAR and net house profits driven by decreases in both occupancy and ADR due to lower demand resulting from </w:t>
      </w:r>
      <w:r>
        <w:rPr>
          <w:rFonts w:ascii="Arial" w:cs="Arial" w:eastAsia="Arial" w:hAnsi="Arial"/>
          <w:sz w:val="19"/>
          <w:szCs w:val="19"/>
          <w:color w:val="auto"/>
        </w:rPr>
        <w:t>COVID-19</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$39 million of lower owned, leased, and other revenue, net of direct expenses;</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$9 million of lower cost reimbursement revenue, net of reimbursed expenses; and</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$25 million of lower equity in (losses) earnings;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partially offset by:</w:t>
      </w:r>
    </w:p>
    <w:p>
      <w:pPr>
        <w:spacing w:after="0" w:line="157" w:lineRule="exact"/>
        <w:rPr>
          <w:sz w:val="20"/>
          <w:szCs w:val="20"/>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$13 million of lower general, administrative, and other expenses (primarily reflecting lower expenses due to </w:t>
      </w:r>
      <w:r>
        <w:rPr>
          <w:rFonts w:ascii="Arial" w:cs="Arial" w:eastAsia="Arial" w:hAnsi="Arial"/>
          <w:sz w:val="19"/>
          <w:szCs w:val="19"/>
          <w:color w:val="auto"/>
        </w:rPr>
        <w:t>COVID-19</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40" w:hanging="319"/>
        <w:spacing w:after="0" w:line="269" w:lineRule="auto"/>
        <w:tabs>
          <w:tab w:leader="none" w:pos="6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$308 million of lower gross fee revenues (primarily reflecting lower comparable systemwide RevPAR and net house profits driven by decreases in both occupancy and ADR due to lower demand resulting from </w:t>
      </w:r>
      <w:r>
        <w:rPr>
          <w:rFonts w:ascii="Arial" w:cs="Arial" w:eastAsia="Arial" w:hAnsi="Arial"/>
          <w:sz w:val="19"/>
          <w:szCs w:val="19"/>
          <w:color w:val="auto"/>
        </w:rPr>
        <w:t>COVID-19</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$171 million of lower owned, leased, and other revenue, net of direct expenses;</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$25 million of lower cost reimbursement revenue, net of reimbursed expenses; and</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$11 million of lower equity in (losses) earnings;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partially offset by:</w:t>
      </w:r>
    </w:p>
    <w:p>
      <w:pPr>
        <w:spacing w:after="0" w:line="157" w:lineRule="exact"/>
        <w:rPr>
          <w:sz w:val="20"/>
          <w:szCs w:val="20"/>
          <w:color w:val="auto"/>
        </w:rPr>
      </w:pPr>
    </w:p>
    <w:p>
      <w:pPr>
        <w:ind w:left="640" w:right="20" w:hanging="319"/>
        <w:spacing w:after="0" w:line="268" w:lineRule="auto"/>
        <w:tabs>
          <w:tab w:leader="none" w:pos="6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$13 million of lower general, administrative, and other expenses (primarily reflecting lower expenses due to </w:t>
      </w:r>
      <w:r>
        <w:rPr>
          <w:rFonts w:ascii="Arial" w:cs="Arial" w:eastAsia="Arial" w:hAnsi="Arial"/>
          <w:sz w:val="19"/>
          <w:szCs w:val="19"/>
          <w:color w:val="auto"/>
        </w:rPr>
        <w:t>COVID-19</w:t>
      </w:r>
      <w:r>
        <w:rPr>
          <w:rFonts w:ascii="Arial" w:cs="Arial" w:eastAsia="Arial" w:hAnsi="Arial"/>
          <w:sz w:val="18"/>
          <w:szCs w:val="18"/>
          <w:color w:val="auto"/>
        </w:rPr>
        <w:t>, partially offset by a $24 million higher provision for credit losses).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Note 6 for more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2 for information on our adoption of new accounting standards.</w:t>
      </w:r>
    </w:p>
    <w:p>
      <w:pPr>
        <w:spacing w:after="0" w:line="200" w:lineRule="exact"/>
        <w:rPr>
          <w:sz w:val="20"/>
          <w:szCs w:val="20"/>
          <w:color w:val="auto"/>
        </w:rPr>
      </w:pPr>
    </w:p>
    <w:p>
      <w:pPr>
        <w:spacing w:after="0" w:line="3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20"/>
          </w:cols>
          <w:pgMar w:left="320" w:top="127" w:right="6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7" w:lineRule="exact"/>
        <w:rPr>
          <w:sz w:val="20"/>
          <w:szCs w:val="20"/>
          <w:color w:val="auto"/>
        </w:rPr>
      </w:pPr>
    </w:p>
    <w:p>
      <w:pPr>
        <w:ind w:firstLine="395"/>
        <w:spacing w:after="0" w:line="299" w:lineRule="auto"/>
        <w:rPr>
          <w:sz w:val="20"/>
          <w:szCs w:val="20"/>
          <w:color w:val="auto"/>
        </w:rPr>
      </w:pPr>
      <w:r>
        <w:rPr>
          <w:rFonts w:ascii="Arial" w:cs="Arial" w:eastAsia="Arial" w:hAnsi="Arial"/>
          <w:sz w:val="16"/>
          <w:szCs w:val="16"/>
          <w:color w:val="auto"/>
        </w:rPr>
        <w:t>Our long-term financial objectives include diversifying our financing sources, optimizing the mix and maturity of our long-term debt, and reducing our working capital. At year-end 2020, our long-term debt had a weighted average interest rate of 3.7 percent and a weighted average maturity of approximately 6.0 years. Including the effect of interest rate swaps, the ratio of our fixed-rate long-term debt to our total long-term debt was 0.8 to 1.0 at year-end 2020.</w:t>
      </w:r>
    </w:p>
    <w:p>
      <w:pPr>
        <w:spacing w:after="0" w:line="97" w:lineRule="exact"/>
        <w:rPr>
          <w:sz w:val="20"/>
          <w:szCs w:val="20"/>
          <w:color w:val="auto"/>
        </w:rPr>
      </w:pPr>
    </w:p>
    <w:p>
      <w:pPr>
        <w:ind w:right="500" w:firstLine="395"/>
        <w:spacing w:after="0" w:line="332" w:lineRule="auto"/>
        <w:rPr>
          <w:sz w:val="20"/>
          <w:szCs w:val="20"/>
          <w:color w:val="auto"/>
        </w:rPr>
      </w:pPr>
      <w:r>
        <w:rPr>
          <w:rFonts w:ascii="Arial" w:cs="Arial" w:eastAsia="Arial" w:hAnsi="Arial"/>
          <w:sz w:val="16"/>
          <w:szCs w:val="16"/>
          <w:color w:val="auto"/>
        </w:rPr>
        <w:t xml:space="preserve">In response to the negative impact </w:t>
      </w:r>
      <w:r>
        <w:rPr>
          <w:rFonts w:ascii="Arial" w:cs="Arial" w:eastAsia="Arial" w:hAnsi="Arial"/>
          <w:sz w:val="17"/>
          <w:szCs w:val="17"/>
          <w:color w:val="auto"/>
        </w:rPr>
        <w:t>COVID-19</w:t>
      </w:r>
      <w:r>
        <w:rPr>
          <w:rFonts w:ascii="Arial" w:cs="Arial" w:eastAsia="Arial" w:hAnsi="Arial"/>
          <w:sz w:val="16"/>
          <w:szCs w:val="16"/>
          <w:color w:val="auto"/>
        </w:rPr>
        <w:t xml:space="preserve"> had on our cash from operations in 2020, which we expect to continue to be negatively impacted as discussed above, we have taken numerous actions to preserve our financial flexibility and manage our debt maturities, which include:</w:t>
      </w:r>
    </w:p>
    <w:p>
      <w:pPr>
        <w:spacing w:after="0" w:line="72" w:lineRule="exact"/>
        <w:rPr>
          <w:sz w:val="20"/>
          <w:szCs w:val="20"/>
          <w:color w:val="auto"/>
        </w:rPr>
      </w:pPr>
    </w:p>
    <w:p>
      <w:pPr>
        <w:ind w:left="800" w:right="200" w:hanging="479"/>
        <w:spacing w:after="0" w:line="252" w:lineRule="auto"/>
        <w:tabs>
          <w:tab w:leader="none" w:pos="7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Substantially reducing our corporate general and administrative costs, reimbursed expenses we incur on behalf of our owners and franchisees, and our capital expenditures and other investment spending, and implementing restructuring plans, as we discuss under the “</w:t>
      </w:r>
      <w:r>
        <w:rPr>
          <w:rFonts w:ascii="Arial" w:cs="Arial" w:eastAsia="Arial" w:hAnsi="Arial"/>
          <w:sz w:val="18"/>
          <w:szCs w:val="18"/>
          <w:i w:val="1"/>
          <w:iCs w:val="1"/>
          <w:color w:val="auto"/>
        </w:rPr>
        <w:t>Impact of COVID-19</w:t>
      </w:r>
      <w:r>
        <w:rPr>
          <w:rFonts w:ascii="Arial" w:cs="Arial" w:eastAsia="Arial" w:hAnsi="Arial"/>
          <w:sz w:val="18"/>
          <w:szCs w:val="18"/>
          <w:color w:val="auto"/>
        </w:rPr>
        <w:t>” section above;</w:t>
      </w:r>
    </w:p>
    <w:p>
      <w:pPr>
        <w:spacing w:after="0" w:line="137" w:lineRule="exact"/>
        <w:rPr>
          <w:rFonts w:ascii="Arial" w:cs="Arial" w:eastAsia="Arial" w:hAnsi="Arial"/>
          <w:sz w:val="18"/>
          <w:szCs w:val="18"/>
          <w:color w:val="auto"/>
        </w:rPr>
      </w:pPr>
    </w:p>
    <w:p>
      <w:pPr>
        <w:ind w:left="800" w:hanging="479"/>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Suspending share repurchases and dividends until conditions improve and until permitted under our Credit Facility;</w:t>
      </w:r>
    </w:p>
    <w:p>
      <w:pPr>
        <w:spacing w:after="0" w:line="161" w:lineRule="exact"/>
        <w:rPr>
          <w:rFonts w:ascii="Arial" w:cs="Arial" w:eastAsia="Arial" w:hAnsi="Arial"/>
          <w:sz w:val="18"/>
          <w:szCs w:val="18"/>
          <w:color w:val="auto"/>
        </w:rPr>
      </w:pPr>
    </w:p>
    <w:p>
      <w:pPr>
        <w:ind w:left="800" w:hanging="479"/>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Drawing under the Credit Facility, as we discuss under the “Sources of Liquidity-Our Credit Facility” section below;</w:t>
      </w:r>
    </w:p>
    <w:p>
      <w:pPr>
        <w:spacing w:after="0" w:line="161" w:lineRule="exact"/>
        <w:rPr>
          <w:rFonts w:ascii="Arial" w:cs="Arial" w:eastAsia="Arial" w:hAnsi="Arial"/>
          <w:sz w:val="18"/>
          <w:szCs w:val="18"/>
          <w:color w:val="auto"/>
        </w:rPr>
      </w:pPr>
    </w:p>
    <w:p>
      <w:pPr>
        <w:ind w:left="800" w:right="200" w:hanging="479"/>
        <w:spacing w:after="0" w:line="261" w:lineRule="auto"/>
        <w:tabs>
          <w:tab w:leader="none" w:pos="7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Amending the Credit Facility to, among other things, waive the quarterly-tested leverage covenant in the Credit Facility through and including the fourth quarter of 2021, as we discuss under the “Sources of Liquidity-Our Credit Facility” section below;</w:t>
      </w:r>
    </w:p>
    <w:p>
      <w:pPr>
        <w:spacing w:after="0" w:line="128" w:lineRule="exact"/>
        <w:rPr>
          <w:rFonts w:ascii="Arial" w:cs="Arial" w:eastAsia="Arial" w:hAnsi="Arial"/>
          <w:sz w:val="18"/>
          <w:szCs w:val="18"/>
          <w:color w:val="auto"/>
        </w:rPr>
      </w:pPr>
    </w:p>
    <w:p>
      <w:pPr>
        <w:ind w:left="800" w:right="280" w:hanging="479"/>
        <w:spacing w:after="0" w:line="252" w:lineRule="auto"/>
        <w:tabs>
          <w:tab w:leader="none" w:pos="7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Issuing $3.6 billion aggregate principal amount of senior notes, and repurchasing and retiring approximately $853 million aggregate principal amount of the Company’s outstanding senior notes maturing in 2022, which we discuss under the “Sources of Liquidity - Senior Notes Issuances and Repurchases” section below; and</w:t>
      </w:r>
    </w:p>
    <w:p>
      <w:pPr>
        <w:spacing w:after="0" w:line="137" w:lineRule="exact"/>
        <w:rPr>
          <w:rFonts w:ascii="Arial" w:cs="Arial" w:eastAsia="Arial" w:hAnsi="Arial"/>
          <w:sz w:val="18"/>
          <w:szCs w:val="18"/>
          <w:color w:val="auto"/>
        </w:rPr>
      </w:pPr>
    </w:p>
    <w:p>
      <w:pPr>
        <w:ind w:left="800" w:right="240" w:hanging="479"/>
        <w:spacing w:after="0" w:line="261" w:lineRule="auto"/>
        <w:tabs>
          <w:tab w:leader="none" w:pos="7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Raising $920 million of cash by entering into amendments to the existing agreements for our U.S.-issued co-brand credit cards, which we discuss under the “Co-brand Credit Card Agreements” section below.</w:t>
      </w:r>
    </w:p>
    <w:p>
      <w:pPr>
        <w:spacing w:after="0" w:line="129" w:lineRule="exact"/>
        <w:rPr>
          <w:sz w:val="20"/>
          <w:szCs w:val="20"/>
          <w:color w:val="auto"/>
        </w:rPr>
      </w:pPr>
    </w:p>
    <w:p>
      <w:pPr>
        <w:ind w:firstLine="395"/>
        <w:spacing w:after="0" w:line="252" w:lineRule="auto"/>
        <w:rPr>
          <w:sz w:val="20"/>
          <w:szCs w:val="20"/>
          <w:color w:val="auto"/>
        </w:rPr>
      </w:pPr>
      <w:r>
        <w:rPr>
          <w:rFonts w:ascii="Arial" w:cs="Arial" w:eastAsia="Arial" w:hAnsi="Arial"/>
          <w:sz w:val="18"/>
          <w:szCs w:val="18"/>
          <w:color w:val="auto"/>
        </w:rPr>
        <w:t>We monitor the status of the capital markets and regularly evaluate the effect that changes in capital market conditions may have on our ability to fund our liquidity needs. We currently believe the Credit Facility, our cash on hand, and our access to capital markets remain adequate to meet our liquidity requirements.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Liquidity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Credit Facility</w:t>
      </w:r>
    </w:p>
    <w:p>
      <w:pPr>
        <w:spacing w:after="0" w:line="161" w:lineRule="exact"/>
        <w:rPr>
          <w:sz w:val="20"/>
          <w:szCs w:val="20"/>
          <w:color w:val="auto"/>
        </w:rPr>
      </w:pPr>
    </w:p>
    <w:p>
      <w:pPr>
        <w:ind w:right="400" w:firstLine="395"/>
        <w:spacing w:after="0" w:line="284" w:lineRule="auto"/>
        <w:rPr>
          <w:sz w:val="20"/>
          <w:szCs w:val="20"/>
          <w:color w:val="auto"/>
        </w:rPr>
      </w:pPr>
      <w:r>
        <w:rPr>
          <w:rFonts w:ascii="Arial" w:cs="Arial" w:eastAsia="Arial" w:hAnsi="Arial"/>
          <w:sz w:val="16"/>
          <w:szCs w:val="16"/>
          <w:color w:val="auto"/>
        </w:rPr>
        <w:t>Our Credit Facility provides for up to $4.5 billion of aggregate borrowings for general corporate needs, including to support our commercial paper program if and when we resume issuing commercial paper. Borrowings under the Credit Facility generally bear interest at LIBOR (the London Interbank Offered Rate) plus a spread, based on our public debt rating. We also pay quarterly fees on the Credit Facility at a rate based on our public debt rating. We classify outstanding borrowings under the Credit Facility and outstanding commercial paper borrowings as long-term based on our ability and intent to refinance the outstanding borrowings on a long-term basis. The Credit Facility expires on June 28, 2024. In 2020, we made borrowings of $4.5 billion and repayments of $3.6 billion, resulting in total outstanding borrowings under the Credit Facility of $0.9 billion as of December 31, 2020.</w:t>
      </w:r>
    </w:p>
    <w:p>
      <w:pPr>
        <w:spacing w:after="0" w:line="115" w:lineRule="exact"/>
        <w:rPr>
          <w:sz w:val="20"/>
          <w:szCs w:val="20"/>
          <w:color w:val="auto"/>
        </w:rPr>
      </w:pPr>
    </w:p>
    <w:p>
      <w:pPr>
        <w:ind w:right="140" w:firstLine="395"/>
        <w:spacing w:after="0" w:line="280" w:lineRule="auto"/>
        <w:rPr>
          <w:sz w:val="20"/>
          <w:szCs w:val="20"/>
          <w:color w:val="auto"/>
        </w:rPr>
      </w:pPr>
      <w:r>
        <w:rPr>
          <w:rFonts w:ascii="Arial" w:cs="Arial" w:eastAsia="Arial" w:hAnsi="Arial"/>
          <w:sz w:val="16"/>
          <w:szCs w:val="16"/>
          <w:color w:val="auto"/>
        </w:rPr>
        <w:t>The Credit Facility contains certain covenants, including a financial covenant that limits our maximum Leverage Ratio (as defined in the Credit Facility, and generally consisting of the ratio of Adjusted Total Debt to EBITDA, each as defined in the Credit Facility, and subject to additional adjustments as described therein). On April 13, 2020, we entered into an amendment to the Credit Facility (the “First Credit Facility Amendment”) under which the covenant governing the permitted Leverage Ratio is waived through and including the first quarter of 2021 (the “Covenant Waiver Period”), which waiver period may end sooner at our election, and the required leverage levels for such covenant are adjusted once re-imposed at the end of the Covenant Waiver Period (starting at 5.50 to 1.00 when the leverage test is first re-imposed and gradually stepping down to 4.00 to 1.00 over the succeeding seven fiscal quarters, as further described in the Credit Facility). The First Credit Facility Amendment also imposes a monthly-tested minimum liquidity covenant for the duration of the Covenant Waiver Period and makes certain other amendments to the terms of the Credit Facility, including increasing the interest and fees payable on the Credit Facility for the duration of the Covenant Waiver Period, tightening certain existing covenants and imposing additional covenants for the duration of the Covenant Waiver Period, including restricting dividends and share repurchases.</w:t>
      </w:r>
    </w:p>
    <w:p>
      <w:pPr>
        <w:spacing w:after="0" w:line="117" w:lineRule="exact"/>
        <w:rPr>
          <w:sz w:val="20"/>
          <w:szCs w:val="20"/>
          <w:color w:val="auto"/>
        </w:rPr>
      </w:pPr>
    </w:p>
    <w:p>
      <w:pPr>
        <w:ind w:right="240" w:firstLine="395"/>
        <w:spacing w:after="0" w:line="261" w:lineRule="auto"/>
        <w:rPr>
          <w:sz w:val="20"/>
          <w:szCs w:val="20"/>
          <w:color w:val="auto"/>
        </w:rPr>
      </w:pPr>
      <w:r>
        <w:rPr>
          <w:rFonts w:ascii="Arial" w:cs="Arial" w:eastAsia="Arial" w:hAnsi="Arial"/>
          <w:sz w:val="18"/>
          <w:szCs w:val="18"/>
          <w:color w:val="auto"/>
        </w:rPr>
        <w:t>On January 26, 2021, we entered into two more amendments to the Credit Facility (the “New Credit Facility Amendments,” and together with the First Credit Facility Amendment, the “Credit Facility Amendments”), which extend the</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Covenant Waiver Period through and including the fourth quarter of 2021 (which waiver period may end sooner at our election), revise the required leverage levels for such covenant when it is re-imposed at the end of the Covenant Waiver Period (starting at 5.50 to 1.00 when the leverage test is first re-imposed and gradually stepping down to 4.00 to 1.00 over the succeeding five fiscal quarters, as further described in the Credit Facility), and increase the minimum liquidity amount under the liquidity covenant that is tested monthly for the duration of the Covenant Waiver Period. The New Credit Facility Amendments also make certain other amendments to the terms of the Credit Facility, including reducing the rate floor for the LIBOR Daily Floating Rate and the Eurocurrency Rate.</w:t>
      </w:r>
    </w:p>
    <w:p>
      <w:pPr>
        <w:spacing w:after="0" w:line="97" w:lineRule="exact"/>
        <w:rPr>
          <w:sz w:val="20"/>
          <w:szCs w:val="20"/>
          <w:color w:val="auto"/>
        </w:rPr>
      </w:pPr>
    </w:p>
    <w:p>
      <w:pPr>
        <w:ind w:right="120" w:firstLine="395"/>
        <w:spacing w:after="0" w:line="261" w:lineRule="auto"/>
        <w:rPr>
          <w:sz w:val="20"/>
          <w:szCs w:val="20"/>
          <w:color w:val="auto"/>
        </w:rPr>
      </w:pPr>
      <w:r>
        <w:rPr>
          <w:rFonts w:ascii="Arial" w:cs="Arial" w:eastAsia="Arial" w:hAnsi="Arial"/>
          <w:sz w:val="18"/>
          <w:szCs w:val="18"/>
          <w:color w:val="auto"/>
        </w:rPr>
        <w:t>Our outstanding public debt does not contain a corresponding financial covenant or a requirement that we maintain certain financial ratios. We currently satisfy the covenants in our Credit Facility, including the liquidity covenant under the Credit Facility.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Issuances and Repurchases</w:t>
      </w:r>
    </w:p>
    <w:p>
      <w:pPr>
        <w:spacing w:after="0" w:line="161" w:lineRule="exact"/>
        <w:rPr>
          <w:sz w:val="20"/>
          <w:szCs w:val="20"/>
          <w:color w:val="auto"/>
        </w:rPr>
      </w:pPr>
    </w:p>
    <w:p>
      <w:pPr>
        <w:ind w:firstLine="395"/>
        <w:spacing w:after="0" w:line="250" w:lineRule="auto"/>
        <w:rPr>
          <w:sz w:val="20"/>
          <w:szCs w:val="20"/>
          <w:color w:val="auto"/>
        </w:rPr>
      </w:pPr>
      <w:r>
        <w:rPr>
          <w:rFonts w:ascii="Arial" w:cs="Arial" w:eastAsia="Arial" w:hAnsi="Arial"/>
          <w:sz w:val="18"/>
          <w:szCs w:val="18"/>
          <w:color w:val="auto"/>
        </w:rPr>
        <w:t>On April 16, 2020, we issued $1.6 billion aggregate principal amount of 5.750 percent Series EE Notes due May 1, 2025 (the “Series EE Notes”). We pay interest on the Series EE Notes in May and November of each year, commencing in November 2020. We received net proceeds of approximately $1.581 billion from the offering of the Series EE Notes, after deducting the underwriting discount and estimated expenses, which were made available for general corporate purposes.</w:t>
      </w:r>
    </w:p>
    <w:p>
      <w:pPr>
        <w:spacing w:after="0" w:line="138" w:lineRule="exact"/>
        <w:rPr>
          <w:sz w:val="20"/>
          <w:szCs w:val="20"/>
          <w:color w:val="auto"/>
        </w:rPr>
      </w:pPr>
    </w:p>
    <w:p>
      <w:pPr>
        <w:ind w:right="80" w:firstLine="395"/>
        <w:spacing w:after="0" w:line="291" w:lineRule="auto"/>
        <w:rPr>
          <w:sz w:val="20"/>
          <w:szCs w:val="20"/>
          <w:color w:val="auto"/>
        </w:rPr>
      </w:pPr>
      <w:r>
        <w:rPr>
          <w:rFonts w:ascii="Arial" w:cs="Arial" w:eastAsia="Arial" w:hAnsi="Arial"/>
          <w:sz w:val="16"/>
          <w:szCs w:val="16"/>
          <w:color w:val="auto"/>
        </w:rPr>
        <w:t>On June 1, 2020, we issued $1.0 billion aggregate principal amount of 4.625 percent Series FF Notes due June 15, 2030 (the “Series FF Notes”). We pay interest on the Series FF Notes in June and December of each year, commencing in December 2020. We received net proceeds of approximately $985 million from the offering of the Series FF Notes, after deducting the underwriting discount and estimated expenses. We used the majority of these proceeds to repurchase Senior Notes with near term maturities, as discussed below and in Note 10.</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June 2020, we completed a tender offer (the “Tender Offer”) and retired $853 million aggregate principal amount of our Senior Notes consisting of:</w:t>
      </w:r>
    </w:p>
    <w:p>
      <w:pPr>
        <w:spacing w:after="0" w:line="184" w:lineRule="exact"/>
        <w:rPr>
          <w:sz w:val="20"/>
          <w:szCs w:val="20"/>
          <w:color w:val="auto"/>
        </w:rPr>
      </w:pPr>
    </w:p>
    <w:p>
      <w:pPr>
        <w:ind w:left="640" w:hanging="240"/>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$351 million of our 2.3% Series Q Notes maturing January 15, 2022;</w:t>
      </w:r>
    </w:p>
    <w:p>
      <w:pPr>
        <w:spacing w:after="0" w:line="161" w:lineRule="exact"/>
        <w:rPr>
          <w:rFonts w:ascii="Arial" w:cs="Arial" w:eastAsia="Arial" w:hAnsi="Arial"/>
          <w:sz w:val="18"/>
          <w:szCs w:val="18"/>
          <w:color w:val="auto"/>
        </w:rPr>
      </w:pPr>
    </w:p>
    <w:p>
      <w:pPr>
        <w:ind w:left="640" w:hanging="240"/>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$176 million of our 3.3% Series L Notes maturing September 15, 2022; and</w:t>
      </w:r>
    </w:p>
    <w:p>
      <w:pPr>
        <w:spacing w:after="0" w:line="161" w:lineRule="exact"/>
        <w:rPr>
          <w:rFonts w:ascii="Arial" w:cs="Arial" w:eastAsia="Arial" w:hAnsi="Arial"/>
          <w:sz w:val="18"/>
          <w:szCs w:val="18"/>
          <w:color w:val="auto"/>
        </w:rPr>
      </w:pPr>
    </w:p>
    <w:p>
      <w:pPr>
        <w:ind w:left="640" w:hanging="240"/>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$326 million of our 2.1% Series DD Notes maturing October 3, 2022.</w:t>
      </w:r>
    </w:p>
    <w:p>
      <w:pPr>
        <w:spacing w:after="0" w:line="161" w:lineRule="exact"/>
        <w:rPr>
          <w:sz w:val="20"/>
          <w:szCs w:val="20"/>
          <w:color w:val="auto"/>
        </w:rPr>
      </w:pPr>
    </w:p>
    <w:p>
      <w:pPr>
        <w:ind w:right="120" w:firstLine="395"/>
        <w:spacing w:after="0" w:line="261" w:lineRule="auto"/>
        <w:rPr>
          <w:sz w:val="20"/>
          <w:szCs w:val="20"/>
          <w:color w:val="auto"/>
        </w:rPr>
      </w:pPr>
      <w:r>
        <w:rPr>
          <w:rFonts w:ascii="Arial" w:cs="Arial" w:eastAsia="Arial" w:hAnsi="Arial"/>
          <w:sz w:val="18"/>
          <w:szCs w:val="18"/>
          <w:color w:val="auto"/>
        </w:rPr>
        <w:t>We used proceeds from our Series FF Notes offering to complete the repurchase of such notes, including the payment of accrued interest and other costs incurred.</w:t>
      </w:r>
    </w:p>
    <w:p>
      <w:pPr>
        <w:spacing w:after="0" w:line="129" w:lineRule="exact"/>
        <w:rPr>
          <w:sz w:val="20"/>
          <w:szCs w:val="20"/>
          <w:color w:val="auto"/>
        </w:rPr>
      </w:pPr>
    </w:p>
    <w:p>
      <w:pPr>
        <w:ind w:right="20" w:firstLine="395"/>
        <w:spacing w:after="0" w:line="291" w:lineRule="auto"/>
        <w:rPr>
          <w:sz w:val="20"/>
          <w:szCs w:val="20"/>
          <w:color w:val="auto"/>
        </w:rPr>
      </w:pPr>
      <w:r>
        <w:rPr>
          <w:rFonts w:ascii="Arial" w:cs="Arial" w:eastAsia="Arial" w:hAnsi="Arial"/>
          <w:sz w:val="16"/>
          <w:szCs w:val="16"/>
          <w:color w:val="auto"/>
        </w:rPr>
        <w:t>On August 14, 2020, we issued $1.0 billion aggregate principal amount of 3.500 percent Series GG Notes due October 15, 2032 (the “Series GG Notes”). We will pay interest on the Series GG Notes in April and October of each year, commencing in April 2021. We received net proceeds of approximately $984 million from the offering of the Series GG Notes, after deducting the underwriting discount and estimated expenses, which were made available for general corporate purposes, including the repayment of a portion of our outstanding borrowings under the Credit Facility.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Paper</w:t>
      </w:r>
    </w:p>
    <w:p>
      <w:pPr>
        <w:spacing w:after="0" w:line="157" w:lineRule="exact"/>
        <w:rPr>
          <w:sz w:val="20"/>
          <w:szCs w:val="20"/>
          <w:color w:val="auto"/>
        </w:rPr>
      </w:pPr>
    </w:p>
    <w:p>
      <w:pPr>
        <w:ind w:right="140" w:firstLine="395"/>
        <w:spacing w:after="0" w:line="370" w:lineRule="auto"/>
        <w:rPr>
          <w:sz w:val="20"/>
          <w:szCs w:val="20"/>
          <w:color w:val="auto"/>
        </w:rPr>
      </w:pPr>
      <w:r>
        <w:rPr>
          <w:rFonts w:ascii="Arial" w:cs="Arial" w:eastAsia="Arial" w:hAnsi="Arial"/>
          <w:sz w:val="15"/>
          <w:szCs w:val="15"/>
          <w:color w:val="auto"/>
        </w:rPr>
        <w:t xml:space="preserve">Due to changes to our credit ratings as a result of the impact of </w:t>
      </w:r>
      <w:r>
        <w:rPr>
          <w:rFonts w:ascii="Arial" w:cs="Arial" w:eastAsia="Arial" w:hAnsi="Arial"/>
          <w:sz w:val="16"/>
          <w:szCs w:val="16"/>
          <w:color w:val="auto"/>
        </w:rPr>
        <w:t>COVID-19</w:t>
      </w:r>
      <w:r>
        <w:rPr>
          <w:rFonts w:ascii="Arial" w:cs="Arial" w:eastAsia="Arial" w:hAnsi="Arial"/>
          <w:sz w:val="15"/>
          <w:szCs w:val="15"/>
          <w:color w:val="auto"/>
        </w:rPr>
        <w:t xml:space="preserve"> on our business, we currently are not issuing commercial paper. As a result, we have had to rely more on borrowings under the Credit Facility and issuance of senior notes, which carry higher interest costs than our commercial paper.</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Co-brand Credit Card Agreements</w:t>
      </w:r>
    </w:p>
    <w:p>
      <w:pPr>
        <w:spacing w:after="0" w:line="161" w:lineRule="exact"/>
        <w:rPr>
          <w:sz w:val="20"/>
          <w:szCs w:val="20"/>
          <w:color w:val="auto"/>
        </w:rPr>
      </w:pPr>
    </w:p>
    <w:p>
      <w:pPr>
        <w:ind w:right="220" w:firstLine="395"/>
        <w:spacing w:after="0" w:line="291" w:lineRule="auto"/>
        <w:rPr>
          <w:sz w:val="20"/>
          <w:szCs w:val="20"/>
          <w:color w:val="auto"/>
        </w:rPr>
      </w:pPr>
      <w:r>
        <w:rPr>
          <w:rFonts w:ascii="Arial" w:cs="Arial" w:eastAsia="Arial" w:hAnsi="Arial"/>
          <w:sz w:val="16"/>
          <w:szCs w:val="16"/>
          <w:color w:val="auto"/>
        </w:rPr>
        <w:t>In May 2020, we signed amendments to the existing agreements for our U.S.-issued co-brand credit cards associated with our Loyalty Program. These amendments provided the Company with $920 million of cash from the prepayment of certain future revenues, the early payment of a previously committed signing bonus, and the pre-purchase of Marriott Bonvoy points and other consideration. We recorded the amount of cash received primarily in the deferred revenue caption, and the remainder in the liability for guest loyalty program captions, on our Balance Sheet.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Uses of Cash</w:t>
      </w:r>
    </w:p>
    <w:p>
      <w:pPr>
        <w:spacing w:after="0" w:line="167" w:lineRule="exact"/>
        <w:rPr>
          <w:sz w:val="20"/>
          <w:szCs w:val="20"/>
          <w:color w:val="auto"/>
        </w:rPr>
      </w:pPr>
    </w:p>
    <w:p>
      <w:pPr>
        <w:ind w:right="420" w:firstLine="395"/>
        <w:spacing w:after="0" w:line="250" w:lineRule="auto"/>
        <w:rPr>
          <w:sz w:val="20"/>
          <w:szCs w:val="20"/>
          <w:color w:val="auto"/>
        </w:rPr>
      </w:pPr>
      <w:r>
        <w:rPr>
          <w:rFonts w:ascii="Arial" w:cs="Arial" w:eastAsia="Arial" w:hAnsi="Arial"/>
          <w:sz w:val="18"/>
          <w:szCs w:val="18"/>
          <w:color w:val="auto"/>
        </w:rPr>
        <w:t>Cash, cash equivalents, and restricted cash totaled $894 million at December 31, 2020, an increase of $641 million from year-end 2019, primarily reflecting Senior Notes issuances, net of repayments ($1,797 million), Credit Facility borrowings, net of repayments ($900 million), net cash provided by operating activities ($1,639 million), and dispositions ($260 million). The following cash outflows partially offset these cash inflows: commercial paper repayments, net of borrowings ($3,190 million),</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spacing w:after="0" w:line="324" w:lineRule="auto"/>
        <w:rPr>
          <w:sz w:val="20"/>
          <w:szCs w:val="20"/>
          <w:color w:val="auto"/>
        </w:rPr>
      </w:pPr>
      <w:r>
        <w:rPr>
          <w:rFonts w:ascii="Arial" w:cs="Arial" w:eastAsia="Arial" w:hAnsi="Arial"/>
          <w:sz w:val="16"/>
          <w:szCs w:val="16"/>
          <w:color w:val="auto"/>
        </w:rPr>
        <w:t>dividend payments ($156 million), purchase of treasury stock ($150 million), capital and technology expenditures ($135 million), other debt repayments, net of borrowings ($123 million), and financing outflows for employee stock-based compensation withholding taxes ($103 million).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Operations</w:t>
      </w:r>
    </w:p>
    <w:p>
      <w:pPr>
        <w:spacing w:after="0" w:line="161" w:lineRule="exact"/>
        <w:rPr>
          <w:sz w:val="20"/>
          <w:szCs w:val="20"/>
          <w:color w:val="auto"/>
        </w:rPr>
      </w:pPr>
    </w:p>
    <w:p>
      <w:pPr>
        <w:ind w:right="200" w:firstLine="395"/>
        <w:spacing w:after="0" w:line="286" w:lineRule="auto"/>
        <w:rPr>
          <w:sz w:val="20"/>
          <w:szCs w:val="20"/>
          <w:color w:val="auto"/>
        </w:rPr>
      </w:pPr>
      <w:r>
        <w:rPr>
          <w:rFonts w:ascii="Arial" w:cs="Arial" w:eastAsia="Arial" w:hAnsi="Arial"/>
          <w:sz w:val="16"/>
          <w:szCs w:val="16"/>
          <w:color w:val="auto"/>
        </w:rPr>
        <w:t xml:space="preserve">Net cash provided by operating activities decreased by $46 million in 2020 compared to 2019, primarily due to the net loss that we recorded in 2020 (adjusted for non-cash items) due to </w:t>
      </w:r>
      <w:r>
        <w:rPr>
          <w:rFonts w:ascii="Arial" w:cs="Arial" w:eastAsia="Arial" w:hAnsi="Arial"/>
          <w:sz w:val="17"/>
          <w:szCs w:val="17"/>
          <w:color w:val="auto"/>
        </w:rPr>
        <w:t>COVID-19</w:t>
      </w:r>
      <w:r>
        <w:rPr>
          <w:rFonts w:ascii="Arial" w:cs="Arial" w:eastAsia="Arial" w:hAnsi="Arial"/>
          <w:sz w:val="16"/>
          <w:szCs w:val="16"/>
          <w:color w:val="auto"/>
        </w:rPr>
        <w:t>, partially offset by net cash inflows from our Loyalty Program, including the one-time cash payments as a result of the amendments to our co-brand credit card agreements discussed in Note 2, a cash benefit from working capital changes, and lower cash paid for income taxes. Working capital changes primarily reflect lower accounts receivable due to lower fee and cost reimbursement revenues and a higher allowance for credit losses, lower accounts payable due to lower purchasing activity, and lower bonus accruals.</w:t>
      </w:r>
    </w:p>
    <w:p>
      <w:pPr>
        <w:spacing w:after="0" w:line="114" w:lineRule="exact"/>
        <w:rPr>
          <w:sz w:val="20"/>
          <w:szCs w:val="20"/>
          <w:color w:val="auto"/>
        </w:rPr>
      </w:pPr>
    </w:p>
    <w:p>
      <w:pPr>
        <w:ind w:right="40" w:firstLine="395"/>
        <w:spacing w:after="0" w:line="261" w:lineRule="auto"/>
        <w:rPr>
          <w:sz w:val="20"/>
          <w:szCs w:val="20"/>
          <w:color w:val="auto"/>
        </w:rPr>
      </w:pPr>
      <w:r>
        <w:rPr>
          <w:rFonts w:ascii="Arial" w:cs="Arial" w:eastAsia="Arial" w:hAnsi="Arial"/>
          <w:sz w:val="18"/>
          <w:szCs w:val="18"/>
          <w:color w:val="auto"/>
        </w:rPr>
        <w:t>Our ratio of current assets to current liabilities was 0.5 to 1.0 at both year-end 2020 and year-end 2019. We have significant borrowing capacity under our Credit Facility should we need additional working capital.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 Cash Flows</w:t>
      </w:r>
    </w:p>
    <w:p>
      <w:pPr>
        <w:spacing w:after="0" w:line="155" w:lineRule="exact"/>
        <w:rPr>
          <w:sz w:val="20"/>
          <w:szCs w:val="20"/>
          <w:color w:val="auto"/>
        </w:rPr>
      </w:pPr>
    </w:p>
    <w:p>
      <w:pPr>
        <w:ind w:right="100" w:firstLine="395"/>
        <w:spacing w:after="0" w:line="303" w:lineRule="auto"/>
        <w:rPr>
          <w:sz w:val="20"/>
          <w:szCs w:val="20"/>
          <w:color w:val="auto"/>
        </w:rPr>
      </w:pPr>
      <w:r>
        <w:rPr>
          <w:rFonts w:ascii="Arial" w:cs="Arial" w:eastAsia="Arial" w:hAnsi="Arial"/>
          <w:sz w:val="16"/>
          <w:szCs w:val="16"/>
          <w:b w:val="1"/>
          <w:bCs w:val="1"/>
          <w:color w:val="auto"/>
        </w:rPr>
        <w:t xml:space="preserve">Capital Expenditures and Other Investments. </w:t>
      </w:r>
      <w:r>
        <w:rPr>
          <w:rFonts w:ascii="Arial" w:cs="Arial" w:eastAsia="Arial" w:hAnsi="Arial"/>
          <w:sz w:val="16"/>
          <w:szCs w:val="16"/>
          <w:color w:val="auto"/>
        </w:rPr>
        <w:t>We made capital expenditures, including expenditures on technology, of $135 million in 2020 and $653</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in 2019. Capital expenditures in 2020 decreased by $518 million compared to 2019, primarily reflecting the net lower spending on owned and leased properties and our worldwide systems and the 2019 acquisitions of a U.S. &amp; Canada property and Elegant Hotels Group plc (“Elegant”).</w:t>
      </w:r>
    </w:p>
    <w:p>
      <w:pPr>
        <w:spacing w:after="0" w:line="99" w:lineRule="exact"/>
        <w:rPr>
          <w:sz w:val="20"/>
          <w:szCs w:val="20"/>
          <w:color w:val="auto"/>
        </w:rPr>
      </w:pPr>
    </w:p>
    <w:p>
      <w:pPr>
        <w:ind w:right="60" w:firstLine="434"/>
        <w:spacing w:after="0" w:line="252" w:lineRule="auto"/>
        <w:rPr>
          <w:sz w:val="20"/>
          <w:szCs w:val="20"/>
          <w:color w:val="auto"/>
        </w:rPr>
      </w:pPr>
      <w:r>
        <w:rPr>
          <w:rFonts w:ascii="Arial" w:cs="Arial" w:eastAsia="Arial" w:hAnsi="Arial"/>
          <w:sz w:val="18"/>
          <w:szCs w:val="18"/>
          <w:color w:val="auto"/>
        </w:rPr>
        <w:t>We expect spending on capital expenditures and other investments will total approximately $575 million to $650 million for 2021, including contract acquisition costs, equity and other investments, loan advances, and various capital expenditures (including approximately $220 million for maintenance capital spending and our new headquarters).</w:t>
      </w:r>
    </w:p>
    <w:p>
      <w:pPr>
        <w:spacing w:after="0" w:line="138" w:lineRule="exact"/>
        <w:rPr>
          <w:sz w:val="20"/>
          <w:szCs w:val="20"/>
          <w:color w:val="auto"/>
        </w:rPr>
      </w:pPr>
    </w:p>
    <w:p>
      <w:pPr>
        <w:ind w:firstLine="434"/>
        <w:spacing w:after="0" w:line="281" w:lineRule="auto"/>
        <w:rPr>
          <w:sz w:val="20"/>
          <w:szCs w:val="20"/>
          <w:color w:val="auto"/>
        </w:rPr>
      </w:pPr>
      <w:r>
        <w:rPr>
          <w:rFonts w:ascii="Arial" w:cs="Arial" w:eastAsia="Arial" w:hAnsi="Arial"/>
          <w:sz w:val="16"/>
          <w:szCs w:val="16"/>
          <w:color w:val="auto"/>
        </w:rPr>
        <w:t>Over time, we have sold lodging properties, both completed and under development, subject to long-term management agreements. The ability of third-party purchasers to raise the debt and equity capital necessary to acquire such properties depends in part on the perceived risks in the lodging industry and other constraints inherent in the capital markets. We monitor the status of the capital markets and regularly evaluate the potential impact of changes in capital market conditions on our business operations. In the Starwood Combination, we acquired various hotels and equity interests in various hotels, many of which we have sold or are seeking to sell. We have made, and expect to continue making, selective and opportunistic investments to add units to our lodging business, which may include property acquisitions and renovations (such as our 2019 acquisitions of the W New York - Union Square and Elegant), new construction, loans, guarantees, and noncontrolling equity investments. Over time, we seek to minimize capital invested in our business through asset sales subject to long-term management or franchise agreements.</w:t>
      </w:r>
    </w:p>
    <w:p>
      <w:pPr>
        <w:spacing w:after="0" w:line="113" w:lineRule="exact"/>
        <w:rPr>
          <w:sz w:val="20"/>
          <w:szCs w:val="20"/>
          <w:color w:val="auto"/>
        </w:rPr>
      </w:pPr>
    </w:p>
    <w:p>
      <w:pPr>
        <w:ind w:right="420" w:firstLine="434"/>
        <w:spacing w:after="0" w:line="268" w:lineRule="auto"/>
        <w:rPr>
          <w:sz w:val="20"/>
          <w:szCs w:val="20"/>
          <w:color w:val="auto"/>
        </w:rPr>
      </w:pPr>
      <w:r>
        <w:rPr>
          <w:rFonts w:ascii="Arial" w:cs="Arial" w:eastAsia="Arial" w:hAnsi="Arial"/>
          <w:sz w:val="18"/>
          <w:szCs w:val="18"/>
          <w:b w:val="1"/>
          <w:bCs w:val="1"/>
          <w:color w:val="auto"/>
        </w:rPr>
        <w:t xml:space="preserve">Dispositions. </w:t>
      </w:r>
      <w:r>
        <w:rPr>
          <w:rFonts w:ascii="Arial" w:cs="Arial" w:eastAsia="Arial" w:hAnsi="Arial"/>
          <w:sz w:val="18"/>
          <w:szCs w:val="18"/>
          <w:color w:val="auto"/>
        </w:rPr>
        <w:t>Property and asset sales generated $260 million cash proceeds in 2020 and $395 million in 2019. See Note 4 for more information on</w:t>
      </w:r>
      <w:r>
        <w:rPr>
          <w:rFonts w:ascii="Arial" w:cs="Arial" w:eastAsia="Arial" w:hAnsi="Arial"/>
          <w:sz w:val="18"/>
          <w:szCs w:val="18"/>
          <w:b w:val="1"/>
          <w:bCs w:val="1"/>
          <w:color w:val="auto"/>
        </w:rPr>
        <w:t xml:space="preserve"> </w:t>
      </w:r>
      <w:r>
        <w:rPr>
          <w:rFonts w:ascii="Arial" w:cs="Arial" w:eastAsia="Arial" w:hAnsi="Arial"/>
          <w:sz w:val="18"/>
          <w:szCs w:val="18"/>
          <w:color w:val="auto"/>
        </w:rPr>
        <w:t>dispositions.</w:t>
      </w:r>
    </w:p>
    <w:p>
      <w:pPr>
        <w:spacing w:after="0" w:line="117" w:lineRule="exact"/>
        <w:rPr>
          <w:sz w:val="20"/>
          <w:szCs w:val="20"/>
          <w:color w:val="auto"/>
        </w:rPr>
      </w:pPr>
    </w:p>
    <w:p>
      <w:pPr>
        <w:ind w:right="160" w:firstLine="434"/>
        <w:spacing w:after="0" w:line="256" w:lineRule="auto"/>
        <w:rPr>
          <w:sz w:val="20"/>
          <w:szCs w:val="20"/>
          <w:color w:val="auto"/>
        </w:rPr>
      </w:pPr>
      <w:r>
        <w:rPr>
          <w:rFonts w:ascii="Arial" w:cs="Arial" w:eastAsia="Arial" w:hAnsi="Arial"/>
          <w:sz w:val="18"/>
          <w:szCs w:val="18"/>
          <w:b w:val="1"/>
          <w:bCs w:val="1"/>
          <w:color w:val="auto"/>
        </w:rPr>
        <w:t xml:space="preserve">Loan Activity. </w:t>
      </w:r>
      <w:r>
        <w:rPr>
          <w:rFonts w:ascii="Arial" w:cs="Arial" w:eastAsia="Arial" w:hAnsi="Arial"/>
          <w:sz w:val="18"/>
          <w:szCs w:val="18"/>
          <w:color w:val="auto"/>
        </w:rPr>
        <w:t>From time to time, we make loans to owners of hotels that we operate or franchise. Loan advances, net of loan collections, amounted to</w:t>
      </w:r>
      <w:r>
        <w:rPr>
          <w:rFonts w:ascii="Arial" w:cs="Arial" w:eastAsia="Arial" w:hAnsi="Arial"/>
          <w:sz w:val="18"/>
          <w:szCs w:val="18"/>
          <w:b w:val="1"/>
          <w:bCs w:val="1"/>
          <w:color w:val="auto"/>
        </w:rPr>
        <w:t xml:space="preserve"> </w:t>
      </w:r>
      <w:r>
        <w:rPr>
          <w:rFonts w:ascii="Arial" w:cs="Arial" w:eastAsia="Arial" w:hAnsi="Arial"/>
          <w:sz w:val="18"/>
          <w:szCs w:val="18"/>
          <w:color w:val="auto"/>
        </w:rPr>
        <w:t>$33 million in 2020, compared to net collections of $21 million in 2019. At year-end 2020, we had $163 million of senior, mezzanine, and other loans outstanding, compared to $126 million outstanding at year-end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 Cash Flows</w:t>
      </w:r>
    </w:p>
    <w:p>
      <w:pPr>
        <w:spacing w:after="0" w:line="155" w:lineRule="exact"/>
        <w:rPr>
          <w:sz w:val="20"/>
          <w:szCs w:val="20"/>
          <w:color w:val="auto"/>
        </w:rPr>
      </w:pPr>
    </w:p>
    <w:p>
      <w:pPr>
        <w:ind w:right="40" w:firstLine="434"/>
        <w:spacing w:after="0" w:line="332" w:lineRule="auto"/>
        <w:rPr>
          <w:sz w:val="20"/>
          <w:szCs w:val="20"/>
          <w:color w:val="auto"/>
        </w:rPr>
      </w:pPr>
      <w:r>
        <w:rPr>
          <w:rFonts w:ascii="Arial" w:cs="Arial" w:eastAsia="Arial" w:hAnsi="Arial"/>
          <w:sz w:val="16"/>
          <w:szCs w:val="16"/>
          <w:b w:val="1"/>
          <w:bCs w:val="1"/>
          <w:color w:val="auto"/>
        </w:rPr>
        <w:t xml:space="preserve">Debt. </w:t>
      </w:r>
      <w:r>
        <w:rPr>
          <w:rFonts w:ascii="Arial" w:cs="Arial" w:eastAsia="Arial" w:hAnsi="Arial"/>
          <w:sz w:val="16"/>
          <w:szCs w:val="16"/>
          <w:color w:val="auto"/>
        </w:rPr>
        <w:t>Debt decreased by $564 million in 2020, to $10,376 million at year-end 2020 from $10,940 million at year-end 2019. See “</w:t>
      </w:r>
      <w:r>
        <w:rPr>
          <w:rFonts w:ascii="Arial" w:cs="Arial" w:eastAsia="Arial" w:hAnsi="Arial"/>
          <w:sz w:val="16"/>
          <w:szCs w:val="16"/>
          <w:b w:val="1"/>
          <w:bCs w:val="1"/>
          <w:color w:val="auto"/>
        </w:rPr>
        <w:t>Sources of Liquidity</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caption in this “Liquidity and Capital Resources” section and Note 10 for additional information on the Senior Note and Credit Facility transactions in 2020.</w:t>
      </w:r>
    </w:p>
    <w:p>
      <w:pPr>
        <w:spacing w:after="0" w:line="70" w:lineRule="exact"/>
        <w:rPr>
          <w:sz w:val="20"/>
          <w:szCs w:val="20"/>
          <w:color w:val="auto"/>
        </w:rPr>
      </w:pPr>
    </w:p>
    <w:p>
      <w:pPr>
        <w:ind w:right="80" w:firstLine="434"/>
        <w:spacing w:after="0" w:line="250" w:lineRule="auto"/>
        <w:rPr>
          <w:sz w:val="20"/>
          <w:szCs w:val="20"/>
          <w:color w:val="auto"/>
        </w:rPr>
      </w:pPr>
      <w:r>
        <w:rPr>
          <w:rFonts w:ascii="Arial" w:cs="Arial" w:eastAsia="Arial" w:hAnsi="Arial"/>
          <w:sz w:val="18"/>
          <w:szCs w:val="18"/>
          <w:b w:val="1"/>
          <w:bCs w:val="1"/>
          <w:color w:val="auto"/>
        </w:rPr>
        <w:t xml:space="preserve">Share Repurchases. </w:t>
      </w:r>
      <w:r>
        <w:rPr>
          <w:rFonts w:ascii="Arial" w:cs="Arial" w:eastAsia="Arial" w:hAnsi="Arial"/>
          <w:sz w:val="18"/>
          <w:szCs w:val="18"/>
          <w:color w:val="auto"/>
        </w:rPr>
        <w:t>We purchased 1.0 million shares of our common stock in 2020 (in the 2020 first quarter) at an average price of $145.42 per share</w:t>
      </w:r>
      <w:r>
        <w:rPr>
          <w:rFonts w:ascii="Arial" w:cs="Arial" w:eastAsia="Arial" w:hAnsi="Arial"/>
          <w:sz w:val="18"/>
          <w:szCs w:val="18"/>
          <w:b w:val="1"/>
          <w:bCs w:val="1"/>
          <w:color w:val="auto"/>
        </w:rPr>
        <w:t xml:space="preserve"> </w:t>
      </w:r>
      <w:r>
        <w:rPr>
          <w:rFonts w:ascii="Arial" w:cs="Arial" w:eastAsia="Arial" w:hAnsi="Arial"/>
          <w:sz w:val="18"/>
          <w:szCs w:val="18"/>
          <w:color w:val="auto"/>
        </w:rPr>
        <w:t>and 17.3 million shares in 2019 at an average price of $130.79 per share. At year-end 2020, 17.4 million shares remained available for repurchase under Board approved authorizations. We do not anticipate repurchasing additional shares until business conditions improve, and are prohibited from doing so for the duration of the Covenant Waiver Period under our Credit Facility, with certain exceptions. For additional information, see “</w:t>
      </w:r>
      <w:r>
        <w:rPr>
          <w:rFonts w:ascii="Arial" w:cs="Arial" w:eastAsia="Arial" w:hAnsi="Arial"/>
          <w:sz w:val="18"/>
          <w:szCs w:val="18"/>
          <w:b w:val="1"/>
          <w:bCs w:val="1"/>
          <w:color w:val="auto"/>
        </w:rPr>
        <w:t>Fourth Quarter 2020 Issuer</w:t>
      </w:r>
      <w:r>
        <w:rPr>
          <w:rFonts w:ascii="Arial" w:cs="Arial" w:eastAsia="Arial" w:hAnsi="Arial"/>
          <w:sz w:val="18"/>
          <w:szCs w:val="18"/>
          <w:color w:val="auto"/>
        </w:rPr>
        <w:t xml:space="preserve"> </w:t>
      </w:r>
      <w:r>
        <w:rPr>
          <w:rFonts w:ascii="Arial" w:cs="Arial" w:eastAsia="Arial" w:hAnsi="Arial"/>
          <w:sz w:val="18"/>
          <w:szCs w:val="18"/>
          <w:b w:val="1"/>
          <w:bCs w:val="1"/>
          <w:color w:val="auto"/>
        </w:rPr>
        <w:t>Purchases of Equity Securities</w:t>
      </w:r>
      <w:r>
        <w:rPr>
          <w:rFonts w:ascii="Arial" w:cs="Arial" w:eastAsia="Arial" w:hAnsi="Arial"/>
          <w:sz w:val="18"/>
          <w:szCs w:val="18"/>
          <w:color w:val="auto"/>
        </w:rPr>
        <w:t>” in Part II, Item 5.</w:t>
      </w:r>
    </w:p>
    <w:p>
      <w:pPr>
        <w:spacing w:after="0" w:line="133" w:lineRule="exact"/>
        <w:rPr>
          <w:sz w:val="20"/>
          <w:szCs w:val="20"/>
          <w:color w:val="auto"/>
        </w:rPr>
      </w:pPr>
    </w:p>
    <w:p>
      <w:pPr>
        <w:ind w:firstLine="434"/>
        <w:spacing w:after="0" w:line="256" w:lineRule="auto"/>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On February 14, 2020, our Board of Directors declared a cash dividend of $0.48 per share payable to stockholders of record on February 28,</w:t>
      </w:r>
      <w:r>
        <w:rPr>
          <w:rFonts w:ascii="Arial" w:cs="Arial" w:eastAsia="Arial" w:hAnsi="Arial"/>
          <w:sz w:val="18"/>
          <w:szCs w:val="18"/>
          <w:b w:val="1"/>
          <w:bCs w:val="1"/>
          <w:color w:val="auto"/>
        </w:rPr>
        <w:t xml:space="preserve"> </w:t>
      </w:r>
      <w:r>
        <w:rPr>
          <w:rFonts w:ascii="Arial" w:cs="Arial" w:eastAsia="Arial" w:hAnsi="Arial"/>
          <w:sz w:val="18"/>
          <w:szCs w:val="18"/>
          <w:color w:val="auto"/>
        </w:rPr>
        <w:t>2020, which we paid on March 31, 2020. We do not anticipate declaring further cash dividends until business conditions improve and are prohibited from doing so for the duration of the Covenant Waiver Period under our Credit Facility.</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contractual obligations at year-end 2020:</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Payments Due by Period</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94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 in millions)</w:t>
            </w:r>
          </w:p>
        </w:tc>
        <w:tc>
          <w:tcPr>
            <w:tcW w:w="240" w:type="dxa"/>
            <w:vAlign w:val="bottom"/>
          </w:tcPr>
          <w:p>
            <w:pPr>
              <w:spacing w:after="0"/>
              <w:rPr>
                <w:sz w:val="11"/>
                <w:szCs w:val="11"/>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1020" w:type="dxa"/>
            <w:vAlign w:val="bottom"/>
            <w:gridSpan w:val="2"/>
          </w:tcPr>
          <w:p>
            <w:pPr>
              <w:jc w:val="center"/>
              <w:ind w:right="280"/>
              <w:spacing w:after="0" w:line="130" w:lineRule="exact"/>
              <w:rPr>
                <w:sz w:val="20"/>
                <w:szCs w:val="20"/>
                <w:color w:val="auto"/>
              </w:rPr>
            </w:pPr>
            <w:r>
              <w:rPr>
                <w:rFonts w:ascii="Arial" w:cs="Arial" w:eastAsia="Arial" w:hAnsi="Arial"/>
                <w:sz w:val="14"/>
                <w:szCs w:val="14"/>
                <w:b w:val="1"/>
                <w:bCs w:val="1"/>
                <w:color w:val="auto"/>
                <w:w w:val="89"/>
              </w:rPr>
              <w:t>Less Than</w:t>
            </w:r>
          </w:p>
        </w:tc>
        <w:tc>
          <w:tcPr>
            <w:tcW w:w="180" w:type="dxa"/>
            <w:vAlign w:val="bottom"/>
          </w:tcPr>
          <w:p>
            <w:pPr>
              <w:spacing w:after="0"/>
              <w:rPr>
                <w:sz w:val="11"/>
                <w:szCs w:val="11"/>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1-3 Years</w:t>
            </w:r>
          </w:p>
        </w:tc>
        <w:tc>
          <w:tcPr>
            <w:tcW w:w="160" w:type="dxa"/>
            <w:vAlign w:val="bottom"/>
          </w:tcPr>
          <w:p>
            <w:pPr>
              <w:spacing w:after="0"/>
              <w:rPr>
                <w:sz w:val="11"/>
                <w:szCs w:val="11"/>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200" w:type="dxa"/>
            <w:vAlign w:val="bottom"/>
          </w:tcPr>
          <w:p>
            <w:pPr>
              <w:spacing w:after="0"/>
              <w:rPr>
                <w:sz w:val="11"/>
                <w:szCs w:val="11"/>
                <w:color w:val="auto"/>
              </w:rPr>
            </w:pPr>
          </w:p>
        </w:tc>
        <w:tc>
          <w:tcPr>
            <w:tcW w:w="880" w:type="dxa"/>
            <w:vAlign w:val="bottom"/>
          </w:tcPr>
          <w:p>
            <w:pPr>
              <w:jc w:val="right"/>
              <w:ind w:right="310"/>
              <w:spacing w:after="0" w:line="130"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84"/>
        </w:trPr>
        <w:tc>
          <w:tcPr>
            <w:tcW w:w="49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1 Year</w:t>
            </w:r>
          </w:p>
        </w:tc>
        <w:tc>
          <w:tcPr>
            <w:tcW w:w="1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25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78"/>
        </w:trPr>
        <w:tc>
          <w:tcPr>
            <w:tcW w:w="4940" w:type="dxa"/>
            <w:vAlign w:val="bottom"/>
            <w:tcBorders>
              <w:top w:val="single" w:sz="8" w:color="CCEEFF"/>
            </w:tcBorders>
            <w:gridSpan w:val="2"/>
            <w:shd w:val="clear" w:color="auto" w:fill="CCEEFF"/>
          </w:tcPr>
          <w:p>
            <w:pPr>
              <w:ind w:left="20"/>
              <w:spacing w:after="0" w:line="178" w:lineRule="exact"/>
              <w:rPr>
                <w:sz w:val="20"/>
                <w:szCs w:val="20"/>
                <w:color w:val="auto"/>
              </w:rPr>
            </w:pPr>
            <w:r>
              <w:rPr>
                <w:rFonts w:ascii="Arial" w:cs="Arial" w:eastAsia="Arial" w:hAnsi="Arial"/>
                <w:sz w:val="14"/>
                <w:szCs w:val="14"/>
                <w:color w:val="auto"/>
              </w:rPr>
              <w:t xml:space="preserve">Debt </w:t>
            </w:r>
            <w:r>
              <w:rPr>
                <w:rFonts w:ascii="Arial" w:cs="Arial" w:eastAsia="Arial" w:hAnsi="Arial"/>
                <w:sz w:val="18"/>
                <w:szCs w:val="18"/>
                <w:color w:val="auto"/>
                <w:vertAlign w:val="superscript"/>
              </w:rPr>
              <w:t>(1)</w:t>
            </w: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12,453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1,542</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2,143</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4,281</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4,487</w:t>
            </w:r>
          </w:p>
        </w:tc>
        <w:tc>
          <w:tcPr>
            <w:tcW w:w="0" w:type="dxa"/>
            <w:vAlign w:val="bottom"/>
          </w:tcPr>
          <w:p>
            <w:pPr>
              <w:spacing w:after="0"/>
              <w:rPr>
                <w:sz w:val="1"/>
                <w:szCs w:val="1"/>
                <w:color w:val="auto"/>
              </w:rPr>
            </w:pPr>
          </w:p>
        </w:tc>
      </w:tr>
      <w:tr>
        <w:trPr>
          <w:trHeight w:val="184"/>
        </w:trPr>
        <w:tc>
          <w:tcPr>
            <w:tcW w:w="4940" w:type="dxa"/>
            <w:vAlign w:val="bottom"/>
            <w:gridSpan w:val="2"/>
          </w:tcPr>
          <w:p>
            <w:pPr>
              <w:ind w:left="20"/>
              <w:spacing w:after="0" w:line="184" w:lineRule="exact"/>
              <w:rPr>
                <w:sz w:val="20"/>
                <w:szCs w:val="20"/>
                <w:color w:val="auto"/>
              </w:rPr>
            </w:pPr>
            <w:r>
              <w:rPr>
                <w:rFonts w:ascii="Arial" w:cs="Arial" w:eastAsia="Arial" w:hAnsi="Arial"/>
                <w:sz w:val="14"/>
                <w:szCs w:val="14"/>
                <w:color w:val="auto"/>
              </w:rPr>
              <w:t xml:space="preserve">Finance lease obligations </w:t>
            </w:r>
            <w:r>
              <w:rPr>
                <w:rFonts w:ascii="Arial" w:cs="Arial" w:eastAsia="Arial" w:hAnsi="Arial"/>
                <w:sz w:val="18"/>
                <w:szCs w:val="18"/>
                <w:color w:val="auto"/>
                <w:vertAlign w:val="superscript"/>
              </w:rPr>
              <w:t>(1)</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84"/>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leases where we are the primary obligor</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w:t>
            </w:r>
          </w:p>
        </w:tc>
        <w:tc>
          <w:tcPr>
            <w:tcW w:w="0" w:type="dxa"/>
            <w:vAlign w:val="bottom"/>
          </w:tcPr>
          <w:p>
            <w:pPr>
              <w:spacing w:after="0"/>
              <w:rPr>
                <w:sz w:val="1"/>
                <w:szCs w:val="1"/>
                <w:color w:val="auto"/>
              </w:rPr>
            </w:pPr>
          </w:p>
        </w:tc>
      </w:tr>
      <w:tr>
        <w:trPr>
          <w:trHeight w:val="182"/>
        </w:trPr>
        <w:tc>
          <w:tcPr>
            <w:tcW w:w="4940" w:type="dxa"/>
            <w:vAlign w:val="bottom"/>
            <w:gridSpan w:val="2"/>
          </w:tcPr>
          <w:p>
            <w:pPr>
              <w:ind w:left="20"/>
              <w:spacing w:after="0"/>
              <w:rPr>
                <w:sz w:val="20"/>
                <w:szCs w:val="20"/>
                <w:color w:val="auto"/>
              </w:rPr>
            </w:pPr>
            <w:r>
              <w:rPr>
                <w:rFonts w:ascii="Arial" w:cs="Arial" w:eastAsia="Arial" w:hAnsi="Arial"/>
                <w:sz w:val="14"/>
                <w:szCs w:val="14"/>
                <w:color w:val="auto"/>
              </w:rPr>
              <w:t>Purchase obligations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4720" w:type="dxa"/>
            <w:vAlign w:val="bottom"/>
          </w:tcPr>
          <w:p>
            <w:pPr>
              <w:ind w:left="120"/>
              <w:spacing w:after="0" w:line="159" w:lineRule="exact"/>
              <w:rPr>
                <w:sz w:val="20"/>
                <w:szCs w:val="20"/>
                <w:color w:val="auto"/>
              </w:rPr>
            </w:pPr>
            <w:r>
              <w:rPr>
                <w:rFonts w:ascii="Arial" w:cs="Arial" w:eastAsia="Arial" w:hAnsi="Arial"/>
                <w:sz w:val="14"/>
                <w:szCs w:val="14"/>
                <w:color w:val="auto"/>
              </w:rPr>
              <w:t>Total contractual obligations</w:t>
            </w: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15,164</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1,925</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2,801</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4,687</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5,751</w:t>
            </w:r>
          </w:p>
        </w:tc>
        <w:tc>
          <w:tcPr>
            <w:tcW w:w="0" w:type="dxa"/>
            <w:vAlign w:val="bottom"/>
          </w:tcPr>
          <w:p>
            <w:pPr>
              <w:spacing w:after="0"/>
              <w:rPr>
                <w:sz w:val="1"/>
                <w:szCs w:val="1"/>
                <w:color w:val="auto"/>
              </w:rPr>
            </w:pPr>
          </w:p>
        </w:tc>
      </w:tr>
      <w:tr>
        <w:trPr>
          <w:trHeight w:val="25"/>
        </w:trPr>
        <w:tc>
          <w:tcPr>
            <w:tcW w:w="220" w:type="dxa"/>
            <w:vAlign w:val="bottom"/>
            <w:vMerge w:val="restart"/>
          </w:tcPr>
          <w:p>
            <w:pPr>
              <w:spacing w:after="0"/>
              <w:rPr>
                <w:sz w:val="20"/>
                <w:szCs w:val="20"/>
                <w:color w:val="auto"/>
              </w:rPr>
            </w:pPr>
            <w:r>
              <w:rPr>
                <w:rFonts w:ascii="Arial" w:cs="Arial" w:eastAsia="Arial" w:hAnsi="Arial"/>
                <w:sz w:val="9"/>
                <w:szCs w:val="9"/>
                <w:color w:val="auto"/>
              </w:rPr>
              <w:t>(1)</w:t>
            </w:r>
          </w:p>
        </w:tc>
        <w:tc>
          <w:tcPr>
            <w:tcW w:w="4720" w:type="dxa"/>
            <w:vAlign w:val="bottom"/>
            <w:vMerge w:val="restart"/>
          </w:tcPr>
          <w:p>
            <w:pPr>
              <w:ind w:left="80"/>
              <w:spacing w:after="0"/>
              <w:rPr>
                <w:sz w:val="20"/>
                <w:szCs w:val="20"/>
                <w:color w:val="auto"/>
              </w:rPr>
            </w:pPr>
            <w:r>
              <w:rPr>
                <w:rFonts w:ascii="Arial" w:cs="Arial" w:eastAsia="Arial" w:hAnsi="Arial"/>
                <w:sz w:val="14"/>
                <w:szCs w:val="14"/>
                <w:color w:val="auto"/>
              </w:rPr>
              <w:t>Includes principal as well as interest.</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0" w:type="dxa"/>
            <w:vAlign w:val="bottom"/>
            <w:vMerge w:val="continue"/>
          </w:tcPr>
          <w:p>
            <w:pPr>
              <w:spacing w:after="0"/>
              <w:rPr>
                <w:sz w:val="16"/>
                <w:szCs w:val="16"/>
                <w:color w:val="auto"/>
              </w:rPr>
            </w:pPr>
          </w:p>
        </w:tc>
        <w:tc>
          <w:tcPr>
            <w:tcW w:w="4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9"/>
        </w:trPr>
        <w:tc>
          <w:tcPr>
            <w:tcW w:w="220" w:type="dxa"/>
            <w:vAlign w:val="bottom"/>
          </w:tcPr>
          <w:p>
            <w:pPr>
              <w:spacing w:after="0"/>
              <w:rPr>
                <w:sz w:val="5"/>
                <w:szCs w:val="5"/>
                <w:color w:val="auto"/>
              </w:rPr>
            </w:pPr>
          </w:p>
        </w:tc>
        <w:tc>
          <w:tcPr>
            <w:tcW w:w="47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right="20" w:firstLine="395"/>
        <w:spacing w:after="0" w:line="252" w:lineRule="auto"/>
        <w:rPr>
          <w:sz w:val="20"/>
          <w:szCs w:val="20"/>
          <w:color w:val="auto"/>
        </w:rPr>
      </w:pPr>
      <w:r>
        <w:rPr>
          <w:rFonts w:ascii="Arial" w:cs="Arial" w:eastAsia="Arial" w:hAnsi="Arial"/>
          <w:sz w:val="18"/>
          <w:szCs w:val="18"/>
          <w:color w:val="auto"/>
        </w:rPr>
        <w:t>The preceding table does not reflect projected Deemed Repatriation Transition Tax payments totaling $395 million at year-end 2020 as a result of the U.S. tax legislation enacted on December 22, 2017, commonly referred to as the 2017 Tax Cuts and Jobs Act. In addition, the table does not reflect unrecognized tax benefits, including interest and penalties, at year-end 2020 of $508 million.</w:t>
      </w:r>
    </w:p>
    <w:p>
      <w:pPr>
        <w:spacing w:after="0" w:line="138" w:lineRule="exact"/>
        <w:rPr>
          <w:sz w:val="20"/>
          <w:szCs w:val="20"/>
          <w:color w:val="auto"/>
        </w:rPr>
      </w:pPr>
    </w:p>
    <w:p>
      <w:pPr>
        <w:jc w:val="both"/>
        <w:ind w:right="140" w:firstLine="395"/>
        <w:spacing w:after="0" w:line="252" w:lineRule="auto"/>
        <w:rPr>
          <w:sz w:val="20"/>
          <w:szCs w:val="20"/>
          <w:color w:val="auto"/>
        </w:rPr>
      </w:pPr>
      <w:r>
        <w:rPr>
          <w:rFonts w:ascii="Arial" w:cs="Arial" w:eastAsia="Arial" w:hAnsi="Arial"/>
          <w:sz w:val="18"/>
          <w:szCs w:val="18"/>
          <w:color w:val="auto"/>
        </w:rPr>
        <w:t>In addition to the purchase obligations noted in the preceding table, in the normal course of business we enter into purchase commitments to manage the daily operating needs of the hotels that we manage. Since we are reimbursed from the cash flows of the hotels or by working capital calls to the hotel owners, these obligations have minimal impact on our net income and cash flow.</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guarantee, investment, and loan commitments at year-end 2020:</w:t>
      </w:r>
    </w:p>
    <w:p>
      <w:pPr>
        <w:spacing w:after="0" w:line="18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Less Than</w:t>
            </w: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After</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380" w:type="dxa"/>
            <w:vAlign w:val="bottom"/>
            <w:vMerge w:val="restart"/>
          </w:tcPr>
          <w:p>
            <w:pPr>
              <w:ind w:left="460"/>
              <w:spacing w:after="0"/>
              <w:rPr>
                <w:sz w:val="20"/>
                <w:szCs w:val="20"/>
                <w:color w:val="auto"/>
              </w:rPr>
            </w:pPr>
            <w:r>
              <w:rPr>
                <w:rFonts w:ascii="Arial" w:cs="Arial" w:eastAsia="Arial" w:hAnsi="Arial"/>
                <w:sz w:val="14"/>
                <w:szCs w:val="14"/>
                <w:i w:val="1"/>
                <w:iCs w:val="1"/>
                <w:color w:val="auto"/>
              </w:rPr>
              <w:t>($ in millions)</w:t>
            </w:r>
          </w:p>
        </w:tc>
        <w:tc>
          <w:tcPr>
            <w:tcW w:w="1080" w:type="dxa"/>
            <w:vAlign w:val="bottom"/>
          </w:tcPr>
          <w:p>
            <w:pPr>
              <w:jc w:val="right"/>
              <w:ind w:right="50"/>
              <w:spacing w:after="0" w:line="132" w:lineRule="exact"/>
              <w:rPr>
                <w:sz w:val="20"/>
                <w:szCs w:val="20"/>
                <w:color w:val="auto"/>
              </w:rPr>
            </w:pPr>
            <w:r>
              <w:rPr>
                <w:rFonts w:ascii="Arial" w:cs="Arial" w:eastAsia="Arial" w:hAnsi="Arial"/>
                <w:sz w:val="14"/>
                <w:szCs w:val="14"/>
                <w:b w:val="1"/>
                <w:bCs w:val="1"/>
                <w:color w:val="auto"/>
              </w:rPr>
              <w:t>Amounts</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1-3 Years</w:t>
            </w:r>
          </w:p>
        </w:tc>
        <w:tc>
          <w:tcPr>
            <w:tcW w:w="56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3-5 Years</w:t>
            </w:r>
          </w:p>
        </w:tc>
        <w:tc>
          <w:tcPr>
            <w:tcW w:w="11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380" w:type="dxa"/>
            <w:vAlign w:val="bottom"/>
            <w:vMerge w:val="continue"/>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Committed</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3"/>
          </w:tcPr>
          <w:p>
            <w:pPr>
              <w:ind w:left="500"/>
              <w:spacing w:after="0"/>
              <w:rPr>
                <w:sz w:val="20"/>
                <w:szCs w:val="20"/>
                <w:color w:val="auto"/>
              </w:rPr>
            </w:pPr>
            <w:r>
              <w:rPr>
                <w:rFonts w:ascii="Arial" w:cs="Arial" w:eastAsia="Arial" w:hAnsi="Arial"/>
                <w:sz w:val="14"/>
                <w:szCs w:val="14"/>
                <w:b w:val="1"/>
                <w:bCs w:val="1"/>
                <w:color w:val="auto"/>
              </w:rPr>
              <w:t>1 Year</w:t>
            </w:r>
          </w:p>
        </w:tc>
        <w:tc>
          <w:tcPr>
            <w:tcW w:w="5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100" w:type="dxa"/>
            <w:vAlign w:val="bottom"/>
          </w:tcPr>
          <w:p>
            <w:pPr>
              <w:jc w:val="right"/>
              <w:ind w:right="110"/>
              <w:spacing w:after="0"/>
              <w:rPr>
                <w:sz w:val="20"/>
                <w:szCs w:val="20"/>
                <w:color w:val="auto"/>
              </w:rPr>
            </w:pPr>
            <w:r>
              <w:rPr>
                <w:rFonts w:ascii="Arial" w:cs="Arial" w:eastAsia="Arial" w:hAnsi="Arial"/>
                <w:sz w:val="14"/>
                <w:szCs w:val="14"/>
                <w:b w:val="1"/>
                <w:bCs w:val="1"/>
                <w:color w:val="auto"/>
              </w:rPr>
              <w:t>5 Years</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380" w:type="dxa"/>
            <w:vAlign w:val="bottom"/>
            <w:tcBorders>
              <w:top w:val="single" w:sz="8" w:color="CCEEFF"/>
            </w:tcBorders>
            <w:shd w:val="clear" w:color="auto" w:fill="CCEEFF"/>
          </w:tcPr>
          <w:p>
            <w:pPr>
              <w:ind w:left="460"/>
              <w:spacing w:after="0" w:line="159" w:lineRule="exact"/>
              <w:rPr>
                <w:sz w:val="20"/>
                <w:szCs w:val="20"/>
                <w:color w:val="auto"/>
              </w:rPr>
            </w:pPr>
            <w:r>
              <w:rPr>
                <w:rFonts w:ascii="Arial" w:cs="Arial" w:eastAsia="Arial" w:hAnsi="Arial"/>
                <w:sz w:val="14"/>
                <w:szCs w:val="14"/>
                <w:color w:val="auto"/>
              </w:rPr>
              <w:t>Guarantee commitments (expiration by period)</w:t>
            </w:r>
          </w:p>
        </w:tc>
        <w:tc>
          <w:tcPr>
            <w:tcW w:w="108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279</w:t>
            </w: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81</w:t>
            </w: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40</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85"/>
              </w:rPr>
              <w:t>123</w:t>
            </w:r>
          </w:p>
        </w:tc>
        <w:tc>
          <w:tcPr>
            <w:tcW w:w="0" w:type="dxa"/>
            <w:vAlign w:val="bottom"/>
          </w:tcPr>
          <w:p>
            <w:pPr>
              <w:spacing w:after="0"/>
              <w:rPr>
                <w:sz w:val="1"/>
                <w:szCs w:val="1"/>
                <w:color w:val="auto"/>
              </w:rPr>
            </w:pPr>
          </w:p>
        </w:tc>
      </w:tr>
      <w:tr>
        <w:trPr>
          <w:trHeight w:val="132"/>
        </w:trPr>
        <w:tc>
          <w:tcPr>
            <w:tcW w:w="3380" w:type="dxa"/>
            <w:vAlign w:val="bottom"/>
          </w:tcPr>
          <w:p>
            <w:pPr>
              <w:ind w:left="460"/>
              <w:spacing w:after="0" w:line="132" w:lineRule="exact"/>
              <w:rPr>
                <w:sz w:val="20"/>
                <w:szCs w:val="20"/>
                <w:color w:val="auto"/>
              </w:rPr>
            </w:pPr>
            <w:r>
              <w:rPr>
                <w:rFonts w:ascii="Arial" w:cs="Arial" w:eastAsia="Arial" w:hAnsi="Arial"/>
                <w:sz w:val="14"/>
                <w:szCs w:val="14"/>
                <w:color w:val="auto"/>
              </w:rPr>
              <w:t>Investment and loan commitments (expected</w:t>
            </w:r>
          </w:p>
        </w:tc>
        <w:tc>
          <w:tcPr>
            <w:tcW w:w="108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funding by period)</w:t>
            </w:r>
          </w:p>
        </w:tc>
        <w:tc>
          <w:tcPr>
            <w:tcW w:w="10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3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4"/>
                <w:szCs w:val="14"/>
                <w:color w:val="auto"/>
              </w:rPr>
              <w:t>Total other commitments</w:t>
            </w:r>
          </w:p>
        </w:tc>
        <w:tc>
          <w:tcPr>
            <w:tcW w:w="10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301</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88</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85"/>
              </w:rPr>
              <w:t>123</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20" w:firstLine="434"/>
        <w:spacing w:after="0" w:line="324" w:lineRule="auto"/>
        <w:rPr>
          <w:sz w:val="20"/>
          <w:szCs w:val="20"/>
          <w:color w:val="auto"/>
        </w:rPr>
      </w:pPr>
      <w:r>
        <w:rPr>
          <w:rFonts w:ascii="Arial" w:cs="Arial" w:eastAsia="Arial" w:hAnsi="Arial"/>
          <w:sz w:val="16"/>
          <w:szCs w:val="16"/>
          <w:color w:val="auto"/>
        </w:rPr>
        <w:t>In conjunction with financing obtained for specific projects or properties owned by entities in which we have an equity investment, we may provide industry standard indemnifications to the lender for loss, liability, or damage occurring as a result of our actions or the actions of the entity.</w:t>
      </w:r>
    </w:p>
    <w:p>
      <w:pPr>
        <w:spacing w:after="0" w:line="82"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Additionally, in 2017, we granted a hotel owner a one-time right, exercisable in 2022, to require us to purchase the leasehold interest in the land and hotel for $300 million in cash (the “put option”). If the owner exercises the put option, we have the option to purchase, at the same time the put transaction closes, the fee simple interest in the underlying land for an additional $200 million in cash (the “call option”). We also have the right to defer the closing on the put and call options, if exercised, to December 2024. We account for the put option as a guarantee and as of December 31, 2020, believe it is probable the hotel owner will exercise the put option and we will exercise the call option.</w:t>
      </w:r>
    </w:p>
    <w:p>
      <w:pPr>
        <w:spacing w:after="0" w:line="111" w:lineRule="exact"/>
        <w:rPr>
          <w:sz w:val="20"/>
          <w:szCs w:val="20"/>
          <w:color w:val="auto"/>
        </w:rPr>
      </w:pPr>
    </w:p>
    <w:p>
      <w:pPr>
        <w:ind w:right="1700" w:firstLine="434"/>
        <w:spacing w:after="0" w:line="427" w:lineRule="auto"/>
        <w:rPr>
          <w:sz w:val="20"/>
          <w:szCs w:val="20"/>
          <w:color w:val="auto"/>
        </w:rPr>
      </w:pPr>
      <w:r>
        <w:rPr>
          <w:rFonts w:ascii="Arial" w:cs="Arial" w:eastAsia="Arial" w:hAnsi="Arial"/>
          <w:sz w:val="18"/>
          <w:szCs w:val="18"/>
          <w:color w:val="auto"/>
        </w:rPr>
        <w:t>For further information, including the nature of the commitments and their expirations, see the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caption in Note 8. </w:t>
      </w:r>
      <w:r>
        <w:rPr>
          <w:rFonts w:ascii="Arial" w:cs="Arial" w:eastAsia="Arial" w:hAnsi="Arial"/>
          <w:sz w:val="18"/>
          <w:szCs w:val="18"/>
          <w:b w:val="1"/>
          <w:bCs w:val="1"/>
          <w:color w:val="auto"/>
        </w:rPr>
        <w:t>Letters of Credit</w:t>
      </w:r>
    </w:p>
    <w:p>
      <w:pPr>
        <w:jc w:val="both"/>
        <w:ind w:right="60" w:firstLine="434"/>
        <w:spacing w:after="0" w:line="252" w:lineRule="auto"/>
        <w:rPr>
          <w:sz w:val="20"/>
          <w:szCs w:val="20"/>
          <w:color w:val="auto"/>
        </w:rPr>
      </w:pPr>
      <w:r>
        <w:rPr>
          <w:rFonts w:ascii="Arial" w:cs="Arial" w:eastAsia="Arial" w:hAnsi="Arial"/>
          <w:sz w:val="18"/>
          <w:szCs w:val="18"/>
          <w:color w:val="auto"/>
        </w:rPr>
        <w:t>At year-end 2020, we had $156 million of letters of credit outstanding (all outside the Credit Facility, as defined in Note 10), most of which were for our self-insurance programs. Surety bonds issued as of year-end 2020 totaled $163 million, most of which state governments requested in connection with our self-insurance programs.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7" w:lineRule="exact"/>
        <w:rPr>
          <w:sz w:val="20"/>
          <w:szCs w:val="20"/>
          <w:color w:val="auto"/>
        </w:rPr>
      </w:pPr>
    </w:p>
    <w:p>
      <w:pPr>
        <w:ind w:right="40" w:firstLine="434"/>
        <w:spacing w:after="0" w:line="248" w:lineRule="auto"/>
        <w:rPr>
          <w:sz w:val="20"/>
          <w:szCs w:val="20"/>
          <w:color w:val="auto"/>
        </w:rPr>
      </w:pPr>
      <w:r>
        <w:rPr>
          <w:rFonts w:ascii="Arial" w:cs="Arial" w:eastAsia="Arial" w:hAnsi="Arial"/>
          <w:sz w:val="18"/>
          <w:szCs w:val="18"/>
          <w:color w:val="auto"/>
        </w:rPr>
        <w:t>Our preparation of financial statements in accordance with GAAP requires management to make estimates and assumptions that affect reported amounts and related disclosures. Management considers an accounting policy and estimate to be critical if: (1) we must make assumptions that were uncertain when the estimate was made; and (2) changes in the estimate, or selection of a different estimate methodology could have a material effect on our consolidated results of operations or financial condition. Management has discussed the development and selection of its critical accounting policies and estimates with the Audit Committee of our Board of Directors.</w:t>
      </w:r>
    </w:p>
    <w:p>
      <w:pPr>
        <w:spacing w:after="0" w:line="141" w:lineRule="exact"/>
        <w:rPr>
          <w:sz w:val="20"/>
          <w:szCs w:val="20"/>
          <w:color w:val="auto"/>
        </w:rPr>
      </w:pPr>
    </w:p>
    <w:p>
      <w:pPr>
        <w:ind w:right="140" w:firstLine="434"/>
        <w:spacing w:after="0" w:line="252" w:lineRule="auto"/>
        <w:rPr>
          <w:sz w:val="20"/>
          <w:szCs w:val="20"/>
          <w:color w:val="auto"/>
        </w:rPr>
      </w:pPr>
      <w:r>
        <w:rPr>
          <w:rFonts w:ascii="Arial" w:cs="Arial" w:eastAsia="Arial" w:hAnsi="Arial"/>
          <w:sz w:val="18"/>
          <w:szCs w:val="18"/>
          <w:color w:val="auto"/>
        </w:rPr>
        <w:t>While we believe that our estimates, assumptions, and judgments are reasonable, they are based on information available when the estimate or assumption was made. Actual results may differ significantly. Additionally, changes in our assumptions, estimates or assessments due to unforeseen events or otherwise could have a material impact on our financial position or results of operations.</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2 for further information related to our critical accounting policies and estimates, which are as follows:</w:t>
      </w:r>
    </w:p>
    <w:p>
      <w:pPr>
        <w:spacing w:after="0" w:line="161" w:lineRule="exact"/>
        <w:rPr>
          <w:sz w:val="20"/>
          <w:szCs w:val="20"/>
          <w:color w:val="auto"/>
        </w:rPr>
      </w:pPr>
    </w:p>
    <w:p>
      <w:pPr>
        <w:jc w:val="both"/>
        <w:ind w:left="640" w:right="20"/>
        <w:spacing w:after="0" w:line="299" w:lineRule="auto"/>
        <w:rPr>
          <w:sz w:val="20"/>
          <w:szCs w:val="20"/>
          <w:color w:val="auto"/>
        </w:rPr>
      </w:pPr>
      <w:r>
        <w:rPr>
          <w:rFonts w:ascii="Arial" w:cs="Arial" w:eastAsia="Arial" w:hAnsi="Arial"/>
          <w:sz w:val="16"/>
          <w:szCs w:val="16"/>
          <w:i w:val="1"/>
          <w:iCs w:val="1"/>
          <w:color w:val="auto"/>
        </w:rPr>
        <w:t>Loyalty Program</w:t>
      </w:r>
      <w:r>
        <w:rPr>
          <w:rFonts w:ascii="Arial" w:cs="Arial" w:eastAsia="Arial" w:hAnsi="Arial"/>
          <w:sz w:val="16"/>
          <w:szCs w:val="16"/>
          <w:color w:val="auto"/>
        </w:rPr>
        <w:t>, including how we estimate the breakage of hotel points, credit card points, and free night certificates, the volume of points and free</w:t>
      </w:r>
      <w:r>
        <w:rPr>
          <w:rFonts w:ascii="Arial" w:cs="Arial" w:eastAsia="Arial" w:hAnsi="Arial"/>
          <w:sz w:val="16"/>
          <w:szCs w:val="16"/>
          <w:i w:val="1"/>
          <w:iCs w:val="1"/>
          <w:color w:val="auto"/>
        </w:rPr>
        <w:t xml:space="preserve"> </w:t>
      </w:r>
      <w:r>
        <w:rPr>
          <w:rFonts w:ascii="Arial" w:cs="Arial" w:eastAsia="Arial" w:hAnsi="Arial"/>
          <w:sz w:val="16"/>
          <w:szCs w:val="16"/>
          <w:color w:val="auto"/>
        </w:rPr>
        <w:t>night certificates that will be issued under our co-brand credit card agreements, the amount of consideration to which we will be entitled under our co-brand credit card agreements, and the stand-alone selling prices of goods and services provided under our co-brand credit card agreements;</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Goodwill</w:t>
      </w:r>
      <w:r>
        <w:rPr>
          <w:rFonts w:ascii="Arial" w:cs="Arial" w:eastAsia="Arial" w:hAnsi="Arial"/>
          <w:sz w:val="18"/>
          <w:szCs w:val="18"/>
          <w:color w:val="auto"/>
        </w:rPr>
        <w:t>, including how we evaluate the fair value of reporting units and when we record an impairment loss on goodwill;</w:t>
      </w:r>
    </w:p>
    <w:p>
      <w:pPr>
        <w:spacing w:after="0" w:line="161" w:lineRule="exact"/>
        <w:rPr>
          <w:sz w:val="20"/>
          <w:szCs w:val="20"/>
          <w:color w:val="auto"/>
        </w:rPr>
      </w:pPr>
    </w:p>
    <w:p>
      <w:pPr>
        <w:ind w:left="640" w:right="360"/>
        <w:spacing w:after="0" w:line="261" w:lineRule="auto"/>
        <w:rPr>
          <w:sz w:val="20"/>
          <w:szCs w:val="20"/>
          <w:color w:val="auto"/>
        </w:rPr>
      </w:pPr>
      <w:r>
        <w:rPr>
          <w:rFonts w:ascii="Arial" w:cs="Arial" w:eastAsia="Arial" w:hAnsi="Arial"/>
          <w:sz w:val="18"/>
          <w:szCs w:val="18"/>
          <w:i w:val="1"/>
          <w:iCs w:val="1"/>
          <w:color w:val="auto"/>
        </w:rPr>
        <w:t>Intangibles and Long-Lived Assets</w:t>
      </w:r>
      <w:r>
        <w:rPr>
          <w:rFonts w:ascii="Arial" w:cs="Arial" w:eastAsia="Arial" w:hAnsi="Arial"/>
          <w:sz w:val="18"/>
          <w:szCs w:val="18"/>
          <w:color w:val="auto"/>
        </w:rPr>
        <w:t>, including how we evaluate the fair value of intangibles and long-lived assets and when we record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losses on intangibles and long-lived assets;</w:t>
      </w:r>
    </w:p>
    <w:p>
      <w:pPr>
        <w:spacing w:after="0" w:line="129"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Investments</w:t>
      </w:r>
      <w:r>
        <w:rPr>
          <w:rFonts w:ascii="Arial" w:cs="Arial" w:eastAsia="Arial" w:hAnsi="Arial"/>
          <w:sz w:val="16"/>
          <w:szCs w:val="16"/>
          <w:color w:val="auto"/>
        </w:rPr>
        <w:t>, including information on how we evaluate the fair value of investments and when we record impairment losses on investments; and</w:t>
      </w:r>
    </w:p>
    <w:p>
      <w:pPr>
        <w:spacing w:after="0" w:line="184" w:lineRule="exact"/>
        <w:rPr>
          <w:sz w:val="20"/>
          <w:szCs w:val="20"/>
          <w:color w:val="auto"/>
        </w:rPr>
      </w:pPr>
    </w:p>
    <w:p>
      <w:pPr>
        <w:ind w:left="640" w:right="540"/>
        <w:spacing w:after="0" w:line="261" w:lineRule="auto"/>
        <w:rPr>
          <w:sz w:val="20"/>
          <w:szCs w:val="20"/>
          <w:color w:val="auto"/>
        </w:rPr>
      </w:pPr>
      <w:r>
        <w:rPr>
          <w:rFonts w:ascii="Arial" w:cs="Arial" w:eastAsia="Arial" w:hAnsi="Arial"/>
          <w:sz w:val="18"/>
          <w:szCs w:val="18"/>
          <w:i w:val="1"/>
          <w:iCs w:val="1"/>
          <w:color w:val="auto"/>
        </w:rPr>
        <w:t>Business Combinations</w:t>
      </w:r>
      <w:r>
        <w:rPr>
          <w:rFonts w:ascii="Arial" w:cs="Arial" w:eastAsia="Arial" w:hAnsi="Arial"/>
          <w:sz w:val="18"/>
          <w:szCs w:val="18"/>
          <w:color w:val="auto"/>
        </w:rPr>
        <w:t>, including the assumptions that we make to estimate the fair values of assets acquired and liabilities assumed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 rates, royalty rates, and the amount and timing of future cash flows.</w:t>
      </w:r>
    </w:p>
    <w:p>
      <w:pPr>
        <w:spacing w:after="0" w:line="21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67" w:lineRule="exact"/>
        <w:rPr>
          <w:sz w:val="20"/>
          <w:szCs w:val="20"/>
          <w:color w:val="auto"/>
        </w:rPr>
      </w:pPr>
    </w:p>
    <w:p>
      <w:pPr>
        <w:ind w:right="240" w:firstLine="434"/>
        <w:spacing w:after="0" w:line="250" w:lineRule="auto"/>
        <w:rPr>
          <w:sz w:val="20"/>
          <w:szCs w:val="20"/>
          <w:color w:val="auto"/>
        </w:rPr>
      </w:pPr>
      <w:r>
        <w:rPr>
          <w:rFonts w:ascii="Arial" w:cs="Arial" w:eastAsia="Arial" w:hAnsi="Arial"/>
          <w:sz w:val="18"/>
          <w:szCs w:val="18"/>
          <w:color w:val="auto"/>
        </w:rPr>
        <w:t>We are exposed to market risk from changes in interest rates, stock prices, currency exchange rates, and debt prices. We manage our exposure to these risks by monitoring available financing alternatives, through development and application of credit granting policies and by entering into derivative arrangements. We do not foresee any significant changes in either our exposure to fluctuations in interest rates or currency rates or how we manage such exposure in the future.</w:t>
      </w:r>
    </w:p>
    <w:p>
      <w:pPr>
        <w:spacing w:after="0" w:line="138" w:lineRule="exact"/>
        <w:rPr>
          <w:sz w:val="20"/>
          <w:szCs w:val="20"/>
          <w:color w:val="auto"/>
        </w:rPr>
      </w:pPr>
    </w:p>
    <w:p>
      <w:pPr>
        <w:ind w:right="80" w:firstLine="434"/>
        <w:spacing w:after="0" w:line="261" w:lineRule="auto"/>
        <w:rPr>
          <w:sz w:val="20"/>
          <w:szCs w:val="20"/>
          <w:color w:val="auto"/>
        </w:rPr>
      </w:pPr>
      <w:r>
        <w:rPr>
          <w:rFonts w:ascii="Arial" w:cs="Arial" w:eastAsia="Arial" w:hAnsi="Arial"/>
          <w:sz w:val="18"/>
          <w:szCs w:val="18"/>
          <w:color w:val="auto"/>
        </w:rPr>
        <w:t>We are exposed to interest rate risk on our floating-rate notes receivable and floating-rate debt. Changes in interest rates also impact the fair value of our fixed-rate notes receivable and the fair value of our fixed-rate long-term debt.</w:t>
      </w:r>
    </w:p>
    <w:p>
      <w:pPr>
        <w:spacing w:after="0" w:line="129" w:lineRule="exact"/>
        <w:rPr>
          <w:sz w:val="20"/>
          <w:szCs w:val="20"/>
          <w:color w:val="auto"/>
        </w:rPr>
      </w:pPr>
    </w:p>
    <w:p>
      <w:pPr>
        <w:ind w:right="280" w:firstLine="434"/>
        <w:spacing w:after="0" w:line="261" w:lineRule="auto"/>
        <w:rPr>
          <w:sz w:val="20"/>
          <w:szCs w:val="20"/>
          <w:color w:val="auto"/>
        </w:rPr>
      </w:pPr>
      <w:r>
        <w:rPr>
          <w:rFonts w:ascii="Arial" w:cs="Arial" w:eastAsia="Arial" w:hAnsi="Arial"/>
          <w:sz w:val="18"/>
          <w:szCs w:val="18"/>
          <w:color w:val="auto"/>
        </w:rPr>
        <w:t>We are also subject to risk from changes in debt prices from our investments in debt securities and fluctuations in stock price from our investments in publicly traded companies. Changes in the price of the underlying stock can impact the fair value of our investment.</w:t>
      </w:r>
    </w:p>
    <w:p>
      <w:pPr>
        <w:spacing w:after="0" w:line="129" w:lineRule="exact"/>
        <w:rPr>
          <w:sz w:val="20"/>
          <w:szCs w:val="20"/>
          <w:color w:val="auto"/>
        </w:rPr>
      </w:pPr>
    </w:p>
    <w:p>
      <w:pPr>
        <w:ind w:firstLine="434"/>
        <w:spacing w:after="0" w:line="291" w:lineRule="auto"/>
        <w:rPr>
          <w:sz w:val="20"/>
          <w:szCs w:val="20"/>
          <w:color w:val="auto"/>
        </w:rPr>
      </w:pPr>
      <w:r>
        <w:rPr>
          <w:rFonts w:ascii="Arial" w:cs="Arial" w:eastAsia="Arial" w:hAnsi="Arial"/>
          <w:sz w:val="16"/>
          <w:szCs w:val="16"/>
          <w:color w:val="auto"/>
        </w:rPr>
        <w:t>We use derivative instruments, including cash flow hedges, fair value hedges, net investment in non-U.S. operations hedges, and other derivative instruments, as part of our overall strategy to manage our exposure to market risks associated with fluctuations in interest rates and currency exchange rates. As a matter of policy, we only enter into transactions that we believe will be highly effective at offsetting the underlying risk, and we do not use derivatives for trading or speculative purposes. See Note 2 for more information on derivative instruments.</w:t>
      </w: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0" w:firstLine="434"/>
        <w:spacing w:after="0" w:line="261" w:lineRule="auto"/>
        <w:rPr>
          <w:sz w:val="20"/>
          <w:szCs w:val="20"/>
          <w:color w:val="auto"/>
        </w:rPr>
      </w:pPr>
      <w:r>
        <w:rPr>
          <w:rFonts w:ascii="Arial" w:cs="Arial" w:eastAsia="Arial" w:hAnsi="Arial"/>
          <w:sz w:val="18"/>
          <w:szCs w:val="18"/>
          <w:color w:val="auto"/>
        </w:rPr>
        <w:t>The following table sets forth the scheduled maturities and the total fair value as of year-end 2020 for our financial instruments that are impacted by market risks:</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37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Maturities by Period</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There-</w:t>
            </w:r>
          </w:p>
        </w:tc>
        <w:tc>
          <w:tcPr>
            <w:tcW w:w="104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6"/>
              </w:rPr>
              <w:t>Total</w:t>
            </w: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2"/>
        </w:trPr>
        <w:tc>
          <w:tcPr>
            <w:tcW w:w="3700" w:type="dxa"/>
            <w:vAlign w:val="bottom"/>
            <w:vMerge w:val="restart"/>
          </w:tcPr>
          <w:p>
            <w:pPr>
              <w:spacing w:after="0"/>
              <w:rPr>
                <w:sz w:val="20"/>
                <w:szCs w:val="20"/>
                <w:color w:val="auto"/>
              </w:rPr>
            </w:pPr>
            <w:r>
              <w:rPr>
                <w:rFonts w:ascii="Arial" w:cs="Arial" w:eastAsia="Arial" w:hAnsi="Arial"/>
                <w:sz w:val="14"/>
                <w:szCs w:val="14"/>
                <w:i w:val="1"/>
                <w:iCs w:val="1"/>
                <w:color w:val="auto"/>
              </w:rPr>
              <w:t>($ in millions)</w:t>
            </w:r>
          </w:p>
        </w:tc>
        <w:tc>
          <w:tcPr>
            <w:tcW w:w="840" w:type="dxa"/>
            <w:vAlign w:val="bottom"/>
            <w:vMerge w:val="restart"/>
          </w:tcPr>
          <w:p>
            <w:pPr>
              <w:jc w:val="right"/>
              <w:ind w:right="21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840" w:type="dxa"/>
            <w:vAlign w:val="bottom"/>
            <w:vMerge w:val="restart"/>
          </w:tcPr>
          <w:p>
            <w:pPr>
              <w:jc w:val="right"/>
              <w:ind w:right="21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8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1"/>
                <w:szCs w:val="11"/>
                <w:color w:val="auto"/>
              </w:rPr>
            </w:pPr>
          </w:p>
        </w:tc>
        <w:tc>
          <w:tcPr>
            <w:tcW w:w="820" w:type="dxa"/>
            <w:vAlign w:val="bottom"/>
            <w:vMerge w:val="restart"/>
          </w:tcPr>
          <w:p>
            <w:pPr>
              <w:jc w:val="right"/>
              <w:ind w:right="21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1"/>
                <w:szCs w:val="11"/>
                <w:color w:val="auto"/>
              </w:rPr>
            </w:pPr>
          </w:p>
        </w:tc>
        <w:tc>
          <w:tcPr>
            <w:tcW w:w="840" w:type="dxa"/>
            <w:vAlign w:val="bottom"/>
            <w:vMerge w:val="restart"/>
          </w:tcPr>
          <w:p>
            <w:pPr>
              <w:jc w:val="right"/>
              <w:ind w:right="210"/>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40" w:type="dxa"/>
            <w:vAlign w:val="bottom"/>
            <w:gridSpan w:val="2"/>
          </w:tcPr>
          <w:p>
            <w:pPr>
              <w:jc w:val="center"/>
              <w:ind w:right="100"/>
              <w:spacing w:after="0" w:line="132" w:lineRule="exact"/>
              <w:rPr>
                <w:sz w:val="20"/>
                <w:szCs w:val="20"/>
                <w:color w:val="auto"/>
              </w:rPr>
            </w:pPr>
            <w:r>
              <w:rPr>
                <w:rFonts w:ascii="Arial" w:cs="Arial" w:eastAsia="Arial" w:hAnsi="Arial"/>
                <w:sz w:val="14"/>
                <w:szCs w:val="14"/>
                <w:b w:val="1"/>
                <w:bCs w:val="1"/>
                <w:color w:val="auto"/>
                <w:w w:val="93"/>
              </w:rPr>
              <w:t>Carrying</w:t>
            </w:r>
          </w:p>
        </w:tc>
        <w:tc>
          <w:tcPr>
            <w:tcW w:w="84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4"/>
        </w:trPr>
        <w:tc>
          <w:tcPr>
            <w:tcW w:w="3700" w:type="dxa"/>
            <w:vAlign w:val="bottom"/>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after</w:t>
            </w:r>
          </w:p>
        </w:tc>
        <w:tc>
          <w:tcPr>
            <w:tcW w:w="12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18985" cy="292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8985" cy="29273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xml:space="preserve">Assets </w:t>
      </w:r>
      <w:r>
        <w:rPr>
          <w:rFonts w:ascii="Arial" w:cs="Arial" w:eastAsia="Arial" w:hAnsi="Arial"/>
          <w:sz w:val="14"/>
          <w:szCs w:val="14"/>
          <w:color w:val="auto"/>
        </w:rPr>
        <w:t>- Maturities represent expected principal receipts, fair values represent assets.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20" w:type="dxa"/>
            <w:vAlign w:val="bottom"/>
          </w:tcPr>
          <w:p>
            <w:pPr>
              <w:ind w:left="20"/>
              <w:spacing w:after="0"/>
              <w:rPr>
                <w:sz w:val="20"/>
                <w:szCs w:val="20"/>
                <w:color w:val="auto"/>
              </w:rPr>
            </w:pPr>
            <w:r>
              <w:rPr>
                <w:rFonts w:ascii="Arial" w:cs="Arial" w:eastAsia="Arial" w:hAnsi="Arial"/>
                <w:sz w:val="14"/>
                <w:szCs w:val="14"/>
                <w:color w:val="auto"/>
              </w:rPr>
              <w:t>Fixed-rate notes receivable</w:t>
            </w:r>
          </w:p>
        </w:tc>
        <w:tc>
          <w:tcPr>
            <w:tcW w:w="1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
              <w:spacing w:after="0"/>
              <w:rPr>
                <w:sz w:val="20"/>
                <w:szCs w:val="20"/>
                <w:color w:val="auto"/>
              </w:rPr>
            </w:pPr>
            <w:r>
              <w:rPr>
                <w:rFonts w:ascii="Arial" w:cs="Arial" w:eastAsia="Arial" w:hAnsi="Arial"/>
                <w:sz w:val="14"/>
                <w:szCs w:val="14"/>
                <w:color w:val="auto"/>
              </w:rPr>
              <w:t>2</w:t>
            </w:r>
          </w:p>
        </w:tc>
        <w:tc>
          <w:tcPr>
            <w:tcW w:w="44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0"/>
              <w:spacing w:after="0"/>
              <w:rPr>
                <w:sz w:val="20"/>
                <w:szCs w:val="20"/>
                <w:color w:val="auto"/>
              </w:rPr>
            </w:pPr>
            <w:r>
              <w:rPr>
                <w:rFonts w:ascii="Arial" w:cs="Arial" w:eastAsia="Arial" w:hAnsi="Arial"/>
                <w:sz w:val="14"/>
                <w:szCs w:val="14"/>
                <w:color w:val="auto"/>
              </w:rPr>
              <w:t>2</w:t>
            </w:r>
          </w:p>
        </w:tc>
        <w:tc>
          <w:tcPr>
            <w:tcW w:w="480" w:type="dxa"/>
            <w:vAlign w:val="bottom"/>
          </w:tcPr>
          <w:p>
            <w:pPr>
              <w:jc w:val="right"/>
              <w:ind w:right="25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30"/>
              <w:spacing w:after="0"/>
              <w:rPr>
                <w:sz w:val="20"/>
                <w:szCs w:val="20"/>
                <w:color w:val="auto"/>
              </w:rPr>
            </w:pPr>
            <w:r>
              <w:rPr>
                <w:rFonts w:ascii="Arial" w:cs="Arial" w:eastAsia="Arial" w:hAnsi="Arial"/>
                <w:sz w:val="14"/>
                <w:szCs w:val="14"/>
                <w:color w:val="auto"/>
              </w:rPr>
              <w:t>1</w:t>
            </w:r>
          </w:p>
        </w:tc>
        <w:tc>
          <w:tcPr>
            <w:tcW w:w="42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0"/>
              <w:spacing w:after="0"/>
              <w:rPr>
                <w:sz w:val="20"/>
                <w:szCs w:val="20"/>
                <w:color w:val="auto"/>
              </w:rPr>
            </w:pPr>
            <w:r>
              <w:rPr>
                <w:rFonts w:ascii="Arial" w:cs="Arial" w:eastAsia="Arial" w:hAnsi="Arial"/>
                <w:sz w:val="14"/>
                <w:szCs w:val="14"/>
                <w:color w:val="auto"/>
              </w:rPr>
              <w:t>1</w:t>
            </w:r>
          </w:p>
        </w:tc>
        <w:tc>
          <w:tcPr>
            <w:tcW w:w="46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44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0"/>
              <w:spacing w:after="0"/>
              <w:rPr>
                <w:sz w:val="20"/>
                <w:szCs w:val="20"/>
                <w:color w:val="auto"/>
              </w:rPr>
            </w:pPr>
            <w:r>
              <w:rPr>
                <w:rFonts w:ascii="Arial" w:cs="Arial" w:eastAsia="Arial" w:hAnsi="Arial"/>
                <w:sz w:val="14"/>
                <w:szCs w:val="14"/>
                <w:color w:val="auto"/>
              </w:rPr>
              <w:t>35</w:t>
            </w:r>
          </w:p>
        </w:tc>
        <w:tc>
          <w:tcPr>
            <w:tcW w:w="3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42</w:t>
            </w:r>
          </w:p>
        </w:tc>
        <w:tc>
          <w:tcPr>
            <w:tcW w:w="60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190"/>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Average interest rate</w:t>
            </w:r>
          </w:p>
        </w:tc>
        <w:tc>
          <w:tcPr>
            <w:tcW w:w="1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0.83</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4"/>
                <w:szCs w:val="14"/>
                <w:color w:val="auto"/>
                <w:w w:val="96"/>
              </w:rPr>
              <w:t>%</w:t>
            </w:r>
          </w:p>
        </w:tc>
        <w:tc>
          <w:tcPr>
            <w:tcW w:w="500" w:type="dxa"/>
            <w:vAlign w:val="bottom"/>
            <w:shd w:val="clear" w:color="auto" w:fill="CCEEFF"/>
          </w:tcPr>
          <w:p>
            <w:pPr>
              <w:spacing w:after="0"/>
              <w:rPr>
                <w:sz w:val="16"/>
                <w:szCs w:val="16"/>
                <w:color w:val="auto"/>
              </w:rPr>
            </w:pPr>
          </w:p>
        </w:tc>
      </w:tr>
      <w:tr>
        <w:trPr>
          <w:trHeight w:val="182"/>
        </w:trPr>
        <w:tc>
          <w:tcPr>
            <w:tcW w:w="2720" w:type="dxa"/>
            <w:vAlign w:val="bottom"/>
          </w:tcPr>
          <w:p>
            <w:pPr>
              <w:ind w:left="20"/>
              <w:spacing w:after="0"/>
              <w:rPr>
                <w:sz w:val="20"/>
                <w:szCs w:val="20"/>
                <w:color w:val="auto"/>
              </w:rPr>
            </w:pPr>
            <w:r>
              <w:rPr>
                <w:rFonts w:ascii="Arial" w:cs="Arial" w:eastAsia="Arial" w:hAnsi="Arial"/>
                <w:sz w:val="14"/>
                <w:szCs w:val="14"/>
                <w:color w:val="auto"/>
              </w:rPr>
              <w:t>Floating-rate notes receivable</w:t>
            </w:r>
          </w:p>
        </w:tc>
        <w:tc>
          <w:tcPr>
            <w:tcW w:w="1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
              <w:spacing w:after="0"/>
              <w:rPr>
                <w:sz w:val="20"/>
                <w:szCs w:val="20"/>
                <w:color w:val="auto"/>
              </w:rPr>
            </w:pPr>
            <w:r>
              <w:rPr>
                <w:rFonts w:ascii="Arial" w:cs="Arial" w:eastAsia="Arial" w:hAnsi="Arial"/>
                <w:sz w:val="14"/>
                <w:szCs w:val="14"/>
                <w:color w:val="auto"/>
              </w:rPr>
              <w:t>2</w:t>
            </w:r>
          </w:p>
        </w:tc>
        <w:tc>
          <w:tcPr>
            <w:tcW w:w="44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0"/>
              <w:spacing w:after="0"/>
              <w:rPr>
                <w:sz w:val="20"/>
                <w:szCs w:val="20"/>
                <w:color w:val="auto"/>
              </w:rPr>
            </w:pPr>
            <w:r>
              <w:rPr>
                <w:rFonts w:ascii="Arial" w:cs="Arial" w:eastAsia="Arial" w:hAnsi="Arial"/>
                <w:sz w:val="14"/>
                <w:szCs w:val="14"/>
                <w:color w:val="auto"/>
              </w:rPr>
              <w:t>83</w:t>
            </w:r>
          </w:p>
        </w:tc>
        <w:tc>
          <w:tcPr>
            <w:tcW w:w="480" w:type="dxa"/>
            <w:vAlign w:val="bottom"/>
          </w:tcPr>
          <w:p>
            <w:pPr>
              <w:jc w:val="right"/>
              <w:ind w:right="25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30"/>
              <w:spacing w:after="0"/>
              <w:rPr>
                <w:sz w:val="20"/>
                <w:szCs w:val="20"/>
                <w:color w:val="auto"/>
              </w:rPr>
            </w:pPr>
            <w:r>
              <w:rPr>
                <w:rFonts w:ascii="Arial" w:cs="Arial" w:eastAsia="Arial" w:hAnsi="Arial"/>
                <w:sz w:val="14"/>
                <w:szCs w:val="14"/>
                <w:color w:val="auto"/>
              </w:rPr>
              <w:t>1</w:t>
            </w:r>
          </w:p>
        </w:tc>
        <w:tc>
          <w:tcPr>
            <w:tcW w:w="42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0"/>
              <w:spacing w:after="0"/>
              <w:rPr>
                <w:sz w:val="20"/>
                <w:szCs w:val="20"/>
                <w:color w:val="auto"/>
              </w:rPr>
            </w:pPr>
            <w:r>
              <w:rPr>
                <w:rFonts w:ascii="Arial" w:cs="Arial" w:eastAsia="Arial" w:hAnsi="Arial"/>
                <w:sz w:val="14"/>
                <w:szCs w:val="14"/>
                <w:color w:val="auto"/>
              </w:rPr>
              <w:t>13</w:t>
            </w:r>
          </w:p>
        </w:tc>
        <w:tc>
          <w:tcPr>
            <w:tcW w:w="46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44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0"/>
              <w:spacing w:after="0"/>
              <w:rPr>
                <w:sz w:val="20"/>
                <w:szCs w:val="20"/>
                <w:color w:val="auto"/>
              </w:rPr>
            </w:pPr>
            <w:r>
              <w:rPr>
                <w:rFonts w:ascii="Arial" w:cs="Arial" w:eastAsia="Arial" w:hAnsi="Arial"/>
                <w:sz w:val="14"/>
                <w:szCs w:val="14"/>
                <w:color w:val="auto"/>
              </w:rPr>
              <w:t>21</w:t>
            </w:r>
          </w:p>
        </w:tc>
        <w:tc>
          <w:tcPr>
            <w:tcW w:w="3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121</w:t>
            </w:r>
          </w:p>
        </w:tc>
        <w:tc>
          <w:tcPr>
            <w:tcW w:w="60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112</w:t>
            </w:r>
          </w:p>
        </w:tc>
      </w:tr>
      <w:tr>
        <w:trPr>
          <w:trHeight w:val="187"/>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Average interest rate</w:t>
            </w:r>
          </w:p>
        </w:tc>
        <w:tc>
          <w:tcPr>
            <w:tcW w:w="1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4"/>
                <w:szCs w:val="14"/>
                <w:color w:val="auto"/>
                <w:w w:val="96"/>
              </w:rPr>
              <w:t>%</w:t>
            </w:r>
          </w:p>
        </w:tc>
        <w:tc>
          <w:tcPr>
            <w:tcW w:w="500" w:type="dxa"/>
            <w:vAlign w:val="bottom"/>
            <w:shd w:val="clear" w:color="auto" w:fill="CCEEFF"/>
          </w:tcPr>
          <w:p>
            <w:pPr>
              <w:spacing w:after="0"/>
              <w:rPr>
                <w:sz w:val="16"/>
                <w:szCs w:val="16"/>
                <w:color w:val="auto"/>
              </w:rPr>
            </w:pP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xml:space="preserve">Liabilities </w:t>
      </w:r>
      <w:r>
        <w:rPr>
          <w:rFonts w:ascii="Arial" w:cs="Arial" w:eastAsia="Arial" w:hAnsi="Arial"/>
          <w:sz w:val="14"/>
          <w:szCs w:val="14"/>
          <w:color w:val="auto"/>
        </w:rPr>
        <w:t>- Maturities represent expected principal payments, fair values represent liabilities.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Fixed-rate debt</w:t>
            </w: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(572)</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(674)</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(2,293)</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(3,804)</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(8,192)</w:t>
            </w: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(9,100)</w:t>
            </w:r>
          </w:p>
        </w:tc>
      </w:tr>
      <w:tr>
        <w:trPr>
          <w:trHeight w:val="182"/>
        </w:trPr>
        <w:tc>
          <w:tcPr>
            <w:tcW w:w="2460" w:type="dxa"/>
            <w:vAlign w:val="bottom"/>
          </w:tcPr>
          <w:p>
            <w:pPr>
              <w:ind w:left="20"/>
              <w:spacing w:after="0"/>
              <w:rPr>
                <w:sz w:val="20"/>
                <w:szCs w:val="20"/>
                <w:color w:val="auto"/>
              </w:rPr>
            </w:pPr>
            <w:r>
              <w:rPr>
                <w:rFonts w:ascii="Arial" w:cs="Arial" w:eastAsia="Arial" w:hAnsi="Arial"/>
                <w:sz w:val="14"/>
                <w:szCs w:val="14"/>
                <w:color w:val="auto"/>
              </w:rPr>
              <w:t>Average interest rate</w:t>
            </w: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4.06</w:t>
            </w:r>
          </w:p>
        </w:tc>
        <w:tc>
          <w:tcPr>
            <w:tcW w:w="480" w:type="dxa"/>
            <w:vAlign w:val="bottom"/>
          </w:tcPr>
          <w:p>
            <w:pPr>
              <w:jc w:val="right"/>
              <w:ind w:right="290"/>
              <w:spacing w:after="0"/>
              <w:rPr>
                <w:sz w:val="20"/>
                <w:szCs w:val="20"/>
                <w:color w:val="auto"/>
              </w:rPr>
            </w:pPr>
            <w:r>
              <w:rPr>
                <w:rFonts w:ascii="Arial" w:cs="Arial" w:eastAsia="Arial" w:hAnsi="Arial"/>
                <w:sz w:val="14"/>
                <w:szCs w:val="14"/>
                <w:color w:val="auto"/>
                <w:w w:val="79"/>
              </w:rPr>
              <w:t>%</w:t>
            </w:r>
          </w:p>
        </w:tc>
        <w:tc>
          <w:tcPr>
            <w:tcW w:w="600" w:type="dxa"/>
            <w:vAlign w:val="bottom"/>
          </w:tcPr>
          <w:p>
            <w:pPr>
              <w:spacing w:after="0"/>
              <w:rPr>
                <w:sz w:val="15"/>
                <w:szCs w:val="15"/>
                <w:color w:val="auto"/>
              </w:rPr>
            </w:pPr>
          </w:p>
        </w:tc>
      </w:tr>
      <w:tr>
        <w:trPr>
          <w:trHeight w:val="187"/>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Floating-rate debt</w:t>
            </w: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(228)</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(1,486)</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w:t>
            </w: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(2,035)</w:t>
            </w:r>
          </w:p>
        </w:tc>
      </w:tr>
      <w:tr>
        <w:trPr>
          <w:trHeight w:val="179"/>
        </w:trPr>
        <w:tc>
          <w:tcPr>
            <w:tcW w:w="2460" w:type="dxa"/>
            <w:vAlign w:val="bottom"/>
          </w:tcPr>
          <w:p>
            <w:pPr>
              <w:ind w:left="20"/>
              <w:spacing w:after="0"/>
              <w:rPr>
                <w:sz w:val="20"/>
                <w:szCs w:val="20"/>
                <w:color w:val="auto"/>
              </w:rPr>
            </w:pPr>
            <w:r>
              <w:rPr>
                <w:rFonts w:ascii="Arial" w:cs="Arial" w:eastAsia="Arial" w:hAnsi="Arial"/>
                <w:sz w:val="14"/>
                <w:szCs w:val="14"/>
                <w:color w:val="auto"/>
              </w:rPr>
              <w:t>Average interest rate</w:t>
            </w: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1.63</w:t>
            </w:r>
          </w:p>
        </w:tc>
        <w:tc>
          <w:tcPr>
            <w:tcW w:w="480" w:type="dxa"/>
            <w:vAlign w:val="bottom"/>
          </w:tcPr>
          <w:p>
            <w:pPr>
              <w:jc w:val="right"/>
              <w:ind w:right="290"/>
              <w:spacing w:after="0"/>
              <w:rPr>
                <w:sz w:val="20"/>
                <w:szCs w:val="20"/>
                <w:color w:val="auto"/>
              </w:rPr>
            </w:pPr>
            <w:r>
              <w:rPr>
                <w:rFonts w:ascii="Arial" w:cs="Arial" w:eastAsia="Arial" w:hAnsi="Arial"/>
                <w:sz w:val="14"/>
                <w:szCs w:val="14"/>
                <w:color w:val="auto"/>
                <w:w w:val="79"/>
              </w:rPr>
              <w:t>%</w:t>
            </w:r>
          </w:p>
        </w:tc>
        <w:tc>
          <w:tcPr>
            <w:tcW w:w="60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9480" w:type="dxa"/>
            <w:vAlign w:val="bottom"/>
            <w:gridSpan w:val="25"/>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9"/>
        </w:trPr>
        <w:tc>
          <w:tcPr>
            <w:tcW w:w="9480" w:type="dxa"/>
            <w:vAlign w:val="bottom"/>
            <w:gridSpan w:val="25"/>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9480" w:type="dxa"/>
            <w:vAlign w:val="bottom"/>
            <w:gridSpan w:val="25"/>
          </w:tcPr>
          <w:p>
            <w:pPr>
              <w:ind w:left="440"/>
              <w:spacing w:after="0"/>
              <w:rPr>
                <w:sz w:val="20"/>
                <w:szCs w:val="20"/>
                <w:color w:val="auto"/>
              </w:rPr>
            </w:pPr>
            <w:r>
              <w:rPr>
                <w:rFonts w:ascii="Arial" w:cs="Arial" w:eastAsia="Arial" w:hAnsi="Arial"/>
                <w:sz w:val="18"/>
                <w:szCs w:val="18"/>
                <w:color w:val="auto"/>
              </w:rPr>
              <w:t>The following financial information is included on the pages indicated:</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8340" w:type="dxa"/>
            <w:vAlign w:val="bottom"/>
            <w:gridSpan w:val="24"/>
          </w:tcPr>
          <w:p>
            <w:pPr>
              <w:spacing w:after="0" w:line="191" w:lineRule="exact"/>
              <w:rPr>
                <w:rFonts w:ascii="Arial" w:cs="Arial" w:eastAsia="Arial" w:hAnsi="Arial"/>
                <w:sz w:val="18"/>
                <w:szCs w:val="18"/>
                <w:color w:val="0000FF"/>
              </w:rPr>
            </w:pPr>
            <w:hyperlink w:anchor="page40">
              <w:r>
                <w:rPr>
                  <w:rFonts w:ascii="Arial" w:cs="Arial" w:eastAsia="Arial" w:hAnsi="Arial"/>
                  <w:sz w:val="18"/>
                  <w:szCs w:val="18"/>
                  <w:color w:val="0000FF"/>
                </w:rPr>
                <w:t>Management’s Report on Internal Control Over Financial Reporting</w:t>
              </w:r>
            </w:hyperlink>
          </w:p>
        </w:tc>
        <w:tc>
          <w:tcPr>
            <w:tcW w:w="640" w:type="dxa"/>
            <w:vAlign w:val="bottom"/>
            <w:gridSpan w:val="3"/>
          </w:tcPr>
          <w:p>
            <w:pPr>
              <w:jc w:val="right"/>
              <w:ind w:right="20"/>
              <w:spacing w:after="0" w:line="191" w:lineRule="exact"/>
              <w:rPr>
                <w:rFonts w:ascii="Arial" w:cs="Arial" w:eastAsia="Arial" w:hAnsi="Arial"/>
                <w:sz w:val="18"/>
                <w:szCs w:val="18"/>
                <w:color w:val="0000FF"/>
              </w:rPr>
            </w:pPr>
            <w:hyperlink w:anchor="page40">
              <w:r>
                <w:rPr>
                  <w:rFonts w:ascii="Arial" w:cs="Arial" w:eastAsia="Arial" w:hAnsi="Arial"/>
                  <w:sz w:val="18"/>
                  <w:szCs w:val="18"/>
                  <w:color w:val="0000FF"/>
                </w:rPr>
                <w:t>41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140" w:type="dxa"/>
            <w:vAlign w:val="bottom"/>
          </w:tcPr>
          <w:p>
            <w:pPr>
              <w:spacing w:after="0"/>
              <w:rPr>
                <w:sz w:val="24"/>
                <w:szCs w:val="24"/>
                <w:color w:val="auto"/>
              </w:rPr>
            </w:pPr>
          </w:p>
        </w:tc>
        <w:tc>
          <w:tcPr>
            <w:tcW w:w="4120" w:type="dxa"/>
            <w:vAlign w:val="bottom"/>
            <w:gridSpan w:val="22"/>
          </w:tcPr>
          <w:p>
            <w:pPr>
              <w:spacing w:after="0"/>
              <w:rPr>
                <w:rFonts w:ascii="Arial" w:cs="Arial" w:eastAsia="Arial" w:hAnsi="Arial"/>
                <w:sz w:val="18"/>
                <w:szCs w:val="18"/>
                <w:color w:val="0000FF"/>
                <w:w w:val="88"/>
              </w:rPr>
            </w:pPr>
            <w:hyperlink w:anchor="page41">
              <w:r>
                <w:rPr>
                  <w:rFonts w:ascii="Arial" w:cs="Arial" w:eastAsia="Arial" w:hAnsi="Arial"/>
                  <w:sz w:val="18"/>
                  <w:szCs w:val="18"/>
                  <w:color w:val="0000FF"/>
                  <w:w w:val="88"/>
                </w:rPr>
                <w:t>Report of Independent Registered Public Accounting Firm</w:t>
              </w:r>
            </w:hyperlink>
          </w:p>
        </w:tc>
        <w:tc>
          <w:tcPr>
            <w:tcW w:w="6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gridSpan w:val="2"/>
          </w:tcPr>
          <w:p>
            <w:pPr>
              <w:jc w:val="right"/>
              <w:ind w:right="20"/>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42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140" w:type="dxa"/>
            <w:vAlign w:val="bottom"/>
          </w:tcPr>
          <w:p>
            <w:pPr>
              <w:spacing w:after="0"/>
              <w:rPr>
                <w:sz w:val="24"/>
                <w:szCs w:val="24"/>
                <w:color w:val="auto"/>
              </w:rPr>
            </w:pPr>
          </w:p>
        </w:tc>
        <w:tc>
          <w:tcPr>
            <w:tcW w:w="4120" w:type="dxa"/>
            <w:vAlign w:val="bottom"/>
            <w:gridSpan w:val="22"/>
          </w:tcPr>
          <w:p>
            <w:pPr>
              <w:spacing w:after="0"/>
              <w:rPr>
                <w:rFonts w:ascii="Arial" w:cs="Arial" w:eastAsia="Arial" w:hAnsi="Arial"/>
                <w:sz w:val="18"/>
                <w:szCs w:val="18"/>
                <w:color w:val="0000FF"/>
                <w:w w:val="88"/>
              </w:rPr>
            </w:pPr>
            <w:hyperlink w:anchor="page42">
              <w:r>
                <w:rPr>
                  <w:rFonts w:ascii="Arial" w:cs="Arial" w:eastAsia="Arial" w:hAnsi="Arial"/>
                  <w:sz w:val="18"/>
                  <w:szCs w:val="18"/>
                  <w:color w:val="0000FF"/>
                  <w:w w:val="88"/>
                </w:rPr>
                <w:t>Report of Independent Registered Public Accounting Firm</w:t>
              </w:r>
            </w:hyperlink>
          </w:p>
        </w:tc>
        <w:tc>
          <w:tcPr>
            <w:tcW w:w="422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gridSpan w:val="2"/>
          </w:tcPr>
          <w:p>
            <w:pPr>
              <w:jc w:val="right"/>
              <w:ind w:right="20"/>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140" w:type="dxa"/>
            <w:vAlign w:val="bottom"/>
          </w:tcPr>
          <w:p>
            <w:pPr>
              <w:spacing w:after="0"/>
              <w:rPr>
                <w:sz w:val="24"/>
                <w:szCs w:val="24"/>
                <w:color w:val="auto"/>
              </w:rPr>
            </w:pPr>
          </w:p>
        </w:tc>
        <w:tc>
          <w:tcPr>
            <w:tcW w:w="3000" w:type="dxa"/>
            <w:vAlign w:val="bottom"/>
            <w:gridSpan w:val="17"/>
          </w:tcPr>
          <w:p>
            <w:pPr>
              <w:spacing w:after="0"/>
              <w:rPr>
                <w:rFonts w:ascii="Arial" w:cs="Arial" w:eastAsia="Arial" w:hAnsi="Arial"/>
                <w:sz w:val="18"/>
                <w:szCs w:val="18"/>
                <w:color w:val="0000FF"/>
                <w:w w:val="87"/>
              </w:rPr>
            </w:pPr>
            <w:hyperlink w:anchor="page46">
              <w:r>
                <w:rPr>
                  <w:rFonts w:ascii="Arial" w:cs="Arial" w:eastAsia="Arial" w:hAnsi="Arial"/>
                  <w:sz w:val="18"/>
                  <w:szCs w:val="18"/>
                  <w:color w:val="0000FF"/>
                  <w:w w:val="87"/>
                </w:rPr>
                <w:t>Consolidated Statements of (Loss) Income</w:t>
              </w:r>
            </w:hyperlink>
          </w:p>
        </w:tc>
        <w:tc>
          <w:tcPr>
            <w:tcW w:w="1120" w:type="dxa"/>
            <w:vAlign w:val="bottom"/>
            <w:gridSpan w:val="5"/>
          </w:tcPr>
          <w:p>
            <w:pPr>
              <w:spacing w:after="0"/>
              <w:rPr>
                <w:sz w:val="24"/>
                <w:szCs w:val="24"/>
                <w:color w:val="auto"/>
              </w:rPr>
            </w:pPr>
          </w:p>
        </w:tc>
        <w:tc>
          <w:tcPr>
            <w:tcW w:w="422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gridSpan w:val="2"/>
          </w:tcPr>
          <w:p>
            <w:pPr>
              <w:jc w:val="right"/>
              <w:ind w:right="20"/>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47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140" w:type="dxa"/>
            <w:vAlign w:val="bottom"/>
          </w:tcPr>
          <w:p>
            <w:pPr>
              <w:spacing w:after="0"/>
              <w:rPr>
                <w:sz w:val="24"/>
                <w:szCs w:val="24"/>
                <w:color w:val="auto"/>
              </w:rPr>
            </w:pPr>
          </w:p>
        </w:tc>
        <w:tc>
          <w:tcPr>
            <w:tcW w:w="8340" w:type="dxa"/>
            <w:vAlign w:val="bottom"/>
            <w:gridSpan w:val="24"/>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Consolidated Statements of Comprehensive (Loss) Income</w:t>
              </w:r>
            </w:hyperlink>
          </w:p>
        </w:tc>
        <w:tc>
          <w:tcPr>
            <w:tcW w:w="640" w:type="dxa"/>
            <w:vAlign w:val="bottom"/>
            <w:gridSpan w:val="3"/>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140" w:type="dxa"/>
            <w:vAlign w:val="bottom"/>
          </w:tcPr>
          <w:p>
            <w:pPr>
              <w:spacing w:after="0"/>
              <w:rPr>
                <w:sz w:val="24"/>
                <w:szCs w:val="24"/>
                <w:color w:val="auto"/>
              </w:rPr>
            </w:pPr>
          </w:p>
        </w:tc>
        <w:tc>
          <w:tcPr>
            <w:tcW w:w="2060" w:type="dxa"/>
            <w:vAlign w:val="bottom"/>
            <w:gridSpan w:val="10"/>
          </w:tcPr>
          <w:p>
            <w:pPr>
              <w:spacing w:after="0"/>
              <w:rPr>
                <w:rFonts w:ascii="Arial" w:cs="Arial" w:eastAsia="Arial" w:hAnsi="Arial"/>
                <w:sz w:val="18"/>
                <w:szCs w:val="18"/>
                <w:color w:val="0000FF"/>
                <w:w w:val="85"/>
              </w:rPr>
            </w:pPr>
            <w:hyperlink w:anchor="page48">
              <w:r>
                <w:rPr>
                  <w:rFonts w:ascii="Arial" w:cs="Arial" w:eastAsia="Arial" w:hAnsi="Arial"/>
                  <w:sz w:val="18"/>
                  <w:szCs w:val="18"/>
                  <w:color w:val="0000FF"/>
                  <w:w w:val="85"/>
                </w:rPr>
                <w:t>Consolidated Balance Sheets</w:t>
              </w:r>
            </w:hyperlink>
          </w:p>
        </w:tc>
        <w:tc>
          <w:tcPr>
            <w:tcW w:w="2060" w:type="dxa"/>
            <w:vAlign w:val="bottom"/>
            <w:gridSpan w:val="12"/>
          </w:tcPr>
          <w:p>
            <w:pPr>
              <w:spacing w:after="0"/>
              <w:rPr>
                <w:sz w:val="24"/>
                <w:szCs w:val="24"/>
                <w:color w:val="auto"/>
              </w:rPr>
            </w:pPr>
          </w:p>
        </w:tc>
        <w:tc>
          <w:tcPr>
            <w:tcW w:w="422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gridSpan w:val="2"/>
          </w:tcPr>
          <w:p>
            <w:pPr>
              <w:jc w:val="right"/>
              <w:ind w:right="20"/>
              <w:spacing w:after="0"/>
              <w:rPr>
                <w:rFonts w:ascii="Arial" w:cs="Arial" w:eastAsia="Arial" w:hAnsi="Arial"/>
                <w:sz w:val="18"/>
                <w:szCs w:val="18"/>
                <w:color w:val="0000FF"/>
                <w:w w:val="79"/>
              </w:rPr>
            </w:pPr>
            <w:hyperlink w:anchor="page48">
              <w:r>
                <w:rPr>
                  <w:rFonts w:ascii="Arial" w:cs="Arial" w:eastAsia="Arial" w:hAnsi="Arial"/>
                  <w:sz w:val="18"/>
                  <w:szCs w:val="18"/>
                  <w:color w:val="0000FF"/>
                  <w:w w:val="79"/>
                </w:rPr>
                <w:t>49</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140" w:type="dxa"/>
            <w:vAlign w:val="bottom"/>
          </w:tcPr>
          <w:p>
            <w:pPr>
              <w:spacing w:after="0"/>
              <w:rPr>
                <w:sz w:val="24"/>
                <w:szCs w:val="24"/>
                <w:color w:val="auto"/>
              </w:rPr>
            </w:pPr>
          </w:p>
        </w:tc>
        <w:tc>
          <w:tcPr>
            <w:tcW w:w="8340" w:type="dxa"/>
            <w:vAlign w:val="bottom"/>
            <w:gridSpan w:val="24"/>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Consolidated Statements of Cash Flows</w:t>
              </w:r>
            </w:hyperlink>
          </w:p>
        </w:tc>
        <w:tc>
          <w:tcPr>
            <w:tcW w:w="640" w:type="dxa"/>
            <w:vAlign w:val="bottom"/>
            <w:gridSpan w:val="3"/>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50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140" w:type="dxa"/>
            <w:vAlign w:val="bottom"/>
          </w:tcPr>
          <w:p>
            <w:pPr>
              <w:spacing w:after="0"/>
              <w:rPr>
                <w:sz w:val="24"/>
                <w:szCs w:val="24"/>
                <w:color w:val="auto"/>
              </w:rPr>
            </w:pPr>
          </w:p>
        </w:tc>
        <w:tc>
          <w:tcPr>
            <w:tcW w:w="8340" w:type="dxa"/>
            <w:vAlign w:val="bottom"/>
            <w:gridSpan w:val="24"/>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Consolidated Statements of Stockholders’ Equity</w:t>
              </w:r>
            </w:hyperlink>
          </w:p>
        </w:tc>
        <w:tc>
          <w:tcPr>
            <w:tcW w:w="640" w:type="dxa"/>
            <w:vAlign w:val="bottom"/>
            <w:gridSpan w:val="3"/>
          </w:tcPr>
          <w:p>
            <w:pPr>
              <w:jc w:val="right"/>
              <w:ind w:right="20"/>
              <w:spacing w:after="0"/>
              <w:rPr>
                <w:rFonts w:ascii="Arial" w:cs="Arial" w:eastAsia="Arial" w:hAnsi="Arial"/>
                <w:sz w:val="18"/>
                <w:szCs w:val="18"/>
                <w:color w:val="0000FF"/>
              </w:rPr>
            </w:pPr>
            <w:hyperlink w:anchor="page50">
              <w:r>
                <w:rPr>
                  <w:rFonts w:ascii="Arial" w:cs="Arial" w:eastAsia="Arial" w:hAnsi="Arial"/>
                  <w:sz w:val="18"/>
                  <w:szCs w:val="18"/>
                  <w:color w:val="0000FF"/>
                </w:rPr>
                <w:t>51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140" w:type="dxa"/>
            <w:vAlign w:val="bottom"/>
          </w:tcPr>
          <w:p>
            <w:pPr>
              <w:spacing w:after="0"/>
              <w:rPr>
                <w:sz w:val="24"/>
                <w:szCs w:val="24"/>
                <w:color w:val="auto"/>
              </w:rPr>
            </w:pPr>
          </w:p>
        </w:tc>
        <w:tc>
          <w:tcPr>
            <w:tcW w:w="3080" w:type="dxa"/>
            <w:vAlign w:val="bottom"/>
            <w:gridSpan w:val="18"/>
          </w:tcPr>
          <w:p>
            <w:pPr>
              <w:spacing w:after="0"/>
              <w:rPr>
                <w:rFonts w:ascii="Arial" w:cs="Arial" w:eastAsia="Arial" w:hAnsi="Arial"/>
                <w:sz w:val="18"/>
                <w:szCs w:val="18"/>
                <w:color w:val="0000FF"/>
                <w:w w:val="87"/>
              </w:rPr>
            </w:pPr>
            <w:hyperlink w:anchor="page51">
              <w:r>
                <w:rPr>
                  <w:rFonts w:ascii="Arial" w:cs="Arial" w:eastAsia="Arial" w:hAnsi="Arial"/>
                  <w:sz w:val="18"/>
                  <w:szCs w:val="18"/>
                  <w:color w:val="0000FF"/>
                  <w:w w:val="87"/>
                </w:rPr>
                <w:t>Notes to Consolidated Financial Statements</w:t>
              </w:r>
            </w:hyperlink>
          </w:p>
        </w:tc>
        <w:tc>
          <w:tcPr>
            <w:tcW w:w="380" w:type="dxa"/>
            <w:vAlign w:val="bottom"/>
            <w:gridSpan w:val="2"/>
          </w:tcPr>
          <w:p>
            <w:pPr>
              <w:spacing w:after="0"/>
              <w:rPr>
                <w:sz w:val="24"/>
                <w:szCs w:val="24"/>
                <w:color w:val="auto"/>
              </w:rPr>
            </w:pPr>
          </w:p>
        </w:tc>
        <w:tc>
          <w:tcPr>
            <w:tcW w:w="4880" w:type="dxa"/>
            <w:vAlign w:val="bottom"/>
            <w:gridSpan w:val="4"/>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gridSpan w:val="2"/>
          </w:tcPr>
          <w:p>
            <w:pPr>
              <w:jc w:val="right"/>
              <w:ind w:right="20"/>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52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gridSpan w:val="16"/>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Basis of Presentation</w:t>
              </w:r>
            </w:hyperlink>
          </w:p>
        </w:tc>
        <w:tc>
          <w:tcPr>
            <w:tcW w:w="5260" w:type="dxa"/>
            <w:vAlign w:val="bottom"/>
            <w:gridSpan w:val="6"/>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gridSpan w:val="2"/>
          </w:tcPr>
          <w:p>
            <w:pPr>
              <w:jc w:val="right"/>
              <w:ind w:right="20"/>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52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tcBorders>
              <w:bottom w:val="single" w:sz="8" w:color="0000FF"/>
            </w:tcBorders>
            <w:gridSpan w:val="19"/>
          </w:tcPr>
          <w:p>
            <w:pPr>
              <w:spacing w:after="0" w:line="190" w:lineRule="exact"/>
              <w:rPr>
                <w:rFonts w:ascii="Arial" w:cs="Arial" w:eastAsia="Arial" w:hAnsi="Arial"/>
                <w:sz w:val="18"/>
                <w:szCs w:val="18"/>
                <w:color w:val="0000FF"/>
                <w:w w:val="90"/>
              </w:rPr>
            </w:pPr>
            <w:hyperlink w:anchor="page52">
              <w:r>
                <w:rPr>
                  <w:rFonts w:ascii="Arial" w:cs="Arial" w:eastAsia="Arial" w:hAnsi="Arial"/>
                  <w:sz w:val="18"/>
                  <w:szCs w:val="18"/>
                  <w:color w:val="0000FF"/>
                  <w:w w:val="90"/>
                </w:rPr>
                <w:t>Summary of Significant Accounting Policies</w:t>
              </w:r>
            </w:hyperlink>
          </w:p>
        </w:tc>
        <w:tc>
          <w:tcPr>
            <w:tcW w:w="4860" w:type="dxa"/>
            <w:vAlign w:val="bottom"/>
            <w:gridSpan w:val="3"/>
          </w:tcPr>
          <w:p>
            <w:pPr>
              <w:spacing w:after="0"/>
              <w:rPr>
                <w:sz w:val="17"/>
                <w:szCs w:val="17"/>
                <w:color w:val="auto"/>
              </w:rPr>
            </w:pPr>
          </w:p>
        </w:tc>
        <w:tc>
          <w:tcPr>
            <w:tcW w:w="640" w:type="dxa"/>
            <w:vAlign w:val="bottom"/>
            <w:gridSpan w:val="3"/>
          </w:tcPr>
          <w:p>
            <w:pPr>
              <w:jc w:val="right"/>
              <w:ind w:right="20"/>
              <w:spacing w:after="0" w:line="204" w:lineRule="exact"/>
              <w:rPr>
                <w:rFonts w:ascii="Arial" w:cs="Arial" w:eastAsia="Arial" w:hAnsi="Arial"/>
                <w:sz w:val="18"/>
                <w:szCs w:val="18"/>
                <w:color w:val="0000FF"/>
              </w:rPr>
            </w:pPr>
            <w:hyperlink w:anchor="page52">
              <w:r>
                <w:rPr>
                  <w:rFonts w:ascii="Arial" w:cs="Arial" w:eastAsia="Arial" w:hAnsi="Arial"/>
                  <w:sz w:val="18"/>
                  <w:szCs w:val="18"/>
                  <w:color w:val="0000FF"/>
                </w:rPr>
                <w:t>52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gridSpan w:val="7"/>
            <w:vMerge w:val="restart"/>
          </w:tcPr>
          <w:p>
            <w:pPr>
              <w:spacing w:after="0"/>
              <w:rPr>
                <w:rFonts w:ascii="Arial" w:cs="Arial" w:eastAsia="Arial" w:hAnsi="Arial"/>
                <w:sz w:val="18"/>
                <w:szCs w:val="18"/>
                <w:color w:val="0000FF"/>
                <w:w w:val="86"/>
              </w:rPr>
            </w:pPr>
            <w:hyperlink w:anchor="page60">
              <w:r>
                <w:rPr>
                  <w:rFonts w:ascii="Arial" w:cs="Arial" w:eastAsia="Arial" w:hAnsi="Arial"/>
                  <w:sz w:val="18"/>
                  <w:szCs w:val="18"/>
                  <w:color w:val="0000FF"/>
                  <w:w w:val="86"/>
                </w:rPr>
                <w:t>Restructuring Charges</w:t>
              </w:r>
            </w:hyperlink>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Borders>
              <w:bottom w:val="single" w:sz="8" w:color="0000FF"/>
            </w:tcBorders>
            <w:gridSpan w:val="7"/>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gridSpan w:val="3"/>
          </w:tcPr>
          <w:p>
            <w:pPr>
              <w:spacing w:after="0"/>
              <w:rPr>
                <w:sz w:val="16"/>
                <w:szCs w:val="16"/>
                <w:color w:val="auto"/>
              </w:rPr>
            </w:pPr>
          </w:p>
        </w:tc>
        <w:tc>
          <w:tcPr>
            <w:tcW w:w="5120" w:type="dxa"/>
            <w:vAlign w:val="bottom"/>
            <w:gridSpan w:val="5"/>
          </w:tcPr>
          <w:p>
            <w:pPr>
              <w:spacing w:after="0"/>
              <w:rPr>
                <w:sz w:val="16"/>
                <w:szCs w:val="16"/>
                <w:color w:val="auto"/>
              </w:rPr>
            </w:pPr>
          </w:p>
        </w:tc>
        <w:tc>
          <w:tcPr>
            <w:tcW w:w="640" w:type="dxa"/>
            <w:vAlign w:val="bottom"/>
            <w:gridSpan w:val="3"/>
          </w:tcPr>
          <w:p>
            <w:pPr>
              <w:jc w:val="right"/>
              <w:ind w:right="20"/>
              <w:spacing w:after="0" w:line="190" w:lineRule="exact"/>
              <w:rPr>
                <w:rFonts w:ascii="Arial" w:cs="Arial" w:eastAsia="Arial" w:hAnsi="Arial"/>
                <w:sz w:val="18"/>
                <w:szCs w:val="18"/>
                <w:color w:val="0000FF"/>
              </w:rPr>
            </w:pPr>
            <w:hyperlink w:anchor="page60">
              <w:r>
                <w:rPr>
                  <w:rFonts w:ascii="Arial" w:cs="Arial" w:eastAsia="Arial" w:hAnsi="Arial"/>
                  <w:sz w:val="18"/>
                  <w:szCs w:val="18"/>
                  <w:color w:val="0000FF"/>
                </w:rPr>
                <w:t>60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gridSpan w:val="11"/>
            <w:vMerge w:val="restart"/>
          </w:tcPr>
          <w:p>
            <w:pPr>
              <w:spacing w:after="0"/>
              <w:rPr>
                <w:rFonts w:ascii="Arial" w:cs="Arial" w:eastAsia="Arial" w:hAnsi="Arial"/>
                <w:sz w:val="18"/>
                <w:szCs w:val="18"/>
                <w:color w:val="0000FF"/>
                <w:w w:val="89"/>
              </w:rPr>
            </w:pPr>
            <w:hyperlink w:anchor="page60">
              <w:r>
                <w:rPr>
                  <w:rFonts w:ascii="Arial" w:cs="Arial" w:eastAsia="Arial" w:hAnsi="Arial"/>
                  <w:sz w:val="18"/>
                  <w:szCs w:val="18"/>
                  <w:color w:val="0000FF"/>
                  <w:w w:val="89"/>
                </w:rPr>
                <w:t>Dispositions and Acquisitions</w:t>
              </w:r>
            </w:hyperlink>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tcBorders>
              <w:bottom w:val="single" w:sz="8" w:color="0000FF"/>
            </w:tcBorders>
            <w:gridSpan w:val="11"/>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gridSpan w:val="3"/>
          </w:tcPr>
          <w:p>
            <w:pPr>
              <w:spacing w:after="0"/>
              <w:rPr>
                <w:sz w:val="16"/>
                <w:szCs w:val="16"/>
                <w:color w:val="auto"/>
              </w:rPr>
            </w:pPr>
          </w:p>
        </w:tc>
        <w:tc>
          <w:tcPr>
            <w:tcW w:w="5120" w:type="dxa"/>
            <w:vAlign w:val="bottom"/>
            <w:gridSpan w:val="5"/>
          </w:tcPr>
          <w:p>
            <w:pPr>
              <w:spacing w:after="0"/>
              <w:rPr>
                <w:sz w:val="16"/>
                <w:szCs w:val="16"/>
                <w:color w:val="auto"/>
              </w:rPr>
            </w:pPr>
          </w:p>
        </w:tc>
        <w:tc>
          <w:tcPr>
            <w:tcW w:w="640" w:type="dxa"/>
            <w:vAlign w:val="bottom"/>
            <w:gridSpan w:val="3"/>
          </w:tcPr>
          <w:p>
            <w:pPr>
              <w:jc w:val="right"/>
              <w:ind w:right="20"/>
              <w:spacing w:after="0" w:line="190" w:lineRule="exact"/>
              <w:rPr>
                <w:rFonts w:ascii="Arial" w:cs="Arial" w:eastAsia="Arial" w:hAnsi="Arial"/>
                <w:sz w:val="18"/>
                <w:szCs w:val="18"/>
                <w:color w:val="0000FF"/>
              </w:rPr>
            </w:pPr>
            <w:hyperlink w:anchor="page60">
              <w:r>
                <w:rPr>
                  <w:rFonts w:ascii="Arial" w:cs="Arial" w:eastAsia="Arial" w:hAnsi="Arial"/>
                  <w:sz w:val="18"/>
                  <w:szCs w:val="18"/>
                  <w:color w:val="0000FF"/>
                </w:rPr>
                <w:t>60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4"/>
            <w:vMerge w:val="restart"/>
          </w:tcPr>
          <w:p>
            <w:pPr>
              <w:spacing w:after="0"/>
              <w:rPr>
                <w:rFonts w:ascii="Arial" w:cs="Arial" w:eastAsia="Arial" w:hAnsi="Arial"/>
                <w:sz w:val="18"/>
                <w:szCs w:val="18"/>
                <w:color w:val="0000FF"/>
                <w:w w:val="84"/>
              </w:rPr>
            </w:pPr>
            <w:hyperlink w:anchor="page61">
              <w:r>
                <w:rPr>
                  <w:rFonts w:ascii="Arial" w:cs="Arial" w:eastAsia="Arial" w:hAnsi="Arial"/>
                  <w:sz w:val="18"/>
                  <w:szCs w:val="18"/>
                  <w:color w:val="0000FF"/>
                  <w:w w:val="84"/>
                </w:rPr>
                <w:t>Earnings Per Share</w:t>
              </w:r>
            </w:hyperlink>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bottom w:val="single" w:sz="8" w:color="0000FF"/>
            </w:tcBorders>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gridSpan w:val="3"/>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gridSpan w:val="3"/>
          </w:tcPr>
          <w:p>
            <w:pPr>
              <w:spacing w:after="0"/>
              <w:rPr>
                <w:sz w:val="16"/>
                <w:szCs w:val="16"/>
                <w:color w:val="auto"/>
              </w:rPr>
            </w:pPr>
          </w:p>
        </w:tc>
        <w:tc>
          <w:tcPr>
            <w:tcW w:w="5120" w:type="dxa"/>
            <w:vAlign w:val="bottom"/>
            <w:gridSpan w:val="5"/>
          </w:tcPr>
          <w:p>
            <w:pPr>
              <w:spacing w:after="0"/>
              <w:rPr>
                <w:sz w:val="16"/>
                <w:szCs w:val="16"/>
                <w:color w:val="auto"/>
              </w:rPr>
            </w:pPr>
          </w:p>
        </w:tc>
        <w:tc>
          <w:tcPr>
            <w:tcW w:w="640" w:type="dxa"/>
            <w:vAlign w:val="bottom"/>
            <w:gridSpan w:val="3"/>
          </w:tcPr>
          <w:p>
            <w:pPr>
              <w:jc w:val="right"/>
              <w:ind w:right="20"/>
              <w:spacing w:after="0" w:line="190" w:lineRule="exact"/>
              <w:rPr>
                <w:rFonts w:ascii="Arial" w:cs="Arial" w:eastAsia="Arial" w:hAnsi="Arial"/>
                <w:sz w:val="18"/>
                <w:szCs w:val="18"/>
                <w:color w:val="0000FF"/>
              </w:rPr>
            </w:pPr>
            <w:hyperlink w:anchor="page61">
              <w:r>
                <w:rPr>
                  <w:rFonts w:ascii="Arial" w:cs="Arial" w:eastAsia="Arial" w:hAnsi="Arial"/>
                  <w:sz w:val="18"/>
                  <w:szCs w:val="18"/>
                  <w:color w:val="0000FF"/>
                </w:rPr>
                <w:t>61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gridSpan w:val="10"/>
            <w:vMerge w:val="restart"/>
          </w:tcPr>
          <w:p>
            <w:pPr>
              <w:spacing w:after="0"/>
              <w:rPr>
                <w:rFonts w:ascii="Arial" w:cs="Arial" w:eastAsia="Arial" w:hAnsi="Arial"/>
                <w:sz w:val="18"/>
                <w:szCs w:val="18"/>
                <w:color w:val="0000FF"/>
                <w:w w:val="86"/>
              </w:rPr>
            </w:pPr>
            <w:hyperlink w:anchor="page61">
              <w:r>
                <w:rPr>
                  <w:rFonts w:ascii="Arial" w:cs="Arial" w:eastAsia="Arial" w:hAnsi="Arial"/>
                  <w:sz w:val="18"/>
                  <w:szCs w:val="18"/>
                  <w:color w:val="0000FF"/>
                  <w:w w:val="86"/>
                </w:rPr>
                <w:t>Stock-Based Compensation</w:t>
              </w:r>
            </w:hyperlink>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tcBorders>
              <w:bottom w:val="single" w:sz="8" w:color="0000FF"/>
            </w:tcBorders>
            <w:gridSpan w:val="10"/>
            <w:vMerge w:val="continue"/>
          </w:tcPr>
          <w:p>
            <w:pPr>
              <w:spacing w:after="0"/>
              <w:rPr>
                <w:sz w:val="16"/>
                <w:szCs w:val="16"/>
                <w:color w:val="auto"/>
              </w:rPr>
            </w:pPr>
          </w:p>
        </w:tc>
        <w:tc>
          <w:tcPr>
            <w:tcW w:w="2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gridSpan w:val="3"/>
          </w:tcPr>
          <w:p>
            <w:pPr>
              <w:spacing w:after="0"/>
              <w:rPr>
                <w:sz w:val="16"/>
                <w:szCs w:val="16"/>
                <w:color w:val="auto"/>
              </w:rPr>
            </w:pPr>
          </w:p>
        </w:tc>
        <w:tc>
          <w:tcPr>
            <w:tcW w:w="5120" w:type="dxa"/>
            <w:vAlign w:val="bottom"/>
            <w:gridSpan w:val="5"/>
          </w:tcPr>
          <w:p>
            <w:pPr>
              <w:spacing w:after="0"/>
              <w:rPr>
                <w:sz w:val="16"/>
                <w:szCs w:val="16"/>
                <w:color w:val="auto"/>
              </w:rPr>
            </w:pPr>
          </w:p>
        </w:tc>
        <w:tc>
          <w:tcPr>
            <w:tcW w:w="640" w:type="dxa"/>
            <w:vAlign w:val="bottom"/>
            <w:gridSpan w:val="3"/>
          </w:tcPr>
          <w:p>
            <w:pPr>
              <w:jc w:val="right"/>
              <w:ind w:right="20"/>
              <w:spacing w:after="0" w:line="190" w:lineRule="exact"/>
              <w:rPr>
                <w:rFonts w:ascii="Arial" w:cs="Arial" w:eastAsia="Arial" w:hAnsi="Arial"/>
                <w:sz w:val="18"/>
                <w:szCs w:val="18"/>
                <w:color w:val="0000FF"/>
              </w:rPr>
            </w:pPr>
            <w:hyperlink w:anchor="page61">
              <w:r>
                <w:rPr>
                  <w:rFonts w:ascii="Arial" w:cs="Arial" w:eastAsia="Arial" w:hAnsi="Arial"/>
                  <w:sz w:val="18"/>
                  <w:szCs w:val="18"/>
                  <w:color w:val="0000FF"/>
                </w:rPr>
                <w:t>61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vMerge w:val="restart"/>
          </w:tcPr>
          <w:p>
            <w:pPr>
              <w:spacing w:after="0"/>
              <w:rPr>
                <w:rFonts w:ascii="Arial" w:cs="Arial" w:eastAsia="Arial" w:hAnsi="Arial"/>
                <w:sz w:val="18"/>
                <w:szCs w:val="18"/>
                <w:color w:val="0000FF"/>
                <w:w w:val="84"/>
              </w:rPr>
            </w:pPr>
            <w:hyperlink w:anchor="page62">
              <w:r>
                <w:rPr>
                  <w:rFonts w:ascii="Arial" w:cs="Arial" w:eastAsia="Arial" w:hAnsi="Arial"/>
                  <w:sz w:val="18"/>
                  <w:szCs w:val="18"/>
                  <w:color w:val="0000FF"/>
                  <w:w w:val="84"/>
                </w:rPr>
                <w:t>Income Taxes</w:t>
              </w:r>
            </w:hyperlink>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Borders>
              <w:bottom w:val="single" w:sz="8" w:color="0000FF"/>
            </w:tcBorders>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gridSpan w:val="2"/>
          </w:tcPr>
          <w:p>
            <w:pPr>
              <w:spacing w:after="0"/>
              <w:rPr>
                <w:sz w:val="16"/>
                <w:szCs w:val="16"/>
                <w:color w:val="auto"/>
              </w:rPr>
            </w:pPr>
          </w:p>
        </w:tc>
        <w:tc>
          <w:tcPr>
            <w:tcW w:w="380" w:type="dxa"/>
            <w:vAlign w:val="bottom"/>
            <w:gridSpan w:val="3"/>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gridSpan w:val="3"/>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gridSpan w:val="3"/>
          </w:tcPr>
          <w:p>
            <w:pPr>
              <w:spacing w:after="0"/>
              <w:rPr>
                <w:sz w:val="16"/>
                <w:szCs w:val="16"/>
                <w:color w:val="auto"/>
              </w:rPr>
            </w:pPr>
          </w:p>
        </w:tc>
        <w:tc>
          <w:tcPr>
            <w:tcW w:w="5120" w:type="dxa"/>
            <w:vAlign w:val="bottom"/>
            <w:gridSpan w:val="5"/>
          </w:tcPr>
          <w:p>
            <w:pPr>
              <w:spacing w:after="0"/>
              <w:rPr>
                <w:sz w:val="16"/>
                <w:szCs w:val="16"/>
                <w:color w:val="auto"/>
              </w:rPr>
            </w:pPr>
          </w:p>
        </w:tc>
        <w:tc>
          <w:tcPr>
            <w:tcW w:w="640" w:type="dxa"/>
            <w:vAlign w:val="bottom"/>
            <w:gridSpan w:val="3"/>
          </w:tcPr>
          <w:p>
            <w:pPr>
              <w:jc w:val="right"/>
              <w:ind w:right="20"/>
              <w:spacing w:after="0" w:line="190" w:lineRule="exact"/>
              <w:rPr>
                <w:rFonts w:ascii="Arial" w:cs="Arial" w:eastAsia="Arial" w:hAnsi="Arial"/>
                <w:sz w:val="18"/>
                <w:szCs w:val="18"/>
                <w:color w:val="0000FF"/>
              </w:rPr>
            </w:pPr>
            <w:hyperlink w:anchor="page62">
              <w:r>
                <w:rPr>
                  <w:rFonts w:ascii="Arial" w:cs="Arial" w:eastAsia="Arial" w:hAnsi="Arial"/>
                  <w:sz w:val="18"/>
                  <w:szCs w:val="18"/>
                  <w:color w:val="0000FF"/>
                </w:rPr>
                <w:t>63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gridSpan w:val="13"/>
            <w:vMerge w:val="restart"/>
          </w:tcPr>
          <w:p>
            <w:pPr>
              <w:spacing w:after="0"/>
              <w:rPr>
                <w:rFonts w:ascii="Arial" w:cs="Arial" w:eastAsia="Arial" w:hAnsi="Arial"/>
                <w:sz w:val="18"/>
                <w:szCs w:val="18"/>
                <w:color w:val="0000FF"/>
                <w:w w:val="87"/>
              </w:rPr>
            </w:pPr>
            <w:hyperlink w:anchor="page65">
              <w:r>
                <w:rPr>
                  <w:rFonts w:ascii="Arial" w:cs="Arial" w:eastAsia="Arial" w:hAnsi="Arial"/>
                  <w:sz w:val="18"/>
                  <w:szCs w:val="18"/>
                  <w:color w:val="0000FF"/>
                  <w:w w:val="87"/>
                </w:rPr>
                <w:t>Commitments and Contingencies</w:t>
              </w:r>
            </w:hyperlink>
          </w:p>
        </w:tc>
        <w:tc>
          <w:tcPr>
            <w:tcW w:w="1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tcBorders>
              <w:bottom w:val="single" w:sz="8" w:color="0000FF"/>
            </w:tcBorders>
            <w:gridSpan w:val="13"/>
            <w:vMerge w:val="continue"/>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gridSpan w:val="3"/>
          </w:tcPr>
          <w:p>
            <w:pPr>
              <w:spacing w:after="0"/>
              <w:rPr>
                <w:sz w:val="16"/>
                <w:szCs w:val="16"/>
                <w:color w:val="auto"/>
              </w:rPr>
            </w:pPr>
          </w:p>
        </w:tc>
        <w:tc>
          <w:tcPr>
            <w:tcW w:w="5120" w:type="dxa"/>
            <w:vAlign w:val="bottom"/>
            <w:gridSpan w:val="5"/>
          </w:tcPr>
          <w:p>
            <w:pPr>
              <w:spacing w:after="0"/>
              <w:rPr>
                <w:sz w:val="16"/>
                <w:szCs w:val="16"/>
                <w:color w:val="auto"/>
              </w:rPr>
            </w:pPr>
          </w:p>
        </w:tc>
        <w:tc>
          <w:tcPr>
            <w:tcW w:w="640" w:type="dxa"/>
            <w:vAlign w:val="bottom"/>
            <w:gridSpan w:val="3"/>
          </w:tcPr>
          <w:p>
            <w:pPr>
              <w:jc w:val="right"/>
              <w:ind w:right="20"/>
              <w:spacing w:after="0" w:line="190" w:lineRule="exact"/>
              <w:rPr>
                <w:rFonts w:ascii="Arial" w:cs="Arial" w:eastAsia="Arial" w:hAnsi="Arial"/>
                <w:sz w:val="18"/>
                <w:szCs w:val="18"/>
                <w:color w:val="0000FF"/>
              </w:rPr>
            </w:pPr>
            <w:hyperlink w:anchor="page65">
              <w:r>
                <w:rPr>
                  <w:rFonts w:ascii="Arial" w:cs="Arial" w:eastAsia="Arial" w:hAnsi="Arial"/>
                  <w:sz w:val="18"/>
                  <w:szCs w:val="18"/>
                  <w:color w:val="0000FF"/>
                </w:rPr>
                <w:t>65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vMerge w:val="restart"/>
          </w:tcPr>
          <w:p>
            <w:pPr>
              <w:spacing w:after="0"/>
              <w:rPr>
                <w:rFonts w:ascii="Arial" w:cs="Arial" w:eastAsia="Arial" w:hAnsi="Arial"/>
                <w:sz w:val="18"/>
                <w:szCs w:val="18"/>
                <w:color w:val="0000FF"/>
                <w:w w:val="79"/>
              </w:rPr>
            </w:pPr>
            <w:hyperlink w:anchor="page68">
              <w:r>
                <w:rPr>
                  <w:rFonts w:ascii="Arial" w:cs="Arial" w:eastAsia="Arial" w:hAnsi="Arial"/>
                  <w:sz w:val="18"/>
                  <w:szCs w:val="18"/>
                  <w:color w:val="0000FF"/>
                  <w:w w:val="79"/>
                </w:rPr>
                <w:t>Leases</w:t>
              </w:r>
            </w:hyperlink>
          </w:p>
        </w:tc>
        <w:tc>
          <w:tcPr>
            <w:tcW w:w="7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Borders>
              <w:bottom w:val="single" w:sz="8" w:color="0000FF"/>
            </w:tcBorders>
            <w:vMerge w:val="continue"/>
          </w:tcPr>
          <w:p>
            <w:pPr>
              <w:spacing w:after="0"/>
              <w:rPr>
                <w:sz w:val="16"/>
                <w:szCs w:val="16"/>
                <w:color w:val="auto"/>
              </w:rPr>
            </w:pPr>
          </w:p>
        </w:tc>
        <w:tc>
          <w:tcPr>
            <w:tcW w:w="700" w:type="dxa"/>
            <w:vAlign w:val="bottom"/>
            <w:gridSpan w:val="2"/>
          </w:tcPr>
          <w:p>
            <w:pPr>
              <w:spacing w:after="0"/>
              <w:rPr>
                <w:sz w:val="16"/>
                <w:szCs w:val="16"/>
                <w:color w:val="auto"/>
              </w:rPr>
            </w:pPr>
          </w:p>
        </w:tc>
        <w:tc>
          <w:tcPr>
            <w:tcW w:w="180" w:type="dxa"/>
            <w:vAlign w:val="bottom"/>
            <w:gridSpan w:val="2"/>
          </w:tcPr>
          <w:p>
            <w:pPr>
              <w:spacing w:after="0"/>
              <w:rPr>
                <w:sz w:val="16"/>
                <w:szCs w:val="16"/>
                <w:color w:val="auto"/>
              </w:rPr>
            </w:pPr>
          </w:p>
        </w:tc>
        <w:tc>
          <w:tcPr>
            <w:tcW w:w="380" w:type="dxa"/>
            <w:vAlign w:val="bottom"/>
            <w:gridSpan w:val="3"/>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gridSpan w:val="3"/>
          </w:tcPr>
          <w:p>
            <w:pPr>
              <w:spacing w:after="0"/>
              <w:rPr>
                <w:sz w:val="16"/>
                <w:szCs w:val="16"/>
                <w:color w:val="auto"/>
              </w:rPr>
            </w:pPr>
          </w:p>
        </w:tc>
        <w:tc>
          <w:tcPr>
            <w:tcW w:w="260" w:type="dxa"/>
            <w:vAlign w:val="bottom"/>
            <w:gridSpan w:val="2"/>
          </w:tcPr>
          <w:p>
            <w:pPr>
              <w:spacing w:after="0"/>
              <w:rPr>
                <w:sz w:val="16"/>
                <w:szCs w:val="16"/>
                <w:color w:val="auto"/>
              </w:rPr>
            </w:pPr>
          </w:p>
        </w:tc>
        <w:tc>
          <w:tcPr>
            <w:tcW w:w="420" w:type="dxa"/>
            <w:vAlign w:val="bottom"/>
            <w:gridSpan w:val="3"/>
          </w:tcPr>
          <w:p>
            <w:pPr>
              <w:spacing w:after="0"/>
              <w:rPr>
                <w:sz w:val="16"/>
                <w:szCs w:val="16"/>
                <w:color w:val="auto"/>
              </w:rPr>
            </w:pPr>
          </w:p>
        </w:tc>
        <w:tc>
          <w:tcPr>
            <w:tcW w:w="5120" w:type="dxa"/>
            <w:vAlign w:val="bottom"/>
            <w:gridSpan w:val="5"/>
          </w:tcPr>
          <w:p>
            <w:pPr>
              <w:spacing w:after="0"/>
              <w:rPr>
                <w:sz w:val="16"/>
                <w:szCs w:val="16"/>
                <w:color w:val="auto"/>
              </w:rPr>
            </w:pPr>
          </w:p>
        </w:tc>
        <w:tc>
          <w:tcPr>
            <w:tcW w:w="640" w:type="dxa"/>
            <w:vAlign w:val="bottom"/>
            <w:gridSpan w:val="3"/>
          </w:tcPr>
          <w:p>
            <w:pPr>
              <w:jc w:val="right"/>
              <w:ind w:right="20"/>
              <w:spacing w:after="0" w:line="190" w:lineRule="exact"/>
              <w:rPr>
                <w:rFonts w:ascii="Arial" w:cs="Arial" w:eastAsia="Arial" w:hAnsi="Arial"/>
                <w:sz w:val="18"/>
                <w:szCs w:val="18"/>
                <w:color w:val="0000FF"/>
              </w:rPr>
            </w:pPr>
            <w:hyperlink w:anchor="page68">
              <w:r>
                <w:rPr>
                  <w:rFonts w:ascii="Arial" w:cs="Arial" w:eastAsia="Arial" w:hAnsi="Arial"/>
                  <w:sz w:val="18"/>
                  <w:szCs w:val="18"/>
                  <w:color w:val="0000FF"/>
                </w:rPr>
                <w:t>68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3"/>
            <w:vMerge w:val="restart"/>
          </w:tcPr>
          <w:p>
            <w:pPr>
              <w:spacing w:after="0"/>
              <w:rPr>
                <w:rFonts w:ascii="Arial" w:cs="Arial" w:eastAsia="Arial" w:hAnsi="Arial"/>
                <w:sz w:val="18"/>
                <w:szCs w:val="18"/>
                <w:color w:val="0000FF"/>
                <w:w w:val="88"/>
              </w:rPr>
            </w:pPr>
            <w:hyperlink w:anchor="page69">
              <w:r>
                <w:rPr>
                  <w:rFonts w:ascii="Arial" w:cs="Arial" w:eastAsia="Arial" w:hAnsi="Arial"/>
                  <w:sz w:val="18"/>
                  <w:szCs w:val="18"/>
                  <w:color w:val="0000FF"/>
                  <w:w w:val="88"/>
                </w:rPr>
                <w:t>Long-Term Debt</w:t>
              </w:r>
            </w:hyperlink>
          </w:p>
        </w:tc>
        <w:tc>
          <w:tcPr>
            <w:tcW w:w="1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Borders>
              <w:bottom w:val="single" w:sz="8" w:color="0000FF"/>
            </w:tcBorders>
            <w:gridSpan w:val="3"/>
            <w:vMerge w:val="continue"/>
          </w:tcPr>
          <w:p>
            <w:pPr>
              <w:spacing w:after="0"/>
              <w:rPr>
                <w:sz w:val="16"/>
                <w:szCs w:val="16"/>
                <w:color w:val="auto"/>
              </w:rPr>
            </w:pPr>
          </w:p>
        </w:tc>
        <w:tc>
          <w:tcPr>
            <w:tcW w:w="180" w:type="dxa"/>
            <w:vAlign w:val="bottom"/>
            <w:gridSpan w:val="2"/>
          </w:tcPr>
          <w:p>
            <w:pPr>
              <w:spacing w:after="0"/>
              <w:rPr>
                <w:sz w:val="16"/>
                <w:szCs w:val="16"/>
                <w:color w:val="auto"/>
              </w:rPr>
            </w:pPr>
          </w:p>
        </w:tc>
        <w:tc>
          <w:tcPr>
            <w:tcW w:w="380" w:type="dxa"/>
            <w:vAlign w:val="bottom"/>
            <w:gridSpan w:val="3"/>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gridSpan w:val="3"/>
          </w:tcPr>
          <w:p>
            <w:pPr>
              <w:spacing w:after="0"/>
              <w:rPr>
                <w:sz w:val="16"/>
                <w:szCs w:val="16"/>
                <w:color w:val="auto"/>
              </w:rPr>
            </w:pPr>
          </w:p>
        </w:tc>
        <w:tc>
          <w:tcPr>
            <w:tcW w:w="260" w:type="dxa"/>
            <w:vAlign w:val="bottom"/>
            <w:gridSpan w:val="2"/>
          </w:tcPr>
          <w:p>
            <w:pPr>
              <w:spacing w:after="0"/>
              <w:rPr>
                <w:sz w:val="16"/>
                <w:szCs w:val="16"/>
                <w:color w:val="auto"/>
              </w:rPr>
            </w:pPr>
          </w:p>
        </w:tc>
        <w:tc>
          <w:tcPr>
            <w:tcW w:w="420" w:type="dxa"/>
            <w:vAlign w:val="bottom"/>
            <w:gridSpan w:val="3"/>
          </w:tcPr>
          <w:p>
            <w:pPr>
              <w:spacing w:after="0"/>
              <w:rPr>
                <w:sz w:val="16"/>
                <w:szCs w:val="16"/>
                <w:color w:val="auto"/>
              </w:rPr>
            </w:pPr>
          </w:p>
        </w:tc>
        <w:tc>
          <w:tcPr>
            <w:tcW w:w="5120" w:type="dxa"/>
            <w:vAlign w:val="bottom"/>
            <w:gridSpan w:val="5"/>
          </w:tcPr>
          <w:p>
            <w:pPr>
              <w:spacing w:after="0"/>
              <w:rPr>
                <w:sz w:val="16"/>
                <w:szCs w:val="16"/>
                <w:color w:val="auto"/>
              </w:rPr>
            </w:pPr>
          </w:p>
        </w:tc>
        <w:tc>
          <w:tcPr>
            <w:tcW w:w="640" w:type="dxa"/>
            <w:vAlign w:val="bottom"/>
            <w:gridSpan w:val="3"/>
          </w:tcPr>
          <w:p>
            <w:pPr>
              <w:jc w:val="right"/>
              <w:ind w:right="20"/>
              <w:spacing w:after="0" w:line="190" w:lineRule="exact"/>
              <w:rPr>
                <w:rFonts w:ascii="Arial" w:cs="Arial" w:eastAsia="Arial" w:hAnsi="Arial"/>
                <w:sz w:val="18"/>
                <w:szCs w:val="18"/>
                <w:color w:val="0000FF"/>
              </w:rPr>
            </w:pPr>
            <w:hyperlink w:anchor="page69">
              <w:r>
                <w:rPr>
                  <w:rFonts w:ascii="Arial" w:cs="Arial" w:eastAsia="Arial" w:hAnsi="Arial"/>
                  <w:sz w:val="18"/>
                  <w:szCs w:val="18"/>
                  <w:color w:val="0000FF"/>
                </w:rPr>
                <w:t>70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gridSpan w:val="12"/>
            <w:vMerge w:val="restart"/>
          </w:tcPr>
          <w:p>
            <w:pPr>
              <w:spacing w:after="0"/>
              <w:rPr>
                <w:rFonts w:ascii="Arial" w:cs="Arial" w:eastAsia="Arial" w:hAnsi="Arial"/>
                <w:sz w:val="18"/>
                <w:szCs w:val="18"/>
                <w:color w:val="0000FF"/>
                <w:w w:val="89"/>
              </w:rPr>
            </w:pPr>
            <w:hyperlink w:anchor="page72">
              <w:r>
                <w:rPr>
                  <w:rFonts w:ascii="Arial" w:cs="Arial" w:eastAsia="Arial" w:hAnsi="Arial"/>
                  <w:sz w:val="18"/>
                  <w:szCs w:val="18"/>
                  <w:color w:val="0000FF"/>
                  <w:w w:val="89"/>
                </w:rPr>
                <w:t>Intangible Assets and Goodwill</w:t>
              </w:r>
            </w:hyperlink>
          </w:p>
        </w:tc>
        <w:tc>
          <w:tcPr>
            <w:tcW w:w="2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tcBorders>
              <w:bottom w:val="single" w:sz="8" w:color="0000FF"/>
            </w:tcBorders>
            <w:gridSpan w:val="12"/>
            <w:vMerge w:val="continue"/>
          </w:tcPr>
          <w:p>
            <w:pPr>
              <w:spacing w:after="0"/>
              <w:rPr>
                <w:sz w:val="16"/>
                <w:szCs w:val="16"/>
                <w:color w:val="auto"/>
              </w:rPr>
            </w:pPr>
          </w:p>
        </w:tc>
        <w:tc>
          <w:tcPr>
            <w:tcW w:w="260" w:type="dxa"/>
            <w:vAlign w:val="bottom"/>
            <w:gridSpan w:val="2"/>
          </w:tcPr>
          <w:p>
            <w:pPr>
              <w:spacing w:after="0"/>
              <w:rPr>
                <w:sz w:val="16"/>
                <w:szCs w:val="16"/>
                <w:color w:val="auto"/>
              </w:rPr>
            </w:pPr>
          </w:p>
        </w:tc>
        <w:tc>
          <w:tcPr>
            <w:tcW w:w="420" w:type="dxa"/>
            <w:vAlign w:val="bottom"/>
            <w:gridSpan w:val="3"/>
          </w:tcPr>
          <w:p>
            <w:pPr>
              <w:spacing w:after="0"/>
              <w:rPr>
                <w:sz w:val="16"/>
                <w:szCs w:val="16"/>
                <w:color w:val="auto"/>
              </w:rPr>
            </w:pPr>
          </w:p>
        </w:tc>
        <w:tc>
          <w:tcPr>
            <w:tcW w:w="5120" w:type="dxa"/>
            <w:vAlign w:val="bottom"/>
            <w:gridSpan w:val="5"/>
          </w:tcPr>
          <w:p>
            <w:pPr>
              <w:spacing w:after="0"/>
              <w:rPr>
                <w:sz w:val="16"/>
                <w:szCs w:val="16"/>
                <w:color w:val="auto"/>
              </w:rPr>
            </w:pPr>
          </w:p>
        </w:tc>
        <w:tc>
          <w:tcPr>
            <w:tcW w:w="640" w:type="dxa"/>
            <w:vAlign w:val="bottom"/>
            <w:gridSpan w:val="3"/>
          </w:tcPr>
          <w:p>
            <w:pPr>
              <w:jc w:val="right"/>
              <w:ind w:right="20"/>
              <w:spacing w:after="0" w:line="190" w:lineRule="exact"/>
              <w:rPr>
                <w:rFonts w:ascii="Arial" w:cs="Arial" w:eastAsia="Arial" w:hAnsi="Arial"/>
                <w:sz w:val="18"/>
                <w:szCs w:val="18"/>
                <w:color w:val="0000FF"/>
              </w:rPr>
            </w:pPr>
            <w:hyperlink w:anchor="page72">
              <w:r>
                <w:rPr>
                  <w:rFonts w:ascii="Arial" w:cs="Arial" w:eastAsia="Arial" w:hAnsi="Arial"/>
                  <w:sz w:val="18"/>
                  <w:szCs w:val="18"/>
                  <w:color w:val="0000FF"/>
                </w:rPr>
                <w:t>72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gridSpan w:val="8"/>
            <w:vMerge w:val="restart"/>
          </w:tcPr>
          <w:p>
            <w:pPr>
              <w:spacing w:after="0"/>
              <w:rPr>
                <w:rFonts w:ascii="Arial" w:cs="Arial" w:eastAsia="Arial" w:hAnsi="Arial"/>
                <w:sz w:val="18"/>
                <w:szCs w:val="18"/>
                <w:color w:val="0000FF"/>
                <w:w w:val="87"/>
              </w:rPr>
            </w:pPr>
            <w:hyperlink w:anchor="page72">
              <w:r>
                <w:rPr>
                  <w:rFonts w:ascii="Arial" w:cs="Arial" w:eastAsia="Arial" w:hAnsi="Arial"/>
                  <w:sz w:val="18"/>
                  <w:szCs w:val="18"/>
                  <w:color w:val="0000FF"/>
                  <w:w w:val="87"/>
                </w:rPr>
                <w:t>Property and Equipment</w:t>
              </w:r>
            </w:hyperlink>
          </w:p>
        </w:tc>
        <w:tc>
          <w:tcPr>
            <w:tcW w:w="14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Borders>
              <w:bottom w:val="single" w:sz="8" w:color="0000FF"/>
            </w:tcBorders>
            <w:gridSpan w:val="8"/>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5"/>
          </w:tcPr>
          <w:p>
            <w:pPr>
              <w:spacing w:after="0"/>
              <w:rPr>
                <w:sz w:val="16"/>
                <w:szCs w:val="16"/>
                <w:color w:val="auto"/>
              </w:rPr>
            </w:pPr>
          </w:p>
        </w:tc>
        <w:tc>
          <w:tcPr>
            <w:tcW w:w="420" w:type="dxa"/>
            <w:vAlign w:val="bottom"/>
            <w:gridSpan w:val="3"/>
          </w:tcPr>
          <w:p>
            <w:pPr>
              <w:spacing w:after="0"/>
              <w:rPr>
                <w:sz w:val="16"/>
                <w:szCs w:val="16"/>
                <w:color w:val="auto"/>
              </w:rPr>
            </w:pPr>
          </w:p>
        </w:tc>
        <w:tc>
          <w:tcPr>
            <w:tcW w:w="5120" w:type="dxa"/>
            <w:vAlign w:val="bottom"/>
            <w:gridSpan w:val="5"/>
          </w:tcPr>
          <w:p>
            <w:pPr>
              <w:spacing w:after="0"/>
              <w:rPr>
                <w:sz w:val="16"/>
                <w:szCs w:val="16"/>
                <w:color w:val="auto"/>
              </w:rPr>
            </w:pPr>
          </w:p>
        </w:tc>
        <w:tc>
          <w:tcPr>
            <w:tcW w:w="640" w:type="dxa"/>
            <w:vAlign w:val="bottom"/>
            <w:gridSpan w:val="3"/>
          </w:tcPr>
          <w:p>
            <w:pPr>
              <w:jc w:val="right"/>
              <w:ind w:right="20"/>
              <w:spacing w:after="0" w:line="190" w:lineRule="exact"/>
              <w:rPr>
                <w:rFonts w:ascii="Arial" w:cs="Arial" w:eastAsia="Arial" w:hAnsi="Arial"/>
                <w:sz w:val="18"/>
                <w:szCs w:val="18"/>
                <w:color w:val="0000FF"/>
              </w:rPr>
            </w:pPr>
            <w:hyperlink w:anchor="page72">
              <w:r>
                <w:rPr>
                  <w:rFonts w:ascii="Arial" w:cs="Arial" w:eastAsia="Arial" w:hAnsi="Arial"/>
                  <w:sz w:val="18"/>
                  <w:szCs w:val="18"/>
                  <w:color w:val="0000FF"/>
                </w:rPr>
                <w:t>73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80" w:type="dxa"/>
            <w:vAlign w:val="bottom"/>
            <w:gridSpan w:val="14"/>
            <w:vMerge w:val="restart"/>
          </w:tcPr>
          <w:p>
            <w:pPr>
              <w:spacing w:after="0"/>
              <w:rPr>
                <w:rFonts w:ascii="Arial" w:cs="Arial" w:eastAsia="Arial" w:hAnsi="Arial"/>
                <w:sz w:val="18"/>
                <w:szCs w:val="18"/>
                <w:color w:val="0000FF"/>
                <w:w w:val="87"/>
              </w:rPr>
            </w:pPr>
            <w:hyperlink w:anchor="page73">
              <w:r>
                <w:rPr>
                  <w:rFonts w:ascii="Arial" w:cs="Arial" w:eastAsia="Arial" w:hAnsi="Arial"/>
                  <w:sz w:val="18"/>
                  <w:szCs w:val="18"/>
                  <w:color w:val="0000FF"/>
                  <w:w w:val="87"/>
                </w:rPr>
                <w:t>Fair Value of Financial Instruments</w:t>
              </w:r>
            </w:hyperlink>
          </w:p>
        </w:tc>
        <w:tc>
          <w:tcPr>
            <w:tcW w:w="420" w:type="dxa"/>
            <w:vAlign w:val="bottom"/>
            <w:gridSpan w:val="3"/>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Borders>
              <w:bottom w:val="single" w:sz="8" w:color="0000FF"/>
            </w:tcBorders>
            <w:gridSpan w:val="14"/>
            <w:vMerge w:val="continue"/>
          </w:tcPr>
          <w:p>
            <w:pPr>
              <w:spacing w:after="0"/>
              <w:rPr>
                <w:sz w:val="16"/>
                <w:szCs w:val="16"/>
                <w:color w:val="auto"/>
              </w:rPr>
            </w:pPr>
          </w:p>
        </w:tc>
        <w:tc>
          <w:tcPr>
            <w:tcW w:w="420" w:type="dxa"/>
            <w:vAlign w:val="bottom"/>
            <w:gridSpan w:val="3"/>
          </w:tcPr>
          <w:p>
            <w:pPr>
              <w:spacing w:after="0"/>
              <w:rPr>
                <w:sz w:val="16"/>
                <w:szCs w:val="16"/>
                <w:color w:val="auto"/>
              </w:rPr>
            </w:pPr>
          </w:p>
        </w:tc>
        <w:tc>
          <w:tcPr>
            <w:tcW w:w="5120" w:type="dxa"/>
            <w:vAlign w:val="bottom"/>
            <w:gridSpan w:val="5"/>
          </w:tcPr>
          <w:p>
            <w:pPr>
              <w:spacing w:after="0"/>
              <w:rPr>
                <w:sz w:val="16"/>
                <w:szCs w:val="16"/>
                <w:color w:val="auto"/>
              </w:rPr>
            </w:pPr>
          </w:p>
        </w:tc>
        <w:tc>
          <w:tcPr>
            <w:tcW w:w="640" w:type="dxa"/>
            <w:vAlign w:val="bottom"/>
            <w:gridSpan w:val="3"/>
          </w:tcPr>
          <w:p>
            <w:pPr>
              <w:jc w:val="right"/>
              <w:ind w:right="20"/>
              <w:spacing w:after="0" w:line="190" w:lineRule="exact"/>
              <w:rPr>
                <w:rFonts w:ascii="Arial" w:cs="Arial" w:eastAsia="Arial" w:hAnsi="Arial"/>
                <w:sz w:val="18"/>
                <w:szCs w:val="18"/>
                <w:color w:val="0000FF"/>
              </w:rPr>
            </w:pPr>
            <w:hyperlink w:anchor="page73">
              <w:r>
                <w:rPr>
                  <w:rFonts w:ascii="Arial" w:cs="Arial" w:eastAsia="Arial" w:hAnsi="Arial"/>
                  <w:sz w:val="18"/>
                  <w:szCs w:val="18"/>
                  <w:color w:val="0000FF"/>
                </w:rPr>
                <w:t>73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00" w:type="dxa"/>
            <w:vAlign w:val="bottom"/>
            <w:gridSpan w:val="17"/>
            <w:vMerge w:val="restart"/>
          </w:tcPr>
          <w:p>
            <w:pPr>
              <w:spacing w:after="0"/>
              <w:rPr>
                <w:rFonts w:ascii="Arial" w:cs="Arial" w:eastAsia="Arial" w:hAnsi="Arial"/>
                <w:sz w:val="18"/>
                <w:szCs w:val="18"/>
                <w:color w:val="0000FF"/>
                <w:w w:val="87"/>
              </w:rPr>
            </w:pPr>
            <w:hyperlink w:anchor="page74">
              <w:r>
                <w:rPr>
                  <w:rFonts w:ascii="Arial" w:cs="Arial" w:eastAsia="Arial" w:hAnsi="Arial"/>
                  <w:sz w:val="18"/>
                  <w:szCs w:val="18"/>
                  <w:color w:val="0000FF"/>
                  <w:w w:val="87"/>
                </w:rPr>
                <w:t>Accumulated Other Comprehensive Loss</w:t>
              </w:r>
            </w:hyperlink>
          </w:p>
        </w:tc>
        <w:tc>
          <w:tcPr>
            <w:tcW w:w="51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tcBorders>
              <w:bottom w:val="single" w:sz="8" w:color="0000FF"/>
            </w:tcBorders>
            <w:gridSpan w:val="17"/>
            <w:vMerge w:val="continue"/>
          </w:tcPr>
          <w:p>
            <w:pPr>
              <w:spacing w:after="0"/>
              <w:rPr>
                <w:sz w:val="16"/>
                <w:szCs w:val="16"/>
                <w:color w:val="auto"/>
              </w:rPr>
            </w:pPr>
          </w:p>
        </w:tc>
        <w:tc>
          <w:tcPr>
            <w:tcW w:w="5120" w:type="dxa"/>
            <w:vAlign w:val="bottom"/>
            <w:gridSpan w:val="5"/>
          </w:tcPr>
          <w:p>
            <w:pPr>
              <w:spacing w:after="0"/>
              <w:rPr>
                <w:sz w:val="16"/>
                <w:szCs w:val="16"/>
                <w:color w:val="auto"/>
              </w:rPr>
            </w:pPr>
          </w:p>
        </w:tc>
        <w:tc>
          <w:tcPr>
            <w:tcW w:w="640" w:type="dxa"/>
            <w:vAlign w:val="bottom"/>
            <w:gridSpan w:val="3"/>
          </w:tcPr>
          <w:p>
            <w:pPr>
              <w:jc w:val="right"/>
              <w:ind w:right="20"/>
              <w:spacing w:after="0" w:line="190" w:lineRule="exact"/>
              <w:rPr>
                <w:rFonts w:ascii="Arial" w:cs="Arial" w:eastAsia="Arial" w:hAnsi="Arial"/>
                <w:sz w:val="18"/>
                <w:szCs w:val="18"/>
                <w:color w:val="0000FF"/>
              </w:rPr>
            </w:pPr>
            <w:hyperlink w:anchor="page74">
              <w:r>
                <w:rPr>
                  <w:rFonts w:ascii="Arial" w:cs="Arial" w:eastAsia="Arial" w:hAnsi="Arial"/>
                  <w:sz w:val="18"/>
                  <w:szCs w:val="18"/>
                  <w:color w:val="0000FF"/>
                </w:rPr>
                <w:t>74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5"/>
            <w:vMerge w:val="restart"/>
          </w:tcPr>
          <w:p>
            <w:pPr>
              <w:spacing w:after="0"/>
              <w:rPr>
                <w:rFonts w:ascii="Arial" w:cs="Arial" w:eastAsia="Arial" w:hAnsi="Arial"/>
                <w:sz w:val="18"/>
                <w:szCs w:val="18"/>
                <w:color w:val="0000FF"/>
                <w:w w:val="84"/>
              </w:rPr>
            </w:pPr>
            <w:hyperlink w:anchor="page74">
              <w:r>
                <w:rPr>
                  <w:rFonts w:ascii="Arial" w:cs="Arial" w:eastAsia="Arial" w:hAnsi="Arial"/>
                  <w:sz w:val="18"/>
                  <w:szCs w:val="18"/>
                  <w:color w:val="0000FF"/>
                  <w:w w:val="84"/>
                </w:rPr>
                <w:t>Business Segments</w:t>
              </w:r>
            </w:hyperlink>
          </w:p>
        </w:tc>
        <w:tc>
          <w:tcPr>
            <w:tcW w:w="520" w:type="dxa"/>
            <w:vAlign w:val="bottom"/>
            <w:gridSpan w:val="4"/>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554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Borders>
              <w:bottom w:val="single" w:sz="8" w:color="0000FF"/>
            </w:tcBorders>
            <w:gridSpan w:val="5"/>
            <w:vMerge w:val="continue"/>
          </w:tcPr>
          <w:p>
            <w:pPr>
              <w:spacing w:after="0"/>
              <w:rPr>
                <w:sz w:val="16"/>
                <w:szCs w:val="16"/>
                <w:color w:val="auto"/>
              </w:rPr>
            </w:pPr>
          </w:p>
        </w:tc>
        <w:tc>
          <w:tcPr>
            <w:tcW w:w="520" w:type="dxa"/>
            <w:vAlign w:val="bottom"/>
            <w:gridSpan w:val="4"/>
          </w:tcPr>
          <w:p>
            <w:pPr>
              <w:spacing w:after="0"/>
              <w:rPr>
                <w:sz w:val="16"/>
                <w:szCs w:val="16"/>
                <w:color w:val="auto"/>
              </w:rPr>
            </w:pPr>
          </w:p>
        </w:tc>
        <w:tc>
          <w:tcPr>
            <w:tcW w:w="600" w:type="dxa"/>
            <w:vAlign w:val="bottom"/>
            <w:gridSpan w:val="5"/>
          </w:tcPr>
          <w:p>
            <w:pPr>
              <w:spacing w:after="0"/>
              <w:rPr>
                <w:sz w:val="16"/>
                <w:szCs w:val="16"/>
                <w:color w:val="auto"/>
              </w:rPr>
            </w:pPr>
          </w:p>
        </w:tc>
        <w:tc>
          <w:tcPr>
            <w:tcW w:w="5540" w:type="dxa"/>
            <w:vAlign w:val="bottom"/>
            <w:gridSpan w:val="8"/>
          </w:tcPr>
          <w:p>
            <w:pPr>
              <w:spacing w:after="0"/>
              <w:rPr>
                <w:sz w:val="16"/>
                <w:szCs w:val="16"/>
                <w:color w:val="auto"/>
              </w:rPr>
            </w:pPr>
          </w:p>
        </w:tc>
        <w:tc>
          <w:tcPr>
            <w:tcW w:w="640" w:type="dxa"/>
            <w:vAlign w:val="bottom"/>
            <w:gridSpan w:val="3"/>
          </w:tcPr>
          <w:p>
            <w:pPr>
              <w:jc w:val="right"/>
              <w:ind w:right="20"/>
              <w:spacing w:after="0" w:line="190" w:lineRule="exact"/>
              <w:rPr>
                <w:rFonts w:ascii="Arial" w:cs="Arial" w:eastAsia="Arial" w:hAnsi="Arial"/>
                <w:sz w:val="18"/>
                <w:szCs w:val="18"/>
                <w:color w:val="0000FF"/>
              </w:rPr>
            </w:pPr>
            <w:hyperlink w:anchor="page74">
              <w:r>
                <w:rPr>
                  <w:rFonts w:ascii="Arial" w:cs="Arial" w:eastAsia="Arial" w:hAnsi="Arial"/>
                  <w:sz w:val="18"/>
                  <w:szCs w:val="18"/>
                  <w:color w:val="0000FF"/>
                </w:rPr>
                <w:t>74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9"/>
            <w:vMerge w:val="restart"/>
          </w:tcPr>
          <w:p>
            <w:pPr>
              <w:spacing w:after="0"/>
              <w:rPr>
                <w:rFonts w:ascii="Arial" w:cs="Arial" w:eastAsia="Arial" w:hAnsi="Arial"/>
                <w:sz w:val="18"/>
                <w:szCs w:val="18"/>
                <w:color w:val="0000FF"/>
                <w:w w:val="85"/>
              </w:rPr>
            </w:pPr>
            <w:hyperlink w:anchor="page76">
              <w:r>
                <w:rPr>
                  <w:rFonts w:ascii="Arial" w:cs="Arial" w:eastAsia="Arial" w:hAnsi="Arial"/>
                  <w:sz w:val="18"/>
                  <w:szCs w:val="18"/>
                  <w:color w:val="0000FF"/>
                  <w:w w:val="85"/>
                </w:rPr>
                <w:t>Related Party Transactions</w:t>
              </w:r>
            </w:hyperlink>
          </w:p>
        </w:tc>
        <w:tc>
          <w:tcPr>
            <w:tcW w:w="600" w:type="dxa"/>
            <w:vAlign w:val="bottom"/>
            <w:gridSpan w:val="5"/>
          </w:tcPr>
          <w:p>
            <w:pPr>
              <w:spacing w:after="0" w:line="20" w:lineRule="exact"/>
              <w:rPr>
                <w:sz w:val="1"/>
                <w:szCs w:val="1"/>
                <w:color w:val="auto"/>
              </w:rPr>
            </w:pPr>
          </w:p>
        </w:tc>
        <w:tc>
          <w:tcPr>
            <w:tcW w:w="554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Borders>
              <w:bottom w:val="single" w:sz="8" w:color="0000FF"/>
            </w:tcBorders>
            <w:gridSpan w:val="9"/>
            <w:vMerge w:val="continue"/>
          </w:tcPr>
          <w:p>
            <w:pPr>
              <w:spacing w:after="0"/>
              <w:rPr>
                <w:sz w:val="16"/>
                <w:szCs w:val="16"/>
                <w:color w:val="auto"/>
              </w:rPr>
            </w:pPr>
          </w:p>
        </w:tc>
        <w:tc>
          <w:tcPr>
            <w:tcW w:w="600" w:type="dxa"/>
            <w:vAlign w:val="bottom"/>
            <w:gridSpan w:val="5"/>
          </w:tcPr>
          <w:p>
            <w:pPr>
              <w:spacing w:after="0"/>
              <w:rPr>
                <w:sz w:val="16"/>
                <w:szCs w:val="16"/>
                <w:color w:val="auto"/>
              </w:rPr>
            </w:pPr>
          </w:p>
        </w:tc>
        <w:tc>
          <w:tcPr>
            <w:tcW w:w="5540" w:type="dxa"/>
            <w:vAlign w:val="bottom"/>
            <w:gridSpan w:val="8"/>
          </w:tcPr>
          <w:p>
            <w:pPr>
              <w:spacing w:after="0"/>
              <w:rPr>
                <w:sz w:val="16"/>
                <w:szCs w:val="16"/>
                <w:color w:val="auto"/>
              </w:rPr>
            </w:pPr>
          </w:p>
        </w:tc>
        <w:tc>
          <w:tcPr>
            <w:tcW w:w="640" w:type="dxa"/>
            <w:vAlign w:val="bottom"/>
            <w:gridSpan w:val="3"/>
          </w:tcPr>
          <w:p>
            <w:pPr>
              <w:jc w:val="right"/>
              <w:ind w:right="20"/>
              <w:spacing w:after="0" w:line="190" w:lineRule="exact"/>
              <w:rPr>
                <w:rFonts w:ascii="Arial" w:cs="Arial" w:eastAsia="Arial" w:hAnsi="Arial"/>
                <w:sz w:val="18"/>
                <w:szCs w:val="18"/>
                <w:color w:val="0000FF"/>
              </w:rPr>
            </w:pPr>
            <w:hyperlink w:anchor="page76">
              <w:r>
                <w:rPr>
                  <w:rFonts w:ascii="Arial" w:cs="Arial" w:eastAsia="Arial" w:hAnsi="Arial"/>
                  <w:sz w:val="18"/>
                  <w:szCs w:val="18"/>
                  <w:color w:val="0000FF"/>
                </w:rPr>
                <w:t>76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80" w:type="dxa"/>
            <w:vAlign w:val="bottom"/>
            <w:gridSpan w:val="14"/>
            <w:vMerge w:val="restart"/>
          </w:tcPr>
          <w:p>
            <w:pPr>
              <w:spacing w:after="0"/>
              <w:rPr>
                <w:rFonts w:ascii="Arial" w:cs="Arial" w:eastAsia="Arial" w:hAnsi="Arial"/>
                <w:sz w:val="18"/>
                <w:szCs w:val="18"/>
                <w:color w:val="0000FF"/>
                <w:w w:val="90"/>
              </w:rPr>
            </w:pPr>
            <w:hyperlink w:anchor="page77">
              <w:r>
                <w:rPr>
                  <w:rFonts w:ascii="Arial" w:cs="Arial" w:eastAsia="Arial" w:hAnsi="Arial"/>
                  <w:sz w:val="18"/>
                  <w:szCs w:val="18"/>
                  <w:color w:val="0000FF"/>
                  <w:w w:val="90"/>
                </w:rPr>
                <w:t>Relationship with Major Customer</w:t>
              </w:r>
            </w:hyperlink>
          </w:p>
        </w:tc>
        <w:tc>
          <w:tcPr>
            <w:tcW w:w="554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Borders>
              <w:bottom w:val="single" w:sz="8" w:color="0000FF"/>
            </w:tcBorders>
            <w:gridSpan w:val="14"/>
            <w:vMerge w:val="continue"/>
          </w:tcPr>
          <w:p>
            <w:pPr>
              <w:spacing w:after="0"/>
              <w:rPr>
                <w:sz w:val="16"/>
                <w:szCs w:val="16"/>
                <w:color w:val="auto"/>
              </w:rPr>
            </w:pPr>
          </w:p>
        </w:tc>
        <w:tc>
          <w:tcPr>
            <w:tcW w:w="5540" w:type="dxa"/>
            <w:vAlign w:val="bottom"/>
            <w:gridSpan w:val="8"/>
          </w:tcPr>
          <w:p>
            <w:pPr>
              <w:spacing w:after="0"/>
              <w:rPr>
                <w:sz w:val="16"/>
                <w:szCs w:val="16"/>
                <w:color w:val="auto"/>
              </w:rPr>
            </w:pPr>
          </w:p>
        </w:tc>
        <w:tc>
          <w:tcPr>
            <w:tcW w:w="640" w:type="dxa"/>
            <w:vAlign w:val="bottom"/>
            <w:gridSpan w:val="3"/>
          </w:tcPr>
          <w:p>
            <w:pPr>
              <w:jc w:val="right"/>
              <w:ind w:right="20"/>
              <w:spacing w:after="0" w:line="190" w:lineRule="exact"/>
              <w:rPr>
                <w:rFonts w:ascii="Arial" w:cs="Arial" w:eastAsia="Arial" w:hAnsi="Arial"/>
                <w:sz w:val="18"/>
                <w:szCs w:val="18"/>
                <w:color w:val="0000FF"/>
              </w:rPr>
            </w:pPr>
            <w:hyperlink w:anchor="page77">
              <w:r>
                <w:rPr>
                  <w:rFonts w:ascii="Arial" w:cs="Arial" w:eastAsia="Arial" w:hAnsi="Arial"/>
                  <w:sz w:val="18"/>
                  <w:szCs w:val="18"/>
                  <w:color w:val="0000FF"/>
                </w:rPr>
                <w:t>77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104" w:right="1440"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REPORT 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ind w:right="20" w:firstLine="434"/>
        <w:spacing w:after="0" w:line="250" w:lineRule="auto"/>
        <w:rPr>
          <w:sz w:val="20"/>
          <w:szCs w:val="20"/>
          <w:color w:val="auto"/>
        </w:rPr>
      </w:pPr>
      <w:r>
        <w:rPr>
          <w:rFonts w:ascii="Arial" w:cs="Arial" w:eastAsia="Arial" w:hAnsi="Arial"/>
          <w:sz w:val="18"/>
          <w:szCs w:val="18"/>
          <w:color w:val="auto"/>
        </w:rPr>
        <w:t>Management of Marriott International, Inc. (the “Company”) is responsible for establishing and maintaining adequate internal control over financial reporting and for assessing the effectiveness of internal control over financial reporting. The Company has designed its internal control over financial reporting to provide reasonable assurance on the reliability of financial reporting and the preparation of the consolidated financial statements in accordance with U.S. generally accepted accounting principles.</w:t>
      </w:r>
    </w:p>
    <w:p>
      <w:pPr>
        <w:spacing w:after="0" w:line="217" w:lineRule="exact"/>
        <w:rPr>
          <w:sz w:val="20"/>
          <w:szCs w:val="20"/>
          <w:color w:val="auto"/>
        </w:rPr>
      </w:pPr>
    </w:p>
    <w:p>
      <w:pPr>
        <w:ind w:right="300" w:firstLine="434"/>
        <w:spacing w:after="0" w:line="284" w:lineRule="auto"/>
        <w:rPr>
          <w:sz w:val="20"/>
          <w:szCs w:val="20"/>
          <w:color w:val="auto"/>
        </w:rPr>
      </w:pPr>
      <w:r>
        <w:rPr>
          <w:rFonts w:ascii="Arial" w:cs="Arial" w:eastAsia="Arial" w:hAnsi="Arial"/>
          <w:sz w:val="16"/>
          <w:szCs w:val="16"/>
          <w:color w:val="auto"/>
        </w:rPr>
        <w:t>The Company’s internal control over financial reporting includes those policies and procedures that: (1) pertain to the maintenance of records that, in reasonable detail, accurately and fairly reflect the Company’s transactions and dispositions of the Company’s assets; (2) provide reasonable assurance that transactions are recorded as necessary to permit preparation of the consolidated financial statements in accordance with U.S. generally accepted accounting principles, and that receipts and expenditures of the Company are being made only in accordance with authorizations of the Company’s management and directors; and (3) provide reasonable assurance regarding prevention or timely detection of unauthorized acquisition, use, or disposition of the Company’s assets that could have a material effect on the consolidated financial statements.</w:t>
      </w:r>
    </w:p>
    <w:p>
      <w:pPr>
        <w:spacing w:after="0" w:line="194" w:lineRule="exact"/>
        <w:rPr>
          <w:sz w:val="20"/>
          <w:szCs w:val="20"/>
          <w:color w:val="auto"/>
        </w:rPr>
      </w:pPr>
    </w:p>
    <w:p>
      <w:pPr>
        <w:ind w:right="200" w:firstLine="434"/>
        <w:spacing w:after="0" w:line="252" w:lineRule="auto"/>
        <w:rPr>
          <w:sz w:val="20"/>
          <w:szCs w:val="20"/>
          <w:color w:val="auto"/>
        </w:rPr>
      </w:pPr>
      <w:r>
        <w:rPr>
          <w:rFonts w:ascii="Arial" w:cs="Arial" w:eastAsia="Arial" w:hAnsi="Arial"/>
          <w:sz w:val="18"/>
          <w:szCs w:val="18"/>
          <w:color w:val="auto"/>
        </w:rPr>
        <w:t>Because of inherent limitations in internal control over financial reporting, such controls may not prevent or detect misstatements. Also, projections of any evaluation of the effectiveness of internal controls to future periods are subject to the risk that controls may become inadequate because of changes in conditions, or that the degree of compliance with the policies or procedures may deteriorate.</w:t>
      </w:r>
    </w:p>
    <w:p>
      <w:pPr>
        <w:spacing w:after="0" w:line="216" w:lineRule="exact"/>
        <w:rPr>
          <w:sz w:val="20"/>
          <w:szCs w:val="20"/>
          <w:color w:val="auto"/>
        </w:rPr>
      </w:pPr>
    </w:p>
    <w:p>
      <w:pPr>
        <w:ind w:right="80" w:firstLine="395"/>
        <w:spacing w:after="0" w:line="299" w:lineRule="auto"/>
        <w:rPr>
          <w:sz w:val="20"/>
          <w:szCs w:val="20"/>
          <w:color w:val="auto"/>
        </w:rPr>
      </w:pPr>
      <w:r>
        <w:rPr>
          <w:rFonts w:ascii="Arial" w:cs="Arial" w:eastAsia="Arial" w:hAnsi="Arial"/>
          <w:sz w:val="16"/>
          <w:szCs w:val="16"/>
          <w:color w:val="auto"/>
        </w:rPr>
        <w:t>In connection with the preparation of the Company’s annual consolidated financial statements, management assessed the effectiveness of the Company’s internal control over financial reporting as of December 31, 2020, based on criteria established in the Internal Control-Integrated Framework issued by the Committee of Sponsoring Organizations of the Treadway Commission (2013 Framework) (the “COSO criteria”).</w:t>
      </w:r>
    </w:p>
    <w:p>
      <w:pPr>
        <w:spacing w:after="0" w:line="181" w:lineRule="exact"/>
        <w:rPr>
          <w:sz w:val="20"/>
          <w:szCs w:val="20"/>
          <w:color w:val="auto"/>
        </w:rPr>
      </w:pPr>
    </w:p>
    <w:p>
      <w:pPr>
        <w:ind w:right="60" w:firstLine="434"/>
        <w:spacing w:after="0" w:line="252" w:lineRule="auto"/>
        <w:rPr>
          <w:sz w:val="20"/>
          <w:szCs w:val="20"/>
          <w:color w:val="auto"/>
        </w:rPr>
      </w:pPr>
      <w:r>
        <w:rPr>
          <w:rFonts w:ascii="Arial" w:cs="Arial" w:eastAsia="Arial" w:hAnsi="Arial"/>
          <w:sz w:val="18"/>
          <w:szCs w:val="18"/>
          <w:color w:val="auto"/>
        </w:rPr>
        <w:t>Based on this assessment, management has concluded that, applying the COSO criteria, as of December 31, 2020, the Company’s internal control over financial reporting was effective to provide reasonable assurance of the reliability of financial reporting and the preparation of financial statements for external purposes in accordance with U.S. generally accepted accounting principles.</w:t>
      </w:r>
    </w:p>
    <w:p>
      <w:pPr>
        <w:spacing w:after="0" w:line="216" w:lineRule="exact"/>
        <w:rPr>
          <w:sz w:val="20"/>
          <w:szCs w:val="20"/>
          <w:color w:val="auto"/>
        </w:rPr>
      </w:pPr>
    </w:p>
    <w:p>
      <w:pPr>
        <w:ind w:firstLine="434"/>
        <w:spacing w:after="0" w:line="252" w:lineRule="auto"/>
        <w:rPr>
          <w:sz w:val="20"/>
          <w:szCs w:val="20"/>
          <w:color w:val="auto"/>
        </w:rPr>
      </w:pPr>
      <w:r>
        <w:rPr>
          <w:rFonts w:ascii="Arial" w:cs="Arial" w:eastAsia="Arial" w:hAnsi="Arial"/>
          <w:sz w:val="18"/>
          <w:szCs w:val="18"/>
          <w:color w:val="auto"/>
        </w:rPr>
        <w:t>Ernst &amp; Young LLP, the independent registered public accounting firm that audited the Company’s consolidated financial statements included in this report, has issued an attestation report on the effectiveness of the Company’s internal control over financial reporting, a copy of which appears on the following page.</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Marriott International, Inc.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46"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We have audited Marriott International, Inc.’s internal control over financial reporting as of December 31, 2020, based on criteria established in Internal Control-Integrated Framework issued by the Committee of Sponsoring Organizations of the Treadway Commission (2013 Framework) (the COSO criteria). In our opinion, Marriott International, Inc. (the Company) maintained, in all material respects, effective internal control over financial reporting as of December 31, 2020, based on the COSO criteria.</w:t>
      </w:r>
    </w:p>
    <w:p>
      <w:pPr>
        <w:spacing w:after="0" w:line="138"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2020 and 2019, and the related consolidated statements of (loss) income, comprehensive (loss) income, stockholders’ equity and cash flows for each of the three fiscal years in the period ended December 31, 2020, and the related notes, and our report dated February 18, 2021 expressed an unqualified opinion thereon.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208" w:lineRule="exact"/>
        <w:rPr>
          <w:sz w:val="20"/>
          <w:szCs w:val="20"/>
          <w:color w:val="auto"/>
        </w:rPr>
      </w:pPr>
    </w:p>
    <w:p>
      <w:pPr>
        <w:jc w:val="both"/>
        <w:ind w:right="500"/>
        <w:spacing w:after="0" w:line="299" w:lineRule="auto"/>
        <w:rPr>
          <w:sz w:val="20"/>
          <w:szCs w:val="20"/>
          <w:color w:val="auto"/>
        </w:rPr>
      </w:pPr>
      <w:r>
        <w:rPr>
          <w:rFonts w:ascii="Arial" w:cs="Arial" w:eastAsia="Arial" w:hAnsi="Arial"/>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46" w:lineRule="exact"/>
        <w:rPr>
          <w:sz w:val="20"/>
          <w:szCs w:val="20"/>
          <w:color w:val="auto"/>
        </w:rPr>
      </w:pPr>
    </w:p>
    <w:p>
      <w:pPr>
        <w:ind w:right="60"/>
        <w:spacing w:after="0" w:line="304"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2021</w:t>
      </w: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Marriott International, Inc.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6"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We have audited the accompanying consolidated balance sheets of Marriott International, Inc. (the Company) as of December 31, 2020 and 2019, and the related consolidated statements of (loss) income, comprehensive (loss) income, stockholders’ equity and cash flows for each of the three fiscal years in the period ended December 31, 2020, and the related notes (collectively referred to as the “financial statements”). In our opinion, the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89" w:lineRule="exact"/>
        <w:rPr>
          <w:sz w:val="20"/>
          <w:szCs w:val="20"/>
          <w:color w:val="auto"/>
        </w:rPr>
      </w:pPr>
    </w:p>
    <w:p>
      <w:pPr>
        <w:ind w:right="40"/>
        <w:spacing w:after="0" w:line="327"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18, 2021 expressed an unqualified opinion thereon.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6" w:lineRule="exact"/>
        <w:rPr>
          <w:sz w:val="20"/>
          <w:szCs w:val="20"/>
          <w:color w:val="auto"/>
        </w:rPr>
      </w:pPr>
    </w:p>
    <w:p>
      <w:pPr>
        <w:jc w:val="both"/>
        <w:ind w:right="40"/>
        <w:spacing w:after="0" w:line="299"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these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4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line="228"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the Loyalty Program</w:t>
      </w:r>
    </w:p>
    <w:p>
      <w:pPr>
        <w:spacing w:after="0" w:line="30"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During 2020 the Company recognized $1,118 million of revenues previously deferred as of December 31, 2019 and had deferred revenue of $6,271 million as of December 31, 2020 associated with the Marriott Bonvoy guest loyalty program (the “Loyalty Program”). As discussed in Note 2 to the financial statements, the Company recognizes revenue for performance obligations relating to Loyalty Program points and free night certificates as they are redeemed and the related performance obligations are satisfied. The Company recognizes a portion of revenue for the Licensed IP performance obligation under the sales-based royalty criteria, with the remaining portion recognized on a straight-line basis over the contract term. Revenue is recognized utilizing complex models based upon the estimated standalone selling price per point and per free night certificate, which includes judgment in making the estimates of variable consideration and breakage of points.</w:t>
      </w:r>
    </w:p>
    <w:p>
      <w:pPr>
        <w:spacing w:after="0" w:line="108"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Auditing Loyalty Program results is complex due to: (1) the complexity of models and high volume of data used to monitor and account for Loyalty Program results, (2) the complexity in accounting for the amendments to the Company’s co-brand credit card agreements during May 2020, as well as the judgment in estimating the relative standalone selling price of the related performance obligations, (3) the complexity and judgment of estimating the standalone selling price per Loyalty Program point, including both the estimate of variable consideration under the Company’s co-brand credit card agreements which has significant estimation uncertainty associated with projecting future cardholder spending and redemption activity, and the estimated breakage of Loyalty Program points which requires the use of specialists and (4) the material weakness in the Company’s internal control over financial reporting that existed for a portion of the year relating to the insufficient complement of resources, including IT and accounting processes and personnel, to perform the ongoing accounting associated with the Loyalty Program.</w:t>
      </w:r>
    </w:p>
    <w:p>
      <w:pPr>
        <w:spacing w:after="0" w:line="16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obtained an understanding, evaluated the design and tested the operating effectiveness of certain controls over the Company’s process of accounting for the Loyalty Program. For example, we tested controls over the accounting methods and model used in reporting results of the Loyalty Program, management’s review of the assumptions and data inputs utilized in estimating the standalone selling price per Loyalty Program point, as well as the development of the estimated breakage.</w:t>
      </w:r>
    </w:p>
    <w:p>
      <w:pPr>
        <w:spacing w:after="0" w:line="97"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To test the recognition of revenues and costs associated with the Loyalty Program, we performed audit procedures that included, among others, testing the clerical accuracy and consistency with US GAAP of the accounting model developed by the Company to recognize revenue and costs associated with the Loyalty Program, and testing significant inputs into the accounting model, including the estimated standalone selling price and recognition of points earned and redeemed during the period. Because of the material weakness that was present for a portion of the year, we expanded our sample sizes selected for substantive testing and performed additional testing over the completeness and accuracy of Loyalty Program data during the portion of the year in which the material weakness was present. We involved our valuation specialists to assist in our testing procedures with respect to the estimate of relative standalone selling price of the performance obligations associated with the amendment to the co-brand credit card agreements in May 2020. We involved our actuarial professionals to assist in our testing procedures with respect to the estimate of the breakage of Loyalty Program points. We evaluated management’s methodology for estimating the breakage of Loyalty Program points, and we tested underlying data and actuarial assumptions used in estimating the breakage. We evaluated the reasonableness of management’s assumptions, including projections of cash flows, used to estimate variable consideration under the Company’s co-brand credit cards.</w:t>
      </w:r>
    </w:p>
    <w:p>
      <w:pPr>
        <w:spacing w:after="0" w:line="200" w:lineRule="exact"/>
        <w:rPr>
          <w:sz w:val="20"/>
          <w:szCs w:val="20"/>
          <w:color w:val="auto"/>
        </w:rPr>
      </w:pPr>
    </w:p>
    <w:p>
      <w:pPr>
        <w:sectPr>
          <w:pgSz w:w="11900" w:h="16838" w:orient="portrait"/>
          <w:cols w:equalWidth="0" w:num="2">
            <w:col w:w="2160" w:space="380"/>
            <w:col w:w="8080"/>
          </w:cols>
          <w:pgMar w:left="320" w:top="127"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620"/>
          </w:cols>
          <w:pgMar w:left="320" w:top="127" w:right="95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line="228"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General &amp; Administrative Expenses and Reimbursed Expenses</w:t>
      </w:r>
    </w:p>
    <w:p>
      <w:pPr>
        <w:spacing w:after="0" w:line="3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During 2020 the Company recognized $762 million of general and administrative expenses and $8,435 million of reimbursed expenses. As discussed in Note 2 to the financial statements, the Company incurs certain expenses that are for the benefit of, and reimbursable from, hotel owners and franchisees. Such amounts are recorded in the period in which the expense is incurred and include judgment with respect to the allocation of certain costs between general &amp; administrative expenses, which are non-reimbursable, and reimbursed expenses.</w:t>
      </w:r>
    </w:p>
    <w:p>
      <w:pPr>
        <w:spacing w:after="0" w:line="97"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Auditing the classification of general and administrative expenses and reimbursed expenses is complex due to: (1) judgment associated with testing management’s conclusions regarding the allocation of costs between reimbursable and non-reimbursable expenses, (2) the complexity associated with allocating above-property expenses to hotel owners and franchisees due to the high volume of data used to monitor and account for reimbursed expenses and (3) incentives within management’s compensation structure designed to limit the growth in general and administrative expenses.</w:t>
      </w:r>
    </w:p>
    <w:p>
      <w:pPr>
        <w:spacing w:after="0" w:line="15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obtained an understanding, evaluated the design and tested the operating effectiveness of controls over the Company’s process of accounting for reimbursed expenses, general and administrative expenses, and the process for allocating expenses. For example, we tested management’s controls over the review of the allocation of certain costs to determine if they were reasonably classified.</w:t>
      </w:r>
    </w:p>
    <w:p>
      <w:pPr>
        <w:spacing w:after="0" w:line="95"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To test the recognition of reimbursed expenses for appropriate classification, we performed audit procedures that included, among others, (1) testing a sample of transactions that were classified within reimbursed expenses in order to evaluate the appropriate accounting treatment and financial statement classification pursuant to the terms of the management and franchise agreements, (2) performed analytical procedures over total reimbursed expenses and general and administrative expenses in order to identify any trends or indicators of material errors in the classification of expenses, (3) tested manual journal entries made to reimbursed expenses and general and administrative expenses and (4) evaluated the methodology of cost allocations, including any material changes to allocations during the period.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Indefinite-lived Brand Intangible Assets</w:t>
      </w:r>
    </w:p>
    <w:p>
      <w:pPr>
        <w:spacing w:after="0" w:line="30"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At December 31, 2020 the Company had $5,995 million of indefinite-lived intangible brand assets. As discussed in Note 1 to the financial statements, the novel coronavirus (“COVID-19”) pandemic created uncertainty and increased subjectivity with respect to the development of estimates of future business performance. Further, as discussed in Note 2 to the financial statements, the Company evaluates the carrying value of its indefinite-lived brand intangible assets for impairment annually, or more frequently when factors indicate that the Company may not be able to recover the carrying value. The Company may first assess qualitative factors to determine whether it is more likely than not that the fair value of the indefinite-lived brand intangible assets are less than the carrying amount. However, when potential indicators of impairment exist, such as in consideration of the impact of COVID-19 on operations, the Company performs an analysis to determine the recoverability of the asset by comparing the estimated fair value to the carrying value of the asset.</w:t>
      </w:r>
    </w:p>
    <w:p>
      <w:pPr>
        <w:spacing w:after="0" w:line="104"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Auditing the accounting for indefinite-lived brand intangible assets is complex and judgmental as a result of the subjectivity in estimating the fair value of the indefinite-lived brand intangible assets. In particular, the fair value estimates are developed using the income approach and are subject to significant assumptions such as revenue growth, royalty rates and discount rates. These assumptions may be affected by the impact of the COVID-19 pandemic on future market conditions, including the duration of the recovery period.</w:t>
      </w:r>
    </w:p>
    <w:p>
      <w:pPr>
        <w:spacing w:after="0" w:line="200" w:lineRule="exact"/>
        <w:rPr>
          <w:sz w:val="20"/>
          <w:szCs w:val="20"/>
          <w:color w:val="auto"/>
        </w:rPr>
      </w:pPr>
    </w:p>
    <w:p>
      <w:pPr>
        <w:sectPr>
          <w:pgSz w:w="11900" w:h="16838" w:orient="portrait"/>
          <w:cols w:equalWidth="0" w:num="2">
            <w:col w:w="2160" w:space="380"/>
            <w:col w:w="8100"/>
          </w:cols>
          <w:pgMar w:left="320" w:top="127" w:right="9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640"/>
          </w:cols>
          <w:pgMar w:left="320" w:top="127" w:right="9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6" w:lineRule="exact"/>
        <w:rPr>
          <w:sz w:val="20"/>
          <w:szCs w:val="20"/>
          <w:color w:val="auto"/>
        </w:rPr>
      </w:pPr>
    </w:p>
    <w:p>
      <w:pPr>
        <w:ind w:left="20"/>
        <w:spacing w:after="0"/>
        <w:tabs>
          <w:tab w:leader="none" w:pos="2520" w:val="left"/>
        </w:tabs>
        <w:rPr>
          <w:sz w:val="20"/>
          <w:szCs w:val="20"/>
          <w:color w:val="auto"/>
        </w:rPr>
      </w:pPr>
      <w:r>
        <w:rPr>
          <w:rFonts w:ascii="Arial" w:cs="Arial" w:eastAsia="Arial" w:hAnsi="Arial"/>
          <w:sz w:val="18"/>
          <w:szCs w:val="18"/>
          <w:i w:val="1"/>
          <w:iCs w:val="1"/>
          <w:color w:val="auto"/>
        </w:rPr>
        <w:t>How We Addressed the Matter</w:t>
      </w:r>
      <w:r>
        <w:rPr>
          <w:sz w:val="20"/>
          <w:szCs w:val="20"/>
          <w:color w:val="auto"/>
        </w:rPr>
        <w:tab/>
      </w:r>
      <w:r>
        <w:rPr>
          <w:rFonts w:ascii="Arial" w:cs="Arial" w:eastAsia="Arial" w:hAnsi="Arial"/>
          <w:sz w:val="15"/>
          <w:szCs w:val="15"/>
          <w:color w:val="auto"/>
        </w:rPr>
        <w:t>We obtained an understanding, evaluated the design and tested the operating effectiveness of controls over the</w:t>
      </w:r>
    </w:p>
    <w:p>
      <w:pPr>
        <w:spacing w:after="0" w:line="15" w:lineRule="exact"/>
        <w:rPr>
          <w:sz w:val="20"/>
          <w:szCs w:val="20"/>
          <w:color w:val="auto"/>
        </w:rPr>
      </w:pPr>
    </w:p>
    <w:p>
      <w:pPr>
        <w:ind w:left="2540" w:right="700" w:hanging="2525"/>
        <w:spacing w:after="0" w:line="246" w:lineRule="auto"/>
        <w:tabs>
          <w:tab w:leader="none" w:pos="2520" w:val="left"/>
        </w:tabs>
        <w:rPr>
          <w:sz w:val="20"/>
          <w:szCs w:val="20"/>
          <w:color w:val="auto"/>
        </w:rPr>
      </w:pPr>
      <w:r>
        <w:rPr>
          <w:rFonts w:ascii="Arial" w:cs="Arial" w:eastAsia="Arial" w:hAnsi="Arial"/>
          <w:sz w:val="18"/>
          <w:szCs w:val="18"/>
          <w:i w:val="1"/>
          <w:iCs w:val="1"/>
          <w:color w:val="auto"/>
        </w:rPr>
        <w:t>in Our Audit</w:t>
      </w:r>
      <w:r>
        <w:rPr>
          <w:sz w:val="20"/>
          <w:szCs w:val="20"/>
          <w:color w:val="auto"/>
        </w:rPr>
        <w:tab/>
      </w:r>
      <w:r>
        <w:rPr>
          <w:rFonts w:ascii="Arial" w:cs="Arial" w:eastAsia="Arial" w:hAnsi="Arial"/>
          <w:sz w:val="18"/>
          <w:szCs w:val="18"/>
          <w:color w:val="auto"/>
        </w:rPr>
        <w:t>Company’s process of accounting for indefinite-lived brand intangible assets. For example, we tested management’s controls over the review of the significant assumptions used in estimating the fair value of indefinite-lived intangible assets.</w:t>
      </w:r>
    </w:p>
    <w:p>
      <w:pPr>
        <w:spacing w:after="0" w:line="128" w:lineRule="exact"/>
        <w:rPr>
          <w:sz w:val="20"/>
          <w:szCs w:val="20"/>
          <w:color w:val="auto"/>
        </w:rPr>
      </w:pPr>
    </w:p>
    <w:p>
      <w:pPr>
        <w:ind w:left="2540"/>
        <w:spacing w:after="0" w:line="281" w:lineRule="auto"/>
        <w:rPr>
          <w:sz w:val="20"/>
          <w:szCs w:val="20"/>
          <w:color w:val="auto"/>
        </w:rPr>
      </w:pPr>
      <w:r>
        <w:rPr>
          <w:rFonts w:ascii="Arial" w:cs="Arial" w:eastAsia="Arial" w:hAnsi="Arial"/>
          <w:sz w:val="16"/>
          <w:szCs w:val="16"/>
          <w:color w:val="auto"/>
        </w:rPr>
        <w:t>To test the fair value of the indefinite-lived brand intangible assets our procedures included, among others, assessing the methodologies used in evaluating brand assets for impairment, involving our valuation specialists to assist in evaluating significant assumptions used by management in estimating the fair value of the brand assets, and testing the completeness and accuracy of underlying data used by management in their analyses. We compared the significant assumptions used by management to historical operating results and relevant observable market information including current industry, market and economic trends. Our procedures included evaluating the historical accuracy of management’s forecasts and performing sensitivity analyses to evaluate the impact of changes to significant assumptions.</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2021</w:t>
      </w:r>
    </w:p>
    <w:p>
      <w:pPr>
        <w:spacing w:after="0" w:line="200" w:lineRule="exact"/>
        <w:rPr>
          <w:sz w:val="20"/>
          <w:szCs w:val="20"/>
          <w:color w:val="auto"/>
        </w:rPr>
      </w:pPr>
    </w:p>
    <w:p>
      <w:pPr>
        <w:spacing w:after="0" w:line="33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620"/>
          </w:cols>
          <w:pgMar w:left="320" w:top="127" w:right="9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MARRIOTT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STATEMENTS OF (LOSS)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Fiscal Years 2020, 2019, and 2018</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in millions, except per share amounts)</w:t>
      </w:r>
    </w:p>
    <w:p>
      <w:pPr>
        <w:spacing w:after="0" w:line="42"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320" w:type="dxa"/>
            <w:vAlign w:val="bottom"/>
          </w:tcPr>
          <w:p>
            <w:pPr>
              <w:jc w:val="right"/>
              <w:ind w:right="27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4"/>
        </w:trPr>
        <w:tc>
          <w:tcPr>
            <w:tcW w:w="59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4"/>
        </w:trPr>
        <w:tc>
          <w:tcPr>
            <w:tcW w:w="596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320"/>
              <w:spacing w:after="0"/>
              <w:rPr>
                <w:sz w:val="20"/>
                <w:szCs w:val="20"/>
                <w:color w:val="auto"/>
              </w:rPr>
            </w:pPr>
            <w:r>
              <w:rPr>
                <w:rFonts w:ascii="Arial" w:cs="Arial" w:eastAsia="Arial" w:hAnsi="Arial"/>
                <w:sz w:val="18"/>
                <w:szCs w:val="18"/>
                <w:color w:val="auto"/>
              </w:rPr>
              <w:t>Base management fees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24"/>
        </w:trPr>
        <w:tc>
          <w:tcPr>
            <w:tcW w:w="5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Franchise fees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Incentive management fees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7"/>
        </w:trPr>
        <w:tc>
          <w:tcPr>
            <w:tcW w:w="5960" w:type="dxa"/>
            <w:vAlign w:val="bottom"/>
            <w:shd w:val="clear" w:color="auto" w:fill="CCEEFF"/>
          </w:tcPr>
          <w:p>
            <w:pPr>
              <w:ind w:left="440"/>
              <w:spacing w:after="0" w:line="203" w:lineRule="exact"/>
              <w:rPr>
                <w:sz w:val="20"/>
                <w:szCs w:val="20"/>
                <w:color w:val="auto"/>
              </w:rPr>
            </w:pPr>
            <w:r>
              <w:rPr>
                <w:rFonts w:ascii="Arial" w:cs="Arial" w:eastAsia="Arial" w:hAnsi="Arial"/>
                <w:sz w:val="18"/>
                <w:szCs w:val="18"/>
                <w:color w:val="auto"/>
              </w:rPr>
              <w:t>Gross fee revenues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Contract investment amortization</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7"/>
        </w:trPr>
        <w:tc>
          <w:tcPr>
            <w:tcW w:w="5960" w:type="dxa"/>
            <w:vAlign w:val="bottom"/>
            <w:shd w:val="clear" w:color="auto" w:fill="CCEEFF"/>
          </w:tcPr>
          <w:p>
            <w:pPr>
              <w:ind w:left="440"/>
              <w:spacing w:after="0" w:line="203" w:lineRule="exact"/>
              <w:rPr>
                <w:sz w:val="20"/>
                <w:szCs w:val="20"/>
                <w:color w:val="auto"/>
              </w:rPr>
            </w:pPr>
            <w:r>
              <w:rPr>
                <w:rFonts w:ascii="Arial" w:cs="Arial" w:eastAsia="Arial" w:hAnsi="Arial"/>
                <w:sz w:val="18"/>
                <w:szCs w:val="18"/>
                <w:color w:val="auto"/>
              </w:rPr>
              <w:t>Net fee revenues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0" w:type="dxa"/>
            <w:vAlign w:val="bottom"/>
          </w:tcPr>
          <w:p>
            <w:pPr>
              <w:spacing w:after="0"/>
              <w:rPr>
                <w:sz w:val="1"/>
                <w:szCs w:val="1"/>
                <w:color w:val="auto"/>
              </w:rPr>
            </w:pPr>
          </w:p>
        </w:tc>
      </w:tr>
      <w:tr>
        <w:trPr>
          <w:trHeight w:val="223"/>
        </w:trPr>
        <w:tc>
          <w:tcPr>
            <w:tcW w:w="5960" w:type="dxa"/>
            <w:vAlign w:val="bottom"/>
          </w:tcPr>
          <w:p>
            <w:pPr>
              <w:ind w:left="320"/>
              <w:spacing w:after="0"/>
              <w:rPr>
                <w:sz w:val="20"/>
                <w:szCs w:val="20"/>
                <w:color w:val="auto"/>
              </w:rPr>
            </w:pPr>
            <w:r>
              <w:rPr>
                <w:rFonts w:ascii="Arial" w:cs="Arial" w:eastAsia="Arial" w:hAnsi="Arial"/>
                <w:sz w:val="18"/>
                <w:szCs w:val="18"/>
                <w:color w:val="auto"/>
              </w:rPr>
              <w:t>Owned, leased, and other revenue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24"/>
        </w:trPr>
        <w:tc>
          <w:tcPr>
            <w:tcW w:w="5960" w:type="dxa"/>
            <w:vAlign w:val="bottom"/>
            <w:shd w:val="clear" w:color="auto" w:fill="CCEEFF"/>
          </w:tcPr>
          <w:p>
            <w:pPr>
              <w:ind w:left="320"/>
              <w:spacing w:after="0" w:line="224" w:lineRule="exact"/>
              <w:rPr>
                <w:sz w:val="20"/>
                <w:szCs w:val="20"/>
                <w:color w:val="auto"/>
              </w:rPr>
            </w:pPr>
            <w:r>
              <w:rPr>
                <w:rFonts w:ascii="Arial" w:cs="Arial" w:eastAsia="Arial" w:hAnsi="Arial"/>
                <w:sz w:val="18"/>
                <w:szCs w:val="18"/>
                <w:color w:val="auto"/>
              </w:rPr>
              <w:t xml:space="preserve">Cost reimbursement revenue </w:t>
            </w:r>
            <w:r>
              <w:rPr>
                <w:rFonts w:ascii="Arial" w:cs="Arial" w:eastAsia="Arial" w:hAnsi="Arial"/>
                <w:sz w:val="22"/>
                <w:szCs w:val="22"/>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15,543</w:t>
            </w:r>
          </w:p>
        </w:tc>
        <w:tc>
          <w:tcPr>
            <w:tcW w:w="0" w:type="dxa"/>
            <w:vAlign w:val="bottom"/>
          </w:tcPr>
          <w:p>
            <w:pPr>
              <w:spacing w:after="0"/>
              <w:rPr>
                <w:sz w:val="1"/>
                <w:szCs w:val="1"/>
                <w:color w:val="auto"/>
              </w:rPr>
            </w:pPr>
          </w:p>
        </w:tc>
      </w:tr>
      <w:tr>
        <w:trPr>
          <w:trHeight w:val="217"/>
        </w:trPr>
        <w:tc>
          <w:tcPr>
            <w:tcW w:w="5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20,972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20,758</w:t>
            </w:r>
          </w:p>
        </w:tc>
        <w:tc>
          <w:tcPr>
            <w:tcW w:w="0" w:type="dxa"/>
            <w:vAlign w:val="bottom"/>
          </w:tcPr>
          <w:p>
            <w:pPr>
              <w:spacing w:after="0"/>
              <w:rPr>
                <w:sz w:val="1"/>
                <w:szCs w:val="1"/>
                <w:color w:val="auto"/>
              </w:rPr>
            </w:pPr>
          </w:p>
        </w:tc>
      </w:tr>
      <w:tr>
        <w:trPr>
          <w:trHeight w:val="224"/>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320"/>
              <w:spacing w:after="0"/>
              <w:rPr>
                <w:sz w:val="20"/>
                <w:szCs w:val="20"/>
                <w:color w:val="auto"/>
              </w:rPr>
            </w:pPr>
            <w:r>
              <w:rPr>
                <w:rFonts w:ascii="Arial" w:cs="Arial" w:eastAsia="Arial" w:hAnsi="Arial"/>
                <w:sz w:val="18"/>
                <w:szCs w:val="18"/>
                <w:color w:val="auto"/>
              </w:rPr>
              <w:t>Owned, leased, and other-direct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24"/>
        </w:trPr>
        <w:tc>
          <w:tcPr>
            <w:tcW w:w="5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amortization, and other</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3"/>
        </w:trPr>
        <w:tc>
          <w:tcPr>
            <w:tcW w:w="5960" w:type="dxa"/>
            <w:vAlign w:val="bottom"/>
          </w:tcPr>
          <w:p>
            <w:pPr>
              <w:ind w:left="320"/>
              <w:spacing w:after="0"/>
              <w:rPr>
                <w:sz w:val="20"/>
                <w:szCs w:val="20"/>
                <w:color w:val="auto"/>
              </w:rPr>
            </w:pPr>
            <w:r>
              <w:rPr>
                <w:rFonts w:ascii="Arial" w:cs="Arial" w:eastAsia="Arial" w:hAnsi="Arial"/>
                <w:sz w:val="18"/>
                <w:szCs w:val="18"/>
                <w:color w:val="auto"/>
              </w:rPr>
              <w:t>General, administrative, and other</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24"/>
        </w:trPr>
        <w:tc>
          <w:tcPr>
            <w:tcW w:w="5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Restructuring and merger-related charges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4"/>
        </w:trPr>
        <w:tc>
          <w:tcPr>
            <w:tcW w:w="5960" w:type="dxa"/>
            <w:vAlign w:val="bottom"/>
            <w:tcBorders>
              <w:bottom w:val="single" w:sz="8" w:color="CCEEFF"/>
            </w:tcBorders>
          </w:tcPr>
          <w:p>
            <w:pPr>
              <w:ind w:left="320"/>
              <w:spacing w:after="0" w:line="224" w:lineRule="exact"/>
              <w:rPr>
                <w:sz w:val="20"/>
                <w:szCs w:val="20"/>
                <w:color w:val="auto"/>
              </w:rPr>
            </w:pPr>
            <w:r>
              <w:rPr>
                <w:rFonts w:ascii="Arial" w:cs="Arial" w:eastAsia="Arial" w:hAnsi="Arial"/>
                <w:sz w:val="18"/>
                <w:szCs w:val="18"/>
                <w:color w:val="auto"/>
              </w:rPr>
              <w:t xml:space="preserve">Reimbursed expenses </w:t>
            </w:r>
            <w:r>
              <w:rPr>
                <w:rFonts w:ascii="Arial" w:cs="Arial" w:eastAsia="Arial" w:hAnsi="Arial"/>
                <w:sz w:val="22"/>
                <w:szCs w:val="22"/>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15,778</w:t>
            </w:r>
          </w:p>
        </w:tc>
        <w:tc>
          <w:tcPr>
            <w:tcW w:w="0" w:type="dxa"/>
            <w:vAlign w:val="bottom"/>
          </w:tcPr>
          <w:p>
            <w:pPr>
              <w:spacing w:after="0"/>
              <w:rPr>
                <w:sz w:val="1"/>
                <w:szCs w:val="1"/>
                <w:color w:val="auto"/>
              </w:rPr>
            </w:pPr>
          </w:p>
        </w:tc>
      </w:tr>
      <w:tr>
        <w:trPr>
          <w:trHeight w:val="217"/>
        </w:trPr>
        <w:tc>
          <w:tcPr>
            <w:tcW w:w="59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18,392</w:t>
            </w:r>
          </w:p>
        </w:tc>
        <w:tc>
          <w:tcPr>
            <w:tcW w:w="0" w:type="dxa"/>
            <w:vAlign w:val="bottom"/>
          </w:tcPr>
          <w:p>
            <w:pPr>
              <w:spacing w:after="0"/>
              <w:rPr>
                <w:sz w:val="1"/>
                <w:szCs w:val="1"/>
                <w:color w:val="auto"/>
              </w:rPr>
            </w:pPr>
          </w:p>
        </w:tc>
      </w:tr>
      <w:tr>
        <w:trPr>
          <w:trHeight w:val="217"/>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24"/>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and other income,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24"/>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4"/>
        </w:trPr>
        <w:tc>
          <w:tcPr>
            <w:tcW w:w="5960" w:type="dxa"/>
            <w:vAlign w:val="bottom"/>
            <w:tcBorders>
              <w:bottom w:val="single" w:sz="8" w:color="CCEEFF"/>
            </w:tcBorders>
          </w:tcPr>
          <w:p>
            <w:pPr>
              <w:ind w:left="20"/>
              <w:spacing w:after="0" w:line="224" w:lineRule="exact"/>
              <w:rPr>
                <w:sz w:val="20"/>
                <w:szCs w:val="20"/>
                <w:color w:val="auto"/>
              </w:rPr>
            </w:pPr>
            <w:r>
              <w:rPr>
                <w:rFonts w:ascii="Arial" w:cs="Arial" w:eastAsia="Arial" w:hAnsi="Arial"/>
                <w:sz w:val="18"/>
                <w:szCs w:val="18"/>
                <w:color w:val="auto"/>
              </w:rPr>
              <w:t xml:space="preserve">Equity in (losses) earnings </w:t>
            </w:r>
            <w:r>
              <w:rPr>
                <w:rFonts w:ascii="Arial" w:cs="Arial" w:eastAsia="Arial" w:hAnsi="Arial"/>
                <w:sz w:val="22"/>
                <w:szCs w:val="22"/>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7"/>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INCOME BEFORE INCOME TAXES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(provision) for income taxes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42"/>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(LOSS) EARNINGS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9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earnings per share - basic</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23"/>
        </w:trPr>
        <w:tc>
          <w:tcPr>
            <w:tcW w:w="5960" w:type="dxa"/>
            <w:vAlign w:val="bottom"/>
          </w:tcPr>
          <w:p>
            <w:pPr>
              <w:ind w:left="320"/>
              <w:spacing w:after="0"/>
              <w:rPr>
                <w:sz w:val="20"/>
                <w:szCs w:val="20"/>
                <w:color w:val="auto"/>
              </w:rPr>
            </w:pPr>
            <w:r>
              <w:rPr>
                <w:rFonts w:ascii="Arial" w:cs="Arial" w:eastAsia="Arial" w:hAnsi="Arial"/>
                <w:sz w:val="18"/>
                <w:szCs w:val="18"/>
                <w:color w:val="auto"/>
              </w:rPr>
              <w:t>(Loss) earnings per share - diluted</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bl>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80" w:type="dxa"/>
            <w:vAlign w:val="bottom"/>
          </w:tcPr>
          <w:p>
            <w:pPr>
              <w:jc w:val="right"/>
              <w:ind w:right="23"/>
              <w:spacing w:after="0"/>
              <w:rPr>
                <w:sz w:val="20"/>
                <w:szCs w:val="20"/>
                <w:color w:val="auto"/>
              </w:rPr>
            </w:pPr>
            <w:r>
              <w:rPr>
                <w:rFonts w:ascii="Arial" w:cs="Arial" w:eastAsia="Arial" w:hAnsi="Arial"/>
                <w:sz w:val="11"/>
                <w:szCs w:val="11"/>
                <w:color w:val="auto"/>
              </w:rPr>
              <w:t>(1)</w:t>
            </w:r>
          </w:p>
        </w:tc>
        <w:tc>
          <w:tcPr>
            <w:tcW w:w="10860" w:type="dxa"/>
            <w:vAlign w:val="bottom"/>
            <w:vMerge w:val="restart"/>
          </w:tcPr>
          <w:p>
            <w:pPr>
              <w:ind w:left="80"/>
              <w:spacing w:after="0"/>
              <w:rPr>
                <w:sz w:val="20"/>
                <w:szCs w:val="20"/>
                <w:color w:val="auto"/>
              </w:rPr>
            </w:pPr>
            <w:r>
              <w:rPr>
                <w:rFonts w:ascii="Arial" w:cs="Arial" w:eastAsia="Arial" w:hAnsi="Arial"/>
                <w:sz w:val="14"/>
                <w:szCs w:val="14"/>
                <w:color w:val="auto"/>
              </w:rPr>
              <w:t>See Note 16 for disclosure of related party amounts.</w:t>
            </w:r>
          </w:p>
        </w:tc>
        <w:tc>
          <w:tcPr>
            <w:tcW w:w="0" w:type="dxa"/>
            <w:vAlign w:val="bottom"/>
          </w:tcPr>
          <w:p>
            <w:pPr>
              <w:spacing w:after="0"/>
              <w:rPr>
                <w:sz w:val="1"/>
                <w:szCs w:val="1"/>
                <w:color w:val="auto"/>
              </w:rPr>
            </w:pPr>
          </w:p>
        </w:tc>
      </w:tr>
      <w:tr>
        <w:trPr>
          <w:trHeight w:val="74"/>
        </w:trPr>
        <w:tc>
          <w:tcPr>
            <w:tcW w:w="380" w:type="dxa"/>
            <w:vAlign w:val="bottom"/>
          </w:tcPr>
          <w:p>
            <w:pPr>
              <w:spacing w:after="0"/>
              <w:rPr>
                <w:sz w:val="6"/>
                <w:szCs w:val="6"/>
                <w:color w:val="auto"/>
              </w:rPr>
            </w:pPr>
          </w:p>
        </w:tc>
        <w:tc>
          <w:tcPr>
            <w:tcW w:w="10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10860" w:type="dxa"/>
            <w:vAlign w:val="bottom"/>
          </w:tcPr>
          <w:p>
            <w:pPr>
              <w:jc w:val="center"/>
              <w:ind w:right="298"/>
              <w:spacing w:after="0"/>
              <w:rPr>
                <w:sz w:val="20"/>
                <w:szCs w:val="20"/>
                <w:color w:val="auto"/>
              </w:rPr>
            </w:pPr>
            <w:r>
              <w:rPr>
                <w:rFonts w:ascii="Arial" w:cs="Arial" w:eastAsia="Arial" w:hAnsi="Arial"/>
                <w:sz w:val="18"/>
                <w:szCs w:val="18"/>
                <w:color w:val="auto"/>
                <w:w w:val="86"/>
              </w:rPr>
              <w:t>See Notes to Consolidated Financial Statements.</w:t>
            </w:r>
          </w:p>
        </w:tc>
        <w:tc>
          <w:tcPr>
            <w:tcW w:w="0" w:type="dxa"/>
            <w:vAlign w:val="bottom"/>
          </w:tcPr>
          <w:p>
            <w:pPr>
              <w:spacing w:after="0"/>
              <w:rPr>
                <w:sz w:val="1"/>
                <w:szCs w:val="1"/>
                <w:color w:val="auto"/>
              </w:rPr>
            </w:pPr>
          </w:p>
        </w:tc>
      </w:tr>
      <w:tr>
        <w:trPr>
          <w:trHeight w:val="750"/>
        </w:trPr>
        <w:tc>
          <w:tcPr>
            <w:tcW w:w="380" w:type="dxa"/>
            <w:vAlign w:val="bottom"/>
          </w:tcPr>
          <w:p>
            <w:pPr>
              <w:spacing w:after="0"/>
              <w:rPr>
                <w:sz w:val="24"/>
                <w:szCs w:val="24"/>
                <w:color w:val="auto"/>
              </w:rPr>
            </w:pPr>
          </w:p>
        </w:tc>
        <w:tc>
          <w:tcPr>
            <w:tcW w:w="10860" w:type="dxa"/>
            <w:vAlign w:val="bottom"/>
          </w:tcPr>
          <w:p>
            <w:pPr>
              <w:jc w:val="right"/>
              <w:ind w:right="5438"/>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12"/>
        </w:trPr>
        <w:tc>
          <w:tcPr>
            <w:tcW w:w="380" w:type="dxa"/>
            <w:vAlign w:val="bottom"/>
            <w:tcBorders>
              <w:bottom w:val="single" w:sz="8" w:color="9A9A9A"/>
            </w:tcBorders>
          </w:tcPr>
          <w:p>
            <w:pPr>
              <w:spacing w:after="0"/>
              <w:rPr>
                <w:sz w:val="9"/>
                <w:szCs w:val="9"/>
                <w:color w:val="auto"/>
              </w:rPr>
            </w:pPr>
          </w:p>
        </w:tc>
        <w:tc>
          <w:tcPr>
            <w:tcW w:w="108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MARRIOTT INTERNATIONAL,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CONSOLIDATED STATEMENTS OF COMPREHENSIVE (LOSS) INCOME</w:t>
      </w:r>
    </w:p>
    <w:p>
      <w:pPr>
        <w:spacing w:after="0" w:line="5"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Fiscal Years 2020, 2019, and 2018</w:t>
      </w:r>
    </w:p>
    <w:p>
      <w:pPr>
        <w:spacing w:after="0" w:line="5"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 in millions)</w:t>
      </w:r>
    </w:p>
    <w:p>
      <w:pPr>
        <w:spacing w:after="0" w:line="9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320" w:type="dxa"/>
            <w:vAlign w:val="bottom"/>
          </w:tcPr>
          <w:p>
            <w:pPr>
              <w:jc w:val="right"/>
              <w:ind w:right="277"/>
              <w:spacing w:after="0"/>
              <w:rPr>
                <w:sz w:val="20"/>
                <w:szCs w:val="20"/>
                <w:color w:val="auto"/>
              </w:rPr>
            </w:pPr>
            <w:r>
              <w:rPr>
                <w:rFonts w:ascii="Arial" w:cs="Arial" w:eastAsia="Arial" w:hAnsi="Arial"/>
                <w:sz w:val="14"/>
                <w:szCs w:val="14"/>
                <w:b w:val="1"/>
                <w:bCs w:val="1"/>
                <w:color w:val="auto"/>
              </w:rPr>
              <w:t>December 31,</w:t>
            </w:r>
          </w:p>
        </w:tc>
      </w:tr>
      <w:tr>
        <w:trPr>
          <w:trHeight w:val="184"/>
        </w:trPr>
        <w:tc>
          <w:tcPr>
            <w:tcW w:w="59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2018</w:t>
            </w:r>
          </w:p>
        </w:tc>
      </w:tr>
      <w:tr>
        <w:trPr>
          <w:trHeight w:val="217"/>
        </w:trPr>
        <w:tc>
          <w:tcPr>
            <w:tcW w:w="596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Net (loss) income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4"/>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23"/>
        </w:trPr>
        <w:tc>
          <w:tcPr>
            <w:tcW w:w="5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Derivative instrument adjustments and other, net of tax</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17"/>
        </w:trPr>
        <w:tc>
          <w:tcPr>
            <w:tcW w:w="5960" w:type="dxa"/>
            <w:vAlign w:val="bottom"/>
            <w:shd w:val="clear" w:color="auto" w:fill="CCEEFF"/>
          </w:tcPr>
          <w:p>
            <w:pPr>
              <w:ind w:left="440"/>
              <w:spacing w:after="0" w:line="203" w:lineRule="exact"/>
              <w:rPr>
                <w:sz w:val="20"/>
                <w:szCs w:val="20"/>
                <w:color w:val="auto"/>
              </w:rPr>
            </w:pPr>
            <w:r>
              <w:rPr>
                <w:rFonts w:ascii="Arial" w:cs="Arial" w:eastAsia="Arial" w:hAnsi="Arial"/>
                <w:sz w:val="18"/>
                <w:szCs w:val="18"/>
                <w:color w:val="auto"/>
              </w:rPr>
              <w:t>Total other comprehensive income (loss), net of tax</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17"/>
        </w:trPr>
        <w:tc>
          <w:tcPr>
            <w:tcW w:w="5960" w:type="dxa"/>
            <w:vAlign w:val="bottom"/>
          </w:tcPr>
          <w:p>
            <w:pPr>
              <w:ind w:left="640"/>
              <w:spacing w:after="0" w:line="203" w:lineRule="exact"/>
              <w:rPr>
                <w:sz w:val="20"/>
                <w:szCs w:val="20"/>
                <w:color w:val="auto"/>
              </w:rPr>
            </w:pPr>
            <w:r>
              <w:rPr>
                <w:rFonts w:ascii="Arial" w:cs="Arial" w:eastAsia="Arial" w:hAnsi="Arial"/>
                <w:sz w:val="18"/>
                <w:szCs w:val="18"/>
                <w:color w:val="auto"/>
              </w:rPr>
              <w:t>Comprehensive (loss) income</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w:t>
            </w:r>
          </w:p>
        </w:tc>
      </w:tr>
      <w:tr>
        <w:trPr>
          <w:trHeight w:val="20"/>
        </w:trPr>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20"/>
          </w:cols>
          <w:pgMar w:left="320" w:top="127" w:right="5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3" w:lineRule="exact"/>
        <w:rPr>
          <w:sz w:val="20"/>
          <w:szCs w:val="20"/>
          <w:color w:val="auto"/>
        </w:rPr>
      </w:pPr>
    </w:p>
    <w:p>
      <w:pPr>
        <w:jc w:val="center"/>
        <w:ind w:right="-479"/>
        <w:spacing w:after="0"/>
        <w:rPr>
          <w:sz w:val="20"/>
          <w:szCs w:val="20"/>
          <w:color w:val="auto"/>
        </w:rPr>
      </w:pPr>
      <w:r>
        <w:rPr>
          <w:rFonts w:ascii="Arial" w:cs="Arial" w:eastAsia="Arial" w:hAnsi="Arial"/>
          <w:sz w:val="19"/>
          <w:szCs w:val="19"/>
          <w:b w:val="1"/>
          <w:bCs w:val="1"/>
          <w:color w:val="auto"/>
        </w:rPr>
        <w:t>MARRIOTT INTERNATIONAL, INC.</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9"/>
          <w:szCs w:val="19"/>
          <w:b w:val="1"/>
          <w:bCs w:val="1"/>
          <w:color w:val="auto"/>
        </w:rPr>
        <w:t>CONSOLIDATED BALANCE SHEETS</w:t>
      </w:r>
    </w:p>
    <w:p>
      <w:pPr>
        <w:spacing w:after="0" w:line="5" w:lineRule="exact"/>
        <w:rPr>
          <w:sz w:val="20"/>
          <w:szCs w:val="20"/>
          <w:color w:val="auto"/>
        </w:rPr>
      </w:pPr>
    </w:p>
    <w:p>
      <w:pPr>
        <w:jc w:val="center"/>
        <w:ind w:right="-479"/>
        <w:spacing w:after="0"/>
        <w:rPr>
          <w:sz w:val="20"/>
          <w:szCs w:val="20"/>
          <w:color w:val="auto"/>
        </w:rPr>
      </w:pPr>
      <w:r>
        <w:rPr>
          <w:rFonts w:ascii="Arial" w:cs="Arial" w:eastAsia="Arial" w:hAnsi="Arial"/>
          <w:sz w:val="19"/>
          <w:szCs w:val="19"/>
          <w:b w:val="1"/>
          <w:bCs w:val="1"/>
          <w:color w:val="auto"/>
        </w:rPr>
        <w:t>Fiscal Years-Ended 2020 and 2019</w:t>
      </w:r>
    </w:p>
    <w:p>
      <w:pPr>
        <w:spacing w:after="0" w:line="5" w:lineRule="exact"/>
        <w:rPr>
          <w:sz w:val="20"/>
          <w:szCs w:val="20"/>
          <w:color w:val="auto"/>
        </w:rPr>
      </w:pPr>
    </w:p>
    <w:p>
      <w:pPr>
        <w:jc w:val="center"/>
        <w:ind w:right="-479"/>
        <w:spacing w:after="0"/>
        <w:rPr>
          <w:sz w:val="20"/>
          <w:szCs w:val="20"/>
          <w:color w:val="auto"/>
        </w:rPr>
      </w:pPr>
      <w:r>
        <w:rPr>
          <w:rFonts w:ascii="Arial" w:cs="Arial" w:eastAsia="Arial" w:hAnsi="Arial"/>
          <w:sz w:val="19"/>
          <w:szCs w:val="19"/>
          <w:color w:val="auto"/>
        </w:rPr>
        <w:t>($ in millions)</w:t>
      </w:r>
    </w:p>
    <w:p>
      <w:pPr>
        <w:spacing w:after="0" w:line="3"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320" w:type="dxa"/>
            <w:vAlign w:val="bottom"/>
          </w:tcPr>
          <w:p>
            <w:pPr>
              <w:jc w:val="right"/>
              <w:ind w:right="29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4"/>
        </w:trPr>
        <w:tc>
          <w:tcPr>
            <w:tcW w:w="70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4"/>
        </w:trPr>
        <w:tc>
          <w:tcPr>
            <w:tcW w:w="708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equivalents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3"/>
        </w:trPr>
        <w:tc>
          <w:tcPr>
            <w:tcW w:w="7080" w:type="dxa"/>
            <w:vAlign w:val="bottom"/>
          </w:tcPr>
          <w:p>
            <w:pPr>
              <w:ind w:left="340"/>
              <w:spacing w:after="0"/>
              <w:rPr>
                <w:sz w:val="20"/>
                <w:szCs w:val="20"/>
                <w:color w:val="auto"/>
              </w:rPr>
            </w:pPr>
            <w:r>
              <w:rPr>
                <w:rFonts w:ascii="Arial" w:cs="Arial" w:eastAsia="Arial" w:hAnsi="Arial"/>
                <w:sz w:val="18"/>
                <w:szCs w:val="18"/>
                <w:color w:val="auto"/>
              </w:rPr>
              <w:t>Accounts and notes receivable, net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2,395</w:t>
            </w: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Assets held for sale</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ind w:left="340"/>
              <w:spacing w:after="0"/>
              <w:rPr>
                <w:sz w:val="20"/>
                <w:szCs w:val="20"/>
                <w:color w:val="auto"/>
              </w:rPr>
            </w:pPr>
            <w:r>
              <w:rPr>
                <w:rFonts w:ascii="Arial" w:cs="Arial" w:eastAsia="Arial" w:hAnsi="Arial"/>
                <w:sz w:val="18"/>
                <w:szCs w:val="18"/>
                <w:color w:val="auto"/>
              </w:rPr>
              <w:t>Brands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5,954</w:t>
            </w: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 acquisition costs and other</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9,048</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17,689</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color w:val="auto"/>
              </w:rPr>
              <w:t>Equity method investments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receivable, net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42"/>
        </w:trPr>
        <w:tc>
          <w:tcPr>
            <w:tcW w:w="70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25,051</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0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23"/>
        </w:trPr>
        <w:tc>
          <w:tcPr>
            <w:tcW w:w="7080" w:type="dxa"/>
            <w:vAlign w:val="bottom"/>
          </w:tcPr>
          <w:p>
            <w:pPr>
              <w:ind w:left="340"/>
              <w:spacing w:after="0"/>
              <w:rPr>
                <w:sz w:val="20"/>
                <w:szCs w:val="20"/>
                <w:color w:val="auto"/>
              </w:rPr>
            </w:pPr>
            <w:r>
              <w:rPr>
                <w:rFonts w:ascii="Arial" w:cs="Arial" w:eastAsia="Arial" w:hAnsi="Arial"/>
                <w:sz w:val="18"/>
                <w:szCs w:val="18"/>
                <w:color w:val="auto"/>
              </w:rPr>
              <w:t>Accrued payroll and benefits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Liability for guest loyalty program</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Accrued expenses and other</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6,677</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9,963</w:t>
            </w: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for guest loyalty program</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A Common Stock</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7080" w:type="dxa"/>
            <w:vAlign w:val="bottom"/>
          </w:tcPr>
          <w:p>
            <w:pPr>
              <w:ind w:left="340"/>
              <w:spacing w:after="0"/>
              <w:rPr>
                <w:sz w:val="20"/>
                <w:szCs w:val="20"/>
                <w:color w:val="auto"/>
              </w:rPr>
            </w:pPr>
            <w:r>
              <w:rPr>
                <w:rFonts w:ascii="Arial" w:cs="Arial" w:eastAsia="Arial" w:hAnsi="Arial"/>
                <w:sz w:val="18"/>
                <w:szCs w:val="18"/>
                <w:color w:val="auto"/>
              </w:rPr>
              <w:t>Additional paid-in-capital</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5,800</w:t>
            </w: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9,644</w:t>
            </w:r>
          </w:p>
        </w:tc>
        <w:tc>
          <w:tcPr>
            <w:tcW w:w="0" w:type="dxa"/>
            <w:vAlign w:val="bottom"/>
          </w:tcPr>
          <w:p>
            <w:pPr>
              <w:spacing w:after="0"/>
              <w:rPr>
                <w:sz w:val="1"/>
                <w:szCs w:val="1"/>
                <w:color w:val="auto"/>
              </w:rPr>
            </w:pPr>
          </w:p>
        </w:tc>
      </w:tr>
      <w:tr>
        <w:trPr>
          <w:trHeight w:val="223"/>
        </w:trPr>
        <w:tc>
          <w:tcPr>
            <w:tcW w:w="7080" w:type="dxa"/>
            <w:vAlign w:val="bottom"/>
          </w:tcPr>
          <w:p>
            <w:pPr>
              <w:ind w:left="340"/>
              <w:spacing w:after="0"/>
              <w:rPr>
                <w:sz w:val="20"/>
                <w:szCs w:val="20"/>
                <w:color w:val="auto"/>
              </w:rPr>
            </w:pPr>
            <w:r>
              <w:rPr>
                <w:rFonts w:ascii="Arial" w:cs="Arial" w:eastAsia="Arial" w:hAnsi="Arial"/>
                <w:sz w:val="18"/>
                <w:szCs w:val="18"/>
                <w:color w:val="auto"/>
              </w:rPr>
              <w:t>Treasury stock, at cost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(14,497)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(14,385)</w:t>
            </w: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7"/>
        </w:trPr>
        <w:tc>
          <w:tcPr>
            <w:tcW w:w="70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42"/>
        </w:trPr>
        <w:tc>
          <w:tcPr>
            <w:tcW w:w="70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25,051</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60"/>
          </w:cols>
          <w:pgMar w:left="320" w:top="127" w:right="81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3" w:lineRule="exact"/>
        <w:rPr>
          <w:sz w:val="20"/>
          <w:szCs w:val="20"/>
          <w:color w:val="auto"/>
        </w:rPr>
      </w:pPr>
    </w:p>
    <w:p>
      <w:pPr>
        <w:jc w:val="center"/>
        <w:ind w:right="-239"/>
        <w:spacing w:after="0"/>
        <w:rPr>
          <w:sz w:val="20"/>
          <w:szCs w:val="20"/>
          <w:color w:val="auto"/>
        </w:rPr>
      </w:pPr>
      <w:r>
        <w:rPr>
          <w:rFonts w:ascii="Arial" w:cs="Arial" w:eastAsia="Arial" w:hAnsi="Arial"/>
          <w:sz w:val="19"/>
          <w:szCs w:val="19"/>
          <w:b w:val="1"/>
          <w:bCs w:val="1"/>
          <w:color w:val="auto"/>
        </w:rPr>
        <w:t>MARRIOTT INTERNATIONAL,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9"/>
          <w:szCs w:val="19"/>
          <w:b w:val="1"/>
          <w:bCs w:val="1"/>
          <w:color w:val="auto"/>
        </w:rPr>
        <w:t>CONSOLIDATED STATEMENTS OF CASH FLOWS</w:t>
      </w:r>
    </w:p>
    <w:p>
      <w:pPr>
        <w:spacing w:after="0" w:line="5" w:lineRule="exact"/>
        <w:rPr>
          <w:sz w:val="20"/>
          <w:szCs w:val="20"/>
          <w:color w:val="auto"/>
        </w:rPr>
      </w:pPr>
    </w:p>
    <w:p>
      <w:pPr>
        <w:jc w:val="center"/>
        <w:ind w:right="-239"/>
        <w:spacing w:after="0"/>
        <w:rPr>
          <w:sz w:val="20"/>
          <w:szCs w:val="20"/>
          <w:color w:val="auto"/>
        </w:rPr>
      </w:pPr>
      <w:r>
        <w:rPr>
          <w:rFonts w:ascii="Arial" w:cs="Arial" w:eastAsia="Arial" w:hAnsi="Arial"/>
          <w:sz w:val="19"/>
          <w:szCs w:val="19"/>
          <w:b w:val="1"/>
          <w:bCs w:val="1"/>
          <w:color w:val="auto"/>
        </w:rPr>
        <w:t>Fiscal Years 2020, 2019, and 2018</w:t>
      </w:r>
    </w:p>
    <w:p>
      <w:pPr>
        <w:spacing w:after="0" w:line="5"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 in millions)</w:t>
      </w:r>
    </w:p>
    <w:p>
      <w:pPr>
        <w:spacing w:after="0" w:line="3"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040" w:type="dxa"/>
            <w:vAlign w:val="bottom"/>
          </w:tcPr>
          <w:p>
            <w:pPr>
              <w:jc w:val="right"/>
              <w:ind w:right="93"/>
              <w:spacing w:after="0"/>
              <w:rPr>
                <w:sz w:val="20"/>
                <w:szCs w:val="20"/>
                <w:color w:val="auto"/>
              </w:rPr>
            </w:pPr>
            <w:r>
              <w:rPr>
                <w:rFonts w:ascii="Arial" w:cs="Arial" w:eastAsia="Arial" w:hAnsi="Arial"/>
                <w:sz w:val="14"/>
                <w:szCs w:val="14"/>
                <w:b w:val="1"/>
                <w:bCs w:val="1"/>
                <w:color w:val="auto"/>
                <w:w w:val="92"/>
              </w:rPr>
              <w:t>December 31,</w:t>
            </w:r>
          </w:p>
        </w:tc>
      </w:tr>
      <w:tr>
        <w:trPr>
          <w:trHeight w:val="184"/>
        </w:trPr>
        <w:tc>
          <w:tcPr>
            <w:tcW w:w="70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r>
      <w:tr>
        <w:trPr>
          <w:trHeight w:val="204"/>
        </w:trPr>
        <w:tc>
          <w:tcPr>
            <w:tcW w:w="702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OPERATING ACTIVITIES</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3"/>
        </w:trPr>
        <w:tc>
          <w:tcPr>
            <w:tcW w:w="7020" w:type="dxa"/>
            <w:vAlign w:val="bottom"/>
          </w:tcPr>
          <w:p>
            <w:pPr>
              <w:ind w:left="320"/>
              <w:spacing w:after="0"/>
              <w:rPr>
                <w:sz w:val="20"/>
                <w:szCs w:val="20"/>
                <w:color w:val="auto"/>
              </w:rPr>
            </w:pPr>
            <w:r>
              <w:rPr>
                <w:rFonts w:ascii="Arial" w:cs="Arial" w:eastAsia="Arial" w:hAnsi="Arial"/>
                <w:sz w:val="18"/>
                <w:szCs w:val="18"/>
                <w:color w:val="auto"/>
              </w:rPr>
              <w:t>Net (loss)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1,273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1,907</w:t>
            </w:r>
          </w:p>
        </w:tc>
      </w:tr>
      <w:tr>
        <w:trPr>
          <w:trHeight w:val="224"/>
        </w:trPr>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Adjustments to reconcile to cash provided by operating activities: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3"/>
        </w:trPr>
        <w:tc>
          <w:tcPr>
            <w:tcW w:w="7020" w:type="dxa"/>
            <w:vAlign w:val="bottom"/>
          </w:tcPr>
          <w:p>
            <w:pPr>
              <w:ind w:left="640"/>
              <w:spacing w:after="0"/>
              <w:rPr>
                <w:sz w:val="20"/>
                <w:szCs w:val="20"/>
                <w:color w:val="auto"/>
              </w:rPr>
            </w:pPr>
            <w:r>
              <w:rPr>
                <w:rFonts w:ascii="Arial" w:cs="Arial" w:eastAsia="Arial" w:hAnsi="Arial"/>
                <w:sz w:val="18"/>
                <w:szCs w:val="18"/>
                <w:color w:val="auto"/>
              </w:rPr>
              <w:t>Depreciation, amortization, and other</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24"/>
        </w:trPr>
        <w:tc>
          <w:tcPr>
            <w:tcW w:w="7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23"/>
        </w:trPr>
        <w:tc>
          <w:tcPr>
            <w:tcW w:w="7020" w:type="dxa"/>
            <w:vAlign w:val="bottom"/>
          </w:tcPr>
          <w:p>
            <w:pPr>
              <w:ind w:left="64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24"/>
        </w:trPr>
        <w:tc>
          <w:tcPr>
            <w:tcW w:w="7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Liability for guest loyalty program</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23"/>
        </w:trPr>
        <w:tc>
          <w:tcPr>
            <w:tcW w:w="7020" w:type="dxa"/>
            <w:vAlign w:val="bottom"/>
          </w:tcPr>
          <w:p>
            <w:pPr>
              <w:ind w:left="640"/>
              <w:spacing w:after="0"/>
              <w:rPr>
                <w:sz w:val="20"/>
                <w:szCs w:val="20"/>
                <w:color w:val="auto"/>
              </w:rPr>
            </w:pPr>
            <w:r>
              <w:rPr>
                <w:rFonts w:ascii="Arial" w:cs="Arial" w:eastAsia="Arial" w:hAnsi="Arial"/>
                <w:sz w:val="18"/>
                <w:szCs w:val="18"/>
                <w:color w:val="auto"/>
              </w:rPr>
              <w:t>Contract acquisition costs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24"/>
        </w:trPr>
        <w:tc>
          <w:tcPr>
            <w:tcW w:w="7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Restructuring and merger-related charges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7020" w:type="dxa"/>
            <w:vAlign w:val="bottom"/>
          </w:tcPr>
          <w:p>
            <w:pPr>
              <w:ind w:left="640"/>
              <w:spacing w:after="0"/>
              <w:rPr>
                <w:sz w:val="20"/>
                <w:szCs w:val="20"/>
                <w:color w:val="auto"/>
              </w:rPr>
            </w:pPr>
            <w:r>
              <w:rPr>
                <w:rFonts w:ascii="Arial" w:cs="Arial" w:eastAsia="Arial" w:hAnsi="Arial"/>
                <w:sz w:val="18"/>
                <w:szCs w:val="18"/>
                <w:color w:val="auto"/>
              </w:rPr>
              <w:t>Working capital changes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4"/>
        </w:trPr>
        <w:tc>
          <w:tcPr>
            <w:tcW w:w="7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Loss (gain) on asset dispositions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23"/>
        </w:trPr>
        <w:tc>
          <w:tcPr>
            <w:tcW w:w="702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Deferred revenue changes and other</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17"/>
        </w:trPr>
        <w:tc>
          <w:tcPr>
            <w:tcW w:w="7020" w:type="dxa"/>
            <w:vAlign w:val="bottom"/>
            <w:shd w:val="clear" w:color="auto" w:fill="CCEEFF"/>
          </w:tcPr>
          <w:p>
            <w:pPr>
              <w:ind w:left="960"/>
              <w:spacing w:after="0" w:line="203" w:lineRule="exact"/>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w:t>
            </w:r>
          </w:p>
        </w:tc>
      </w:tr>
      <w:tr>
        <w:trPr>
          <w:trHeight w:val="204"/>
        </w:trPr>
        <w:tc>
          <w:tcPr>
            <w:tcW w:w="7020" w:type="dxa"/>
            <w:vAlign w:val="bottom"/>
          </w:tcPr>
          <w:p>
            <w:pPr>
              <w:spacing w:after="0" w:line="204" w:lineRule="exact"/>
              <w:rPr>
                <w:sz w:val="20"/>
                <w:szCs w:val="20"/>
                <w:color w:val="auto"/>
              </w:rPr>
            </w:pPr>
            <w:r>
              <w:rPr>
                <w:rFonts w:ascii="Arial" w:cs="Arial" w:eastAsia="Arial" w:hAnsi="Arial"/>
                <w:sz w:val="18"/>
                <w:szCs w:val="18"/>
                <w:b w:val="1"/>
                <w:bCs w:val="1"/>
                <w:color w:val="auto"/>
              </w:rPr>
              <w:t>INVESTING ACTIVITIES</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4"/>
        </w:trPr>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and technology expenditures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23"/>
        </w:trPr>
        <w:tc>
          <w:tcPr>
            <w:tcW w:w="7020" w:type="dxa"/>
            <w:vAlign w:val="bottom"/>
          </w:tcPr>
          <w:p>
            <w:pPr>
              <w:ind w:left="320"/>
              <w:spacing w:after="0"/>
              <w:rPr>
                <w:sz w:val="20"/>
                <w:szCs w:val="20"/>
                <w:color w:val="auto"/>
              </w:rPr>
            </w:pPr>
            <w:r>
              <w:rPr>
                <w:rFonts w:ascii="Arial" w:cs="Arial" w:eastAsia="Arial" w:hAnsi="Arial"/>
                <w:sz w:val="18"/>
                <w:szCs w:val="18"/>
                <w:color w:val="auto"/>
              </w:rPr>
              <w:t>Dispositions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24"/>
        </w:trPr>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 advances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7020" w:type="dxa"/>
            <w:vAlign w:val="bottom"/>
          </w:tcPr>
          <w:p>
            <w:pPr>
              <w:ind w:left="320"/>
              <w:spacing w:after="0"/>
              <w:rPr>
                <w:sz w:val="20"/>
                <w:szCs w:val="20"/>
                <w:color w:val="auto"/>
              </w:rPr>
            </w:pPr>
            <w:r>
              <w:rPr>
                <w:rFonts w:ascii="Arial" w:cs="Arial" w:eastAsia="Arial" w:hAnsi="Arial"/>
                <w:sz w:val="18"/>
                <w:szCs w:val="18"/>
                <w:color w:val="auto"/>
              </w:rPr>
              <w:t>Loan collections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4"/>
        </w:trPr>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7"/>
        </w:trPr>
        <w:tc>
          <w:tcPr>
            <w:tcW w:w="7020" w:type="dxa"/>
            <w:vAlign w:val="bottom"/>
            <w:tcBorders>
              <w:bottom w:val="single" w:sz="8" w:color="CCEEFF"/>
            </w:tcBorders>
          </w:tcPr>
          <w:p>
            <w:pPr>
              <w:ind w:left="960"/>
              <w:spacing w:after="0" w:line="203" w:lineRule="exact"/>
              <w:rPr>
                <w:sz w:val="20"/>
                <w:szCs w:val="20"/>
                <w:color w:val="auto"/>
              </w:rPr>
            </w:pPr>
            <w:r>
              <w:rPr>
                <w:rFonts w:ascii="Arial" w:cs="Arial" w:eastAsia="Arial" w:hAnsi="Arial"/>
                <w:sz w:val="18"/>
                <w:szCs w:val="18"/>
                <w:color w:val="auto"/>
              </w:rPr>
              <w:t>Net cash provided by (used in) investing activities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04"/>
        </w:trPr>
        <w:tc>
          <w:tcPr>
            <w:tcW w:w="702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FINANCING ACTIVITIES</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3"/>
        </w:trPr>
        <w:tc>
          <w:tcPr>
            <w:tcW w:w="7020" w:type="dxa"/>
            <w:vAlign w:val="bottom"/>
          </w:tcPr>
          <w:p>
            <w:pPr>
              <w:ind w:left="320"/>
              <w:spacing w:after="0"/>
              <w:rPr>
                <w:sz w:val="20"/>
                <w:szCs w:val="20"/>
                <w:color w:val="auto"/>
              </w:rPr>
            </w:pPr>
            <w:r>
              <w:rPr>
                <w:rFonts w:ascii="Arial" w:cs="Arial" w:eastAsia="Arial" w:hAnsi="Arial"/>
                <w:sz w:val="18"/>
                <w:szCs w:val="18"/>
                <w:color w:val="auto"/>
              </w:rPr>
              <w:t>Commercial paper/Credit Facility, net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24"/>
        </w:trPr>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Issuance of long-term debt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r>
      <w:tr>
        <w:trPr>
          <w:trHeight w:val="223"/>
        </w:trPr>
        <w:tc>
          <w:tcPr>
            <w:tcW w:w="7020" w:type="dxa"/>
            <w:vAlign w:val="bottom"/>
          </w:tcPr>
          <w:p>
            <w:pPr>
              <w:ind w:left="320"/>
              <w:spacing w:after="0"/>
              <w:rPr>
                <w:sz w:val="20"/>
                <w:szCs w:val="20"/>
                <w:color w:val="auto"/>
              </w:rPr>
            </w:pPr>
            <w:r>
              <w:rPr>
                <w:rFonts w:ascii="Arial" w:cs="Arial" w:eastAsia="Arial" w:hAnsi="Arial"/>
                <w:sz w:val="18"/>
                <w:szCs w:val="18"/>
                <w:color w:val="auto"/>
              </w:rPr>
              <w:t>Repayment of long-term debt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(397)</w:t>
            </w:r>
          </w:p>
        </w:tc>
      </w:tr>
      <w:tr>
        <w:trPr>
          <w:trHeight w:val="224"/>
        </w:trPr>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Issuance of Class A Common Stock</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7020" w:type="dxa"/>
            <w:vAlign w:val="bottom"/>
          </w:tcPr>
          <w:p>
            <w:pPr>
              <w:ind w:left="320"/>
              <w:spacing w:after="0"/>
              <w:rPr>
                <w:sz w:val="20"/>
                <w:szCs w:val="20"/>
                <w:color w:val="auto"/>
              </w:rPr>
            </w:pPr>
            <w:r>
              <w:rPr>
                <w:rFonts w:ascii="Arial" w:cs="Arial" w:eastAsia="Arial" w:hAnsi="Arial"/>
                <w:sz w:val="18"/>
                <w:szCs w:val="18"/>
                <w:color w:val="auto"/>
              </w:rPr>
              <w:t>Dividends paid</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(543)</w:t>
            </w:r>
          </w:p>
        </w:tc>
      </w:tr>
      <w:tr>
        <w:trPr>
          <w:trHeight w:val="224"/>
        </w:trPr>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 of treasury stock</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r>
      <w:tr>
        <w:trPr>
          <w:trHeight w:val="223"/>
        </w:trPr>
        <w:tc>
          <w:tcPr>
            <w:tcW w:w="7020" w:type="dxa"/>
            <w:vAlign w:val="bottom"/>
          </w:tcPr>
          <w:p>
            <w:pPr>
              <w:ind w:left="320"/>
              <w:spacing w:after="0"/>
              <w:rPr>
                <w:sz w:val="20"/>
                <w:szCs w:val="20"/>
                <w:color w:val="auto"/>
              </w:rPr>
            </w:pPr>
            <w:r>
              <w:rPr>
                <w:rFonts w:ascii="Arial" w:cs="Arial" w:eastAsia="Arial" w:hAnsi="Arial"/>
                <w:sz w:val="18"/>
                <w:szCs w:val="18"/>
                <w:color w:val="auto"/>
              </w:rPr>
              <w:t>Stock-based compensation withholding taxes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24"/>
        </w:trPr>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7020" w:type="dxa"/>
            <w:vAlign w:val="bottom"/>
          </w:tcPr>
          <w:p>
            <w:pPr>
              <w:ind w:left="960"/>
              <w:spacing w:after="0" w:line="203" w:lineRule="exact"/>
              <w:rPr>
                <w:sz w:val="20"/>
                <w:szCs w:val="20"/>
                <w:color w:val="auto"/>
              </w:rPr>
            </w:pPr>
            <w:r>
              <w:rPr>
                <w:rFonts w:ascii="Arial" w:cs="Arial" w:eastAsia="Arial" w:hAnsi="Arial"/>
                <w:sz w:val="18"/>
                <w:szCs w:val="18"/>
                <w:color w:val="auto"/>
              </w:rPr>
              <w:t>Net cash used in financing activities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(2,374)</w:t>
            </w:r>
          </w:p>
        </w:tc>
      </w:tr>
      <w:tr>
        <w:trPr>
          <w:trHeight w:val="224"/>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w w:val="99"/>
              </w:rPr>
              <w:t>INCREASE (DECREASE) IN CASH, CASH EQUIVALENTS, AND RESTRICTED CASH</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4"/>
        </w:trPr>
        <w:tc>
          <w:tcPr>
            <w:tcW w:w="7020" w:type="dxa"/>
            <w:vAlign w:val="bottom"/>
            <w:tcBorders>
              <w:bottom w:val="single" w:sz="8" w:color="CCEEFF"/>
            </w:tcBorders>
          </w:tcPr>
          <w:p>
            <w:pPr>
              <w:spacing w:after="0" w:line="224" w:lineRule="exact"/>
              <w:rPr>
                <w:sz w:val="20"/>
                <w:szCs w:val="20"/>
                <w:color w:val="auto"/>
              </w:rPr>
            </w:pPr>
            <w:r>
              <w:rPr>
                <w:rFonts w:ascii="Arial" w:cs="Arial" w:eastAsia="Arial" w:hAnsi="Arial"/>
                <w:sz w:val="18"/>
                <w:szCs w:val="18"/>
                <w:color w:val="auto"/>
              </w:rPr>
              <w:t xml:space="preserve">CASH, CASH EQUIVALENTS, AND RESTRICTED CASH, beginning of period </w:t>
            </w:r>
            <w:r>
              <w:rPr>
                <w:rFonts w:ascii="Arial" w:cs="Arial" w:eastAsia="Arial" w:hAnsi="Arial"/>
                <w:sz w:val="22"/>
                <w:szCs w:val="22"/>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r>
      <w:tr>
        <w:trPr>
          <w:trHeight w:val="242"/>
        </w:trPr>
        <w:tc>
          <w:tcPr>
            <w:tcW w:w="7020" w:type="dxa"/>
            <w:vAlign w:val="bottom"/>
            <w:tcBorders>
              <w:bottom w:val="single" w:sz="8" w:color="CCEEFF"/>
            </w:tcBorders>
            <w:shd w:val="clear" w:color="auto" w:fill="CCEEFF"/>
          </w:tcPr>
          <w:p>
            <w:pPr>
              <w:spacing w:after="0" w:line="217" w:lineRule="exact"/>
              <w:rPr>
                <w:sz w:val="20"/>
                <w:szCs w:val="20"/>
                <w:color w:val="auto"/>
              </w:rPr>
            </w:pPr>
            <w:r>
              <w:rPr>
                <w:rFonts w:ascii="Arial" w:cs="Arial" w:eastAsia="Arial" w:hAnsi="Arial"/>
                <w:sz w:val="18"/>
                <w:szCs w:val="18"/>
                <w:color w:val="auto"/>
              </w:rPr>
              <w:t xml:space="preserve">CASH, CASH EQUIVALENTS, AND RESTRICTED CASH, end of period </w:t>
            </w:r>
            <w:r>
              <w:rPr>
                <w:rFonts w:ascii="Arial" w:cs="Arial" w:eastAsia="Arial" w:hAnsi="Arial"/>
                <w:sz w:val="22"/>
                <w:szCs w:val="22"/>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640" w:right="300" w:hanging="319"/>
        <w:spacing w:after="0" w:line="219" w:lineRule="auto"/>
        <w:tabs>
          <w:tab w:leader="none" w:pos="628"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The 2020 amounts include beginning restricted cash of $28 million at December 31, 2019, and ending restricted cash of $17 million at December 31, 2020, which we present in the “Prepaid expenses and other” and “Other noncurrent assets” captions of our Balance Sheets.</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00"/>
          </w:cols>
          <w:pgMar w:left="320" w:top="127" w:right="57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MARRIOTT INTERNATIONAL,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CONSOLIDATED STATEMENTS OF STOCKHOLDERS’ EQUITY</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Fiscal Years 2020, 2019, and 2018</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(in millions, except per share amounts)</w:t>
      </w:r>
    </w:p>
    <w:p>
      <w:pPr>
        <w:spacing w:after="0" w:line="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080" w:type="dxa"/>
            <w:vAlign w:val="bottom"/>
            <w:vMerge w:val="restart"/>
          </w:tcPr>
          <w:p>
            <w:pPr>
              <w:jc w:val="center"/>
              <w:ind w:right="2250"/>
              <w:spacing w:after="0"/>
              <w:rPr>
                <w:sz w:val="20"/>
                <w:szCs w:val="20"/>
                <w:color w:val="auto"/>
              </w:rPr>
            </w:pPr>
            <w:r>
              <w:rPr>
                <w:rFonts w:ascii="Arial" w:cs="Arial" w:eastAsia="Arial" w:hAnsi="Arial"/>
                <w:sz w:val="14"/>
                <w:szCs w:val="14"/>
                <w:b w:val="1"/>
                <w:bCs w:val="1"/>
                <w:color w:val="auto"/>
                <w:w w:val="92"/>
              </w:rPr>
              <w:t>Common</w:t>
            </w:r>
          </w:p>
        </w:tc>
        <w:tc>
          <w:tcPr>
            <w:tcW w:w="2880" w:type="dxa"/>
            <w:vAlign w:val="bottom"/>
          </w:tcPr>
          <w:p>
            <w:pPr>
              <w:spacing w:after="0"/>
              <w:rPr>
                <w:sz w:val="14"/>
                <w:szCs w:val="14"/>
                <w:color w:val="auto"/>
              </w:rPr>
            </w:pPr>
          </w:p>
        </w:tc>
        <w:tc>
          <w:tcPr>
            <w:tcW w:w="920" w:type="dxa"/>
            <w:vAlign w:val="bottom"/>
            <w:vMerge w:val="restart"/>
          </w:tcPr>
          <w:p>
            <w:pPr>
              <w:jc w:val="center"/>
              <w:ind w:left="10"/>
              <w:spacing w:after="0"/>
              <w:rPr>
                <w:sz w:val="20"/>
                <w:szCs w:val="20"/>
                <w:color w:val="auto"/>
              </w:rPr>
            </w:pPr>
            <w:r>
              <w:rPr>
                <w:rFonts w:ascii="Arial" w:cs="Arial" w:eastAsia="Arial" w:hAnsi="Arial"/>
                <w:sz w:val="14"/>
                <w:szCs w:val="14"/>
                <w:b w:val="1"/>
                <w:bCs w:val="1"/>
                <w:color w:val="auto"/>
                <w:w w:val="85"/>
              </w:rPr>
              <w:t>Class A</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88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Treasury</w:t>
            </w:r>
          </w:p>
        </w:tc>
        <w:tc>
          <w:tcPr>
            <w:tcW w:w="1060" w:type="dxa"/>
            <w:vAlign w:val="bottom"/>
          </w:tcPr>
          <w:p>
            <w:pPr>
              <w:jc w:val="center"/>
              <w:ind w:left="30"/>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32"/>
        </w:trPr>
        <w:tc>
          <w:tcPr>
            <w:tcW w:w="3080" w:type="dxa"/>
            <w:vAlign w:val="bottom"/>
            <w:vMerge w:val="continue"/>
          </w:tcPr>
          <w:p>
            <w:pPr>
              <w:spacing w:after="0"/>
              <w:rPr>
                <w:sz w:val="11"/>
                <w:szCs w:val="11"/>
                <w:color w:val="auto"/>
              </w:rPr>
            </w:pPr>
          </w:p>
        </w:tc>
        <w:tc>
          <w:tcPr>
            <w:tcW w:w="28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8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Retained</w:t>
            </w:r>
          </w:p>
        </w:tc>
        <w:tc>
          <w:tcPr>
            <w:tcW w:w="840" w:type="dxa"/>
            <w:vAlign w:val="bottom"/>
            <w:vMerge w:val="continue"/>
          </w:tcPr>
          <w:p>
            <w:pPr>
              <w:spacing w:after="0"/>
              <w:rPr>
                <w:sz w:val="11"/>
                <w:szCs w:val="11"/>
                <w:color w:val="auto"/>
              </w:rPr>
            </w:pPr>
          </w:p>
        </w:tc>
        <w:tc>
          <w:tcPr>
            <w:tcW w:w="1060" w:type="dxa"/>
            <w:vAlign w:val="bottom"/>
          </w:tcPr>
          <w:p>
            <w:pPr>
              <w:jc w:val="center"/>
              <w:ind w:left="30"/>
              <w:spacing w:after="0" w:line="132"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32"/>
        </w:trPr>
        <w:tc>
          <w:tcPr>
            <w:tcW w:w="3080" w:type="dxa"/>
            <w:vAlign w:val="bottom"/>
          </w:tcPr>
          <w:p>
            <w:pPr>
              <w:jc w:val="center"/>
              <w:ind w:right="2250"/>
              <w:spacing w:after="0" w:line="132" w:lineRule="exact"/>
              <w:rPr>
                <w:sz w:val="20"/>
                <w:szCs w:val="20"/>
                <w:color w:val="auto"/>
              </w:rPr>
            </w:pPr>
            <w:r>
              <w:rPr>
                <w:rFonts w:ascii="Arial" w:cs="Arial" w:eastAsia="Arial" w:hAnsi="Arial"/>
                <w:sz w:val="14"/>
                <w:szCs w:val="14"/>
                <w:b w:val="1"/>
                <w:bCs w:val="1"/>
                <w:color w:val="auto"/>
                <w:w w:val="85"/>
              </w:rPr>
              <w:t>Shares</w:t>
            </w:r>
          </w:p>
        </w:tc>
        <w:tc>
          <w:tcPr>
            <w:tcW w:w="2880" w:type="dxa"/>
            <w:vAlign w:val="bottom"/>
            <w:vMerge w:val="restart"/>
          </w:tcPr>
          <w:p>
            <w:pPr>
              <w:ind w:left="2340"/>
              <w:spacing w:after="0"/>
              <w:rPr>
                <w:sz w:val="20"/>
                <w:szCs w:val="20"/>
                <w:color w:val="auto"/>
              </w:rPr>
            </w:pPr>
            <w:r>
              <w:rPr>
                <w:rFonts w:ascii="Arial" w:cs="Arial" w:eastAsia="Arial" w:hAnsi="Arial"/>
                <w:sz w:val="14"/>
                <w:szCs w:val="14"/>
                <w:b w:val="1"/>
                <w:bCs w:val="1"/>
                <w:color w:val="auto"/>
              </w:rPr>
              <w:t>Total</w:t>
            </w:r>
          </w:p>
        </w:tc>
        <w:tc>
          <w:tcPr>
            <w:tcW w:w="920" w:type="dxa"/>
            <w:vAlign w:val="bottom"/>
          </w:tcPr>
          <w:p>
            <w:pPr>
              <w:jc w:val="center"/>
              <w:ind w:left="10"/>
              <w:spacing w:after="0" w:line="132" w:lineRule="exact"/>
              <w:rPr>
                <w:sz w:val="20"/>
                <w:szCs w:val="20"/>
                <w:color w:val="auto"/>
              </w:rPr>
            </w:pPr>
            <w:r>
              <w:rPr>
                <w:rFonts w:ascii="Arial" w:cs="Arial" w:eastAsia="Arial" w:hAnsi="Arial"/>
                <w:sz w:val="14"/>
                <w:szCs w:val="14"/>
                <w:b w:val="1"/>
                <w:bCs w:val="1"/>
                <w:color w:val="auto"/>
                <w:w w:val="92"/>
              </w:rPr>
              <w:t>Common</w:t>
            </w:r>
          </w:p>
        </w:tc>
        <w:tc>
          <w:tcPr>
            <w:tcW w:w="94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93"/>
              </w:rPr>
              <w:t>Paid-in-</w:t>
            </w:r>
          </w:p>
        </w:tc>
        <w:tc>
          <w:tcPr>
            <w:tcW w:w="880" w:type="dxa"/>
            <w:vAlign w:val="bottom"/>
            <w:vMerge w:val="continue"/>
          </w:tcPr>
          <w:p>
            <w:pPr>
              <w:spacing w:after="0"/>
              <w:rPr>
                <w:sz w:val="11"/>
                <w:szCs w:val="11"/>
                <w:color w:val="auto"/>
              </w:rPr>
            </w:pPr>
          </w:p>
        </w:tc>
        <w:tc>
          <w:tcPr>
            <w:tcW w:w="84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9"/>
              </w:rPr>
              <w:t>Stock, at</w:t>
            </w:r>
          </w:p>
        </w:tc>
        <w:tc>
          <w:tcPr>
            <w:tcW w:w="1060" w:type="dxa"/>
            <w:vAlign w:val="bottom"/>
          </w:tcPr>
          <w:p>
            <w:pPr>
              <w:jc w:val="center"/>
              <w:ind w:left="50"/>
              <w:spacing w:after="0" w:line="132"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83"/>
        </w:trPr>
        <w:tc>
          <w:tcPr>
            <w:tcW w:w="3080" w:type="dxa"/>
            <w:vAlign w:val="bottom"/>
          </w:tcPr>
          <w:p>
            <w:pPr>
              <w:jc w:val="center"/>
              <w:ind w:right="2250"/>
              <w:spacing w:after="0"/>
              <w:rPr>
                <w:sz w:val="20"/>
                <w:szCs w:val="20"/>
                <w:color w:val="auto"/>
              </w:rPr>
            </w:pPr>
            <w:r>
              <w:rPr>
                <w:rFonts w:ascii="Arial" w:cs="Arial" w:eastAsia="Arial" w:hAnsi="Arial"/>
                <w:sz w:val="14"/>
                <w:szCs w:val="14"/>
                <w:b w:val="1"/>
                <w:bCs w:val="1"/>
                <w:color w:val="auto"/>
                <w:w w:val="92"/>
              </w:rPr>
              <w:t>Outstanding</w:t>
            </w:r>
          </w:p>
        </w:tc>
        <w:tc>
          <w:tcPr>
            <w:tcW w:w="2880" w:type="dxa"/>
            <w:vAlign w:val="bottom"/>
            <w:vMerge w:val="continue"/>
          </w:tcPr>
          <w:p>
            <w:pPr>
              <w:spacing w:after="0"/>
              <w:rPr>
                <w:sz w:val="15"/>
                <w:szCs w:val="15"/>
                <w:color w:val="auto"/>
              </w:rPr>
            </w:pPr>
          </w:p>
        </w:tc>
        <w:tc>
          <w:tcPr>
            <w:tcW w:w="920" w:type="dxa"/>
            <w:vAlign w:val="bottom"/>
          </w:tcPr>
          <w:p>
            <w:pPr>
              <w:jc w:val="center"/>
              <w:ind w:left="10"/>
              <w:spacing w:after="0"/>
              <w:rPr>
                <w:sz w:val="20"/>
                <w:szCs w:val="20"/>
                <w:color w:val="auto"/>
              </w:rPr>
            </w:pPr>
            <w:r>
              <w:rPr>
                <w:rFonts w:ascii="Arial" w:cs="Arial" w:eastAsia="Arial" w:hAnsi="Arial"/>
                <w:sz w:val="14"/>
                <w:szCs w:val="14"/>
                <w:b w:val="1"/>
                <w:bCs w:val="1"/>
                <w:color w:val="auto"/>
                <w:w w:val="83"/>
              </w:rPr>
              <w:t>Stock</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Earnings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Cost</w:t>
            </w:r>
          </w:p>
        </w:tc>
        <w:tc>
          <w:tcPr>
            <w:tcW w:w="1060" w:type="dxa"/>
            <w:vAlign w:val="bottom"/>
          </w:tcPr>
          <w:p>
            <w:pPr>
              <w:jc w:val="center"/>
              <w:ind w:left="50"/>
              <w:spacing w:after="0"/>
              <w:rPr>
                <w:sz w:val="20"/>
                <w:szCs w:val="20"/>
                <w:color w:val="auto"/>
              </w:rPr>
            </w:pPr>
            <w:r>
              <w:rPr>
                <w:rFonts w:ascii="Arial" w:cs="Arial" w:eastAsia="Arial" w:hAnsi="Arial"/>
                <w:sz w:val="14"/>
                <w:szCs w:val="14"/>
                <w:b w:val="1"/>
                <w:bCs w:val="1"/>
                <w:color w:val="auto"/>
                <w:w w:val="79"/>
              </w:rPr>
              <w:t>Loss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635</wp:posOffset>
            </wp:positionV>
            <wp:extent cx="6776720" cy="150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76720" cy="150495"/>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359.1</w:t>
      </w:r>
    </w:p>
    <w:p>
      <w:pPr>
        <w:spacing w:after="0" w:line="5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1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1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1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1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1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1.5</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(21.5)</w:t>
      </w:r>
    </w:p>
    <w:p>
      <w:pPr>
        <w:spacing w:after="0" w:line="5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339.1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24765</wp:posOffset>
            </wp:positionV>
            <wp:extent cx="5511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1180" cy="8255"/>
                    </a:xfrm>
                    <a:prstGeom prst="rect">
                      <a:avLst/>
                    </a:prstGeom>
                    <a:noFill/>
                  </pic:spPr>
                </pic:pic>
              </a:graphicData>
            </a:graphic>
          </wp:anchor>
        </w:drawing>
      </w:r>
    </w:p>
    <w:p>
      <w:pPr>
        <w:spacing w:after="0" w:line="3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1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1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1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1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2.2</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3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Balance at December 31, 2017</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3,582</w:t>
            </w:r>
          </w:p>
        </w:tc>
        <w:tc>
          <w:tcPr>
            <w:tcW w:w="80" w:type="dxa"/>
            <w:vAlign w:val="bottom"/>
          </w:tcPr>
          <w:p>
            <w:pPr>
              <w:spacing w:after="0"/>
              <w:rPr>
                <w:sz w:val="19"/>
                <w:szCs w:val="19"/>
                <w:color w:val="auto"/>
              </w:rPr>
            </w:pPr>
          </w:p>
        </w:tc>
        <w:tc>
          <w:tcPr>
            <w:tcW w:w="3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5,770</w:t>
            </w:r>
          </w:p>
        </w:tc>
        <w:tc>
          <w:tcPr>
            <w:tcW w:w="60" w:type="dxa"/>
            <w:vAlign w:val="bottom"/>
          </w:tcPr>
          <w:p>
            <w:pPr>
              <w:spacing w:after="0"/>
              <w:rPr>
                <w:sz w:val="19"/>
                <w:szCs w:val="19"/>
                <w:color w:val="auto"/>
              </w:rPr>
            </w:pPr>
          </w:p>
        </w:tc>
        <w:tc>
          <w:tcPr>
            <w:tcW w:w="2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7,242</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(9,418)</w:t>
            </w:r>
          </w:p>
        </w:tc>
        <w:tc>
          <w:tcPr>
            <w:tcW w:w="80" w:type="dxa"/>
            <w:vAlign w:val="bottom"/>
          </w:tcPr>
          <w:p>
            <w:pPr>
              <w:spacing w:after="0"/>
              <w:rPr>
                <w:sz w:val="19"/>
                <w:szCs w:val="19"/>
                <w:color w:val="auto"/>
              </w:rPr>
            </w:pPr>
          </w:p>
        </w:tc>
        <w:tc>
          <w:tcPr>
            <w:tcW w:w="3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22"/>
        </w:trPr>
        <w:tc>
          <w:tcPr>
            <w:tcW w:w="3200" w:type="dxa"/>
            <w:vAlign w:val="bottom"/>
          </w:tcPr>
          <w:p>
            <w:pPr>
              <w:spacing w:after="0"/>
              <w:rPr>
                <w:sz w:val="20"/>
                <w:szCs w:val="20"/>
                <w:color w:val="auto"/>
              </w:rPr>
            </w:pPr>
            <w:r>
              <w:rPr>
                <w:rFonts w:ascii="Arial" w:cs="Arial" w:eastAsia="Arial" w:hAnsi="Arial"/>
                <w:sz w:val="18"/>
                <w:szCs w:val="18"/>
                <w:color w:val="auto"/>
              </w:rPr>
              <w:t>Adoption of ASU 2016-01</w:t>
            </w: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4"/>
        </w:trPr>
        <w:tc>
          <w:tcPr>
            <w:tcW w:w="3200" w:type="dxa"/>
            <w:vAlign w:val="bottom"/>
          </w:tcPr>
          <w:p>
            <w:pPr>
              <w:spacing w:after="0"/>
              <w:rPr>
                <w:sz w:val="20"/>
                <w:szCs w:val="20"/>
                <w:color w:val="auto"/>
              </w:rPr>
            </w:pPr>
            <w:r>
              <w:rPr>
                <w:rFonts w:ascii="Arial" w:cs="Arial" w:eastAsia="Arial" w:hAnsi="Arial"/>
                <w:sz w:val="18"/>
                <w:szCs w:val="18"/>
                <w:color w:val="auto"/>
              </w:rPr>
              <w:t>Adoption of ASU 2016-16</w:t>
            </w:r>
          </w:p>
        </w:tc>
        <w:tc>
          <w:tcPr>
            <w:tcW w:w="1700" w:type="dxa"/>
            <w:vAlign w:val="bottom"/>
          </w:tcPr>
          <w:p>
            <w:pPr>
              <w:jc w:val="right"/>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3200" w:type="dxa"/>
            <w:vAlign w:val="bottom"/>
          </w:tcPr>
          <w:p>
            <w:pPr>
              <w:spacing w:after="0"/>
              <w:rPr>
                <w:sz w:val="20"/>
                <w:szCs w:val="20"/>
                <w:color w:val="auto"/>
              </w:rPr>
            </w:pPr>
            <w:r>
              <w:rPr>
                <w:rFonts w:ascii="Arial" w:cs="Arial" w:eastAsia="Arial" w:hAnsi="Arial"/>
                <w:sz w:val="18"/>
                <w:szCs w:val="18"/>
                <w:color w:val="auto"/>
              </w:rPr>
              <w:t>Net income</w:t>
            </w:r>
          </w:p>
        </w:tc>
        <w:tc>
          <w:tcPr>
            <w:tcW w:w="1700" w:type="dxa"/>
            <w:vAlign w:val="bottom"/>
          </w:tcPr>
          <w:p>
            <w:pPr>
              <w:jc w:val="right"/>
              <w:spacing w:after="0"/>
              <w:rPr>
                <w:sz w:val="20"/>
                <w:szCs w:val="20"/>
                <w:color w:val="auto"/>
              </w:rPr>
            </w:pPr>
            <w:r>
              <w:rPr>
                <w:rFonts w:ascii="Arial" w:cs="Arial" w:eastAsia="Arial" w:hAnsi="Arial"/>
                <w:sz w:val="18"/>
                <w:szCs w:val="18"/>
                <w:color w:val="auto"/>
              </w:rPr>
              <w:t>1,907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32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700" w:type="dxa"/>
            <w:vAlign w:val="bottom"/>
          </w:tcPr>
          <w:p>
            <w:pPr>
              <w:jc w:val="right"/>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24"/>
        </w:trPr>
        <w:tc>
          <w:tcPr>
            <w:tcW w:w="3200" w:type="dxa"/>
            <w:vAlign w:val="bottom"/>
          </w:tcPr>
          <w:p>
            <w:pPr>
              <w:spacing w:after="0"/>
              <w:rPr>
                <w:sz w:val="20"/>
                <w:szCs w:val="20"/>
                <w:color w:val="auto"/>
              </w:rPr>
            </w:pPr>
            <w:r>
              <w:rPr>
                <w:rFonts w:ascii="Arial" w:cs="Arial" w:eastAsia="Arial" w:hAnsi="Arial"/>
                <w:sz w:val="18"/>
                <w:szCs w:val="18"/>
                <w:color w:val="auto"/>
              </w:rPr>
              <w:t>Dividends ($1.56 per share)</w:t>
            </w:r>
          </w:p>
        </w:tc>
        <w:tc>
          <w:tcPr>
            <w:tcW w:w="1700" w:type="dxa"/>
            <w:vAlign w:val="bottom"/>
          </w:tcPr>
          <w:p>
            <w:pPr>
              <w:jc w:val="right"/>
              <w:spacing w:after="0"/>
              <w:rPr>
                <w:sz w:val="20"/>
                <w:szCs w:val="20"/>
                <w:color w:val="auto"/>
              </w:rPr>
            </w:pPr>
            <w:r>
              <w:rPr>
                <w:rFonts w:ascii="Arial" w:cs="Arial" w:eastAsia="Arial" w:hAnsi="Arial"/>
                <w:sz w:val="18"/>
                <w:szCs w:val="18"/>
                <w:color w:val="auto"/>
              </w:rPr>
              <w:t>(543)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3200" w:type="dxa"/>
            <w:vAlign w:val="bottom"/>
          </w:tcPr>
          <w:p>
            <w:pPr>
              <w:spacing w:after="0"/>
              <w:rPr>
                <w:sz w:val="20"/>
                <w:szCs w:val="20"/>
                <w:color w:val="auto"/>
              </w:rPr>
            </w:pPr>
            <w:r>
              <w:rPr>
                <w:rFonts w:ascii="Arial" w:cs="Arial" w:eastAsia="Arial" w:hAnsi="Arial"/>
                <w:sz w:val="18"/>
                <w:szCs w:val="18"/>
                <w:color w:val="auto"/>
              </w:rPr>
              <w:t>Stock-based compensation plans</w:t>
            </w:r>
          </w:p>
        </w:tc>
        <w:tc>
          <w:tcPr>
            <w:tcW w:w="170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320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700" w:type="dxa"/>
            <w:vAlign w:val="bottom"/>
          </w:tcPr>
          <w:p>
            <w:pPr>
              <w:jc w:val="right"/>
              <w:spacing w:after="0"/>
              <w:rPr>
                <w:sz w:val="20"/>
                <w:szCs w:val="20"/>
                <w:color w:val="auto"/>
              </w:rPr>
            </w:pPr>
            <w:r>
              <w:rPr>
                <w:rFonts w:ascii="Arial" w:cs="Arial" w:eastAsia="Arial" w:hAnsi="Arial"/>
                <w:sz w:val="18"/>
                <w:szCs w:val="18"/>
                <w:color w:val="auto"/>
              </w:rPr>
              <w:t>(2,809)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(2,809)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3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Balance at December 31, 2018</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2,225</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5,814</w:t>
            </w: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8,982</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(12,185)</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w:t>
            </w:r>
          </w:p>
        </w:tc>
      </w:tr>
      <w:tr>
        <w:trPr>
          <w:trHeight w:val="217"/>
        </w:trPr>
        <w:tc>
          <w:tcPr>
            <w:tcW w:w="3200" w:type="dxa"/>
            <w:vAlign w:val="bottom"/>
          </w:tcPr>
          <w:p>
            <w:pPr>
              <w:spacing w:after="0"/>
              <w:rPr>
                <w:sz w:val="20"/>
                <w:szCs w:val="20"/>
                <w:color w:val="auto"/>
              </w:rPr>
            </w:pPr>
            <w:r>
              <w:rPr>
                <w:rFonts w:ascii="Arial" w:cs="Arial" w:eastAsia="Arial" w:hAnsi="Arial"/>
                <w:sz w:val="18"/>
                <w:szCs w:val="18"/>
                <w:color w:val="auto"/>
              </w:rPr>
              <w:t>Adoption of ASU 2016-02</w:t>
            </w:r>
          </w:p>
        </w:tc>
        <w:tc>
          <w:tcPr>
            <w:tcW w:w="17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3200" w:type="dxa"/>
            <w:vAlign w:val="bottom"/>
          </w:tcPr>
          <w:p>
            <w:pPr>
              <w:spacing w:after="0"/>
              <w:rPr>
                <w:sz w:val="20"/>
                <w:szCs w:val="20"/>
                <w:color w:val="auto"/>
              </w:rPr>
            </w:pPr>
            <w:r>
              <w:rPr>
                <w:rFonts w:ascii="Arial" w:cs="Arial" w:eastAsia="Arial" w:hAnsi="Arial"/>
                <w:sz w:val="18"/>
                <w:szCs w:val="18"/>
                <w:color w:val="auto"/>
              </w:rPr>
              <w:t>Net income</w:t>
            </w:r>
          </w:p>
        </w:tc>
        <w:tc>
          <w:tcPr>
            <w:tcW w:w="1700" w:type="dxa"/>
            <w:vAlign w:val="bottom"/>
          </w:tcPr>
          <w:p>
            <w:pPr>
              <w:jc w:val="right"/>
              <w:spacing w:after="0"/>
              <w:rPr>
                <w:sz w:val="20"/>
                <w:szCs w:val="20"/>
                <w:color w:val="auto"/>
              </w:rPr>
            </w:pPr>
            <w:r>
              <w:rPr>
                <w:rFonts w:ascii="Arial" w:cs="Arial" w:eastAsia="Arial" w:hAnsi="Arial"/>
                <w:sz w:val="18"/>
                <w:szCs w:val="18"/>
                <w:color w:val="auto"/>
              </w:rPr>
              <w:t>1,273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32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70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4"/>
        </w:trPr>
        <w:tc>
          <w:tcPr>
            <w:tcW w:w="3200" w:type="dxa"/>
            <w:vAlign w:val="bottom"/>
          </w:tcPr>
          <w:p>
            <w:pPr>
              <w:spacing w:after="0"/>
              <w:rPr>
                <w:sz w:val="20"/>
                <w:szCs w:val="20"/>
                <w:color w:val="auto"/>
              </w:rPr>
            </w:pPr>
            <w:r>
              <w:rPr>
                <w:rFonts w:ascii="Arial" w:cs="Arial" w:eastAsia="Arial" w:hAnsi="Arial"/>
                <w:sz w:val="18"/>
                <w:szCs w:val="18"/>
                <w:color w:val="auto"/>
              </w:rPr>
              <w:t>Dividends ($1.85 per share)</w:t>
            </w:r>
          </w:p>
        </w:tc>
        <w:tc>
          <w:tcPr>
            <w:tcW w:w="1700" w:type="dxa"/>
            <w:vAlign w:val="bottom"/>
          </w:tcPr>
          <w:p>
            <w:pPr>
              <w:jc w:val="right"/>
              <w:spacing w:after="0"/>
              <w:rPr>
                <w:sz w:val="20"/>
                <w:szCs w:val="20"/>
                <w:color w:val="auto"/>
              </w:rPr>
            </w:pPr>
            <w:r>
              <w:rPr>
                <w:rFonts w:ascii="Arial" w:cs="Arial" w:eastAsia="Arial" w:hAnsi="Arial"/>
                <w:sz w:val="18"/>
                <w:szCs w:val="18"/>
                <w:color w:val="auto"/>
              </w:rPr>
              <w:t>(612)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3200" w:type="dxa"/>
            <w:vAlign w:val="bottom"/>
          </w:tcPr>
          <w:p>
            <w:pPr>
              <w:spacing w:after="0"/>
              <w:rPr>
                <w:sz w:val="20"/>
                <w:szCs w:val="20"/>
                <w:color w:val="auto"/>
              </w:rPr>
            </w:pPr>
            <w:r>
              <w:rPr>
                <w:rFonts w:ascii="Arial" w:cs="Arial" w:eastAsia="Arial" w:hAnsi="Arial"/>
                <w:sz w:val="18"/>
                <w:szCs w:val="18"/>
                <w:color w:val="auto"/>
              </w:rPr>
              <w:t>Stock-based compensation plans</w:t>
            </w:r>
          </w:p>
        </w:tc>
        <w:tc>
          <w:tcPr>
            <w:tcW w:w="170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320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700" w:type="dxa"/>
            <w:vAlign w:val="bottom"/>
          </w:tcPr>
          <w:p>
            <w:pPr>
              <w:jc w:val="right"/>
              <w:spacing w:after="0"/>
              <w:rPr>
                <w:sz w:val="20"/>
                <w:szCs w:val="20"/>
                <w:color w:val="auto"/>
              </w:rPr>
            </w:pPr>
            <w:r>
              <w:rPr>
                <w:rFonts w:ascii="Arial" w:cs="Arial" w:eastAsia="Arial" w:hAnsi="Arial"/>
                <w:sz w:val="18"/>
                <w:szCs w:val="18"/>
                <w:color w:val="auto"/>
              </w:rPr>
              <w:t>(2,260)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-1862455</wp:posOffset>
            </wp:positionV>
            <wp:extent cx="6776720" cy="142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76720" cy="142240"/>
                    </a:xfrm>
                    <a:prstGeom prst="rect">
                      <a:avLst/>
                    </a:prstGeom>
                    <a:noFill/>
                  </pic:spPr>
                </pic:pic>
              </a:graphicData>
            </a:graphic>
          </wp:anchor>
        </w:drawing>
        <w:drawing>
          <wp:anchor simplePos="0" relativeHeight="251657728" behindDoc="1" locked="0" layoutInCell="0" allowOverlap="1">
            <wp:simplePos x="0" y="0"/>
            <wp:positionH relativeFrom="column">
              <wp:posOffset>-713740</wp:posOffset>
            </wp:positionH>
            <wp:positionV relativeFrom="paragraph">
              <wp:posOffset>-1577975</wp:posOffset>
            </wp:positionV>
            <wp:extent cx="6776720" cy="142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76720" cy="142240"/>
                    </a:xfrm>
                    <a:prstGeom prst="rect">
                      <a:avLst/>
                    </a:prstGeom>
                    <a:noFill/>
                  </pic:spPr>
                </pic:pic>
              </a:graphicData>
            </a:graphic>
          </wp:anchor>
        </w:drawing>
        <w:drawing>
          <wp:anchor simplePos="0" relativeHeight="251657728" behindDoc="1" locked="0" layoutInCell="0" allowOverlap="1">
            <wp:simplePos x="0" y="0"/>
            <wp:positionH relativeFrom="column">
              <wp:posOffset>-713740</wp:posOffset>
            </wp:positionH>
            <wp:positionV relativeFrom="paragraph">
              <wp:posOffset>-1294130</wp:posOffset>
            </wp:positionV>
            <wp:extent cx="6776720" cy="142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76720" cy="142240"/>
                    </a:xfrm>
                    <a:prstGeom prst="rect">
                      <a:avLst/>
                    </a:prstGeom>
                    <a:noFill/>
                  </pic:spPr>
                </pic:pic>
              </a:graphicData>
            </a:graphic>
          </wp:anchor>
        </w:drawing>
        <w:drawing>
          <wp:anchor simplePos="0" relativeHeight="251657728" behindDoc="1" locked="0" layoutInCell="0" allowOverlap="1">
            <wp:simplePos x="0" y="0"/>
            <wp:positionH relativeFrom="column">
              <wp:posOffset>-713740</wp:posOffset>
            </wp:positionH>
            <wp:positionV relativeFrom="paragraph">
              <wp:posOffset>-709295</wp:posOffset>
            </wp:positionV>
            <wp:extent cx="6776720" cy="142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76720" cy="142240"/>
                    </a:xfrm>
                    <a:prstGeom prst="rect">
                      <a:avLst/>
                    </a:prstGeom>
                    <a:noFill/>
                  </pic:spPr>
                </pic:pic>
              </a:graphicData>
            </a:graphic>
          </wp:anchor>
        </w:drawing>
        <w:drawing>
          <wp:anchor simplePos="0" relativeHeight="251657728" behindDoc="1" locked="0" layoutInCell="0" allowOverlap="1">
            <wp:simplePos x="0" y="0"/>
            <wp:positionH relativeFrom="column">
              <wp:posOffset>-713740</wp:posOffset>
            </wp:positionH>
            <wp:positionV relativeFrom="paragraph">
              <wp:posOffset>-424815</wp:posOffset>
            </wp:positionV>
            <wp:extent cx="6776720" cy="142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76720" cy="142240"/>
                    </a:xfrm>
                    <a:prstGeom prst="rect">
                      <a:avLst/>
                    </a:prstGeom>
                    <a:noFill/>
                  </pic:spPr>
                </pic:pic>
              </a:graphicData>
            </a:graphic>
          </wp:anchor>
        </w:drawing>
        <w:drawing>
          <wp:anchor simplePos="0" relativeHeight="251657728" behindDoc="1" locked="0" layoutInCell="0" allowOverlap="1">
            <wp:simplePos x="0" y="0"/>
            <wp:positionH relativeFrom="column">
              <wp:posOffset>-713740</wp:posOffset>
            </wp:positionH>
            <wp:positionV relativeFrom="paragraph">
              <wp:posOffset>-140970</wp:posOffset>
            </wp:positionV>
            <wp:extent cx="6776720" cy="142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76720" cy="142240"/>
                    </a:xfrm>
                    <a:prstGeom prst="rect">
                      <a:avLst/>
                    </a:prstGeom>
                    <a:noFill/>
                  </pic:spPr>
                </pic:pic>
              </a:graphicData>
            </a:graphic>
          </wp:anchor>
        </w:drawing>
        <w:drawing>
          <wp:anchor simplePos="0" relativeHeight="251657728" behindDoc="1" locked="0" layoutInCell="0" allowOverlap="1">
            <wp:simplePos x="0" y="0"/>
            <wp:positionH relativeFrom="column">
              <wp:posOffset>-713740</wp:posOffset>
            </wp:positionH>
            <wp:positionV relativeFrom="paragraph">
              <wp:posOffset>-1010285</wp:posOffset>
            </wp:positionV>
            <wp:extent cx="6776720" cy="1504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76720" cy="1504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140" w:space="280"/>
            <w:col w:w="9740"/>
          </w:cols>
          <w:pgMar w:left="320" w:top="127" w:right="419" w:bottom="1440" w:gutter="0" w:footer="0" w:header="0"/>
          <w:type w:val="continuous"/>
        </w:sectPr>
      </w:pPr>
    </w:p>
    <w:tbl>
      <w:tblPr>
        <w:tblLayout w:type="fixed"/>
        <w:tblInd w:w="300" w:type="dxa"/>
        <w:tblCellMar>
          <w:top w:w="0" w:type="dxa"/>
          <w:left w:w="0" w:type="dxa"/>
          <w:bottom w:w="0" w:type="dxa"/>
          <w:right w:w="0" w:type="dxa"/>
        </w:tblCellMar>
      </w:tblPr>
      <w:tr>
        <w:trPr>
          <w:trHeight w:val="217"/>
        </w:trPr>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324.0</w:t>
            </w:r>
          </w:p>
        </w:tc>
        <w:tc>
          <w:tcPr>
            <w:tcW w:w="260" w:type="dxa"/>
            <w:vAlign w:val="bottom"/>
            <w:tcBorders>
              <w:bottom w:val="single" w:sz="8" w:color="CCEEFF"/>
            </w:tcBorders>
          </w:tcPr>
          <w:p>
            <w:pPr>
              <w:spacing w:after="0"/>
              <w:rPr>
                <w:sz w:val="18"/>
                <w:szCs w:val="18"/>
                <w:color w:val="auto"/>
              </w:rPr>
            </w:pPr>
          </w:p>
        </w:tc>
        <w:tc>
          <w:tcPr>
            <w:tcW w:w="3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Balance at December 31, 2019</w:t>
            </w:r>
          </w:p>
        </w:tc>
        <w:tc>
          <w:tcPr>
            <w:tcW w:w="1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5,800</w:t>
            </w:r>
          </w:p>
        </w:tc>
        <w:tc>
          <w:tcPr>
            <w:tcW w:w="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9,644</w:t>
            </w:r>
          </w:p>
        </w:tc>
        <w:tc>
          <w:tcPr>
            <w:tcW w:w="8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(14,385)</w:t>
            </w: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r>
      <w:tr>
        <w:trPr>
          <w:trHeight w:val="217"/>
        </w:trPr>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Adoption of ASU 2016-13</w:t>
            </w: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Dividends ($0.48 per share)</w:t>
            </w: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9"/>
                <w:szCs w:val="19"/>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plans</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260" w:type="dxa"/>
            <w:vAlign w:val="bottom"/>
            <w:tcBorders>
              <w:top w:val="single" w:sz="8" w:color="CCEEFF"/>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w w:val="88"/>
              </w:rPr>
              <w:t>(1)</w:t>
            </w:r>
          </w:p>
        </w:tc>
        <w:tc>
          <w:tcPr>
            <w:tcW w:w="3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1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5,851</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(14,497)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0"/>
        </w:trPr>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480" w:hanging="317"/>
        <w:spacing w:after="0" w:line="190" w:lineRule="auto"/>
        <w:tabs>
          <w:tab w:leader="none" w:pos="468" w:val="left"/>
        </w:tabs>
        <w:numPr>
          <w:ilvl w:val="0"/>
          <w:numId w:val="20"/>
        </w:numPr>
        <w:rPr>
          <w:rFonts w:ascii="Arial" w:cs="Arial" w:eastAsia="Arial" w:hAnsi="Arial"/>
          <w:sz w:val="23"/>
          <w:szCs w:val="23"/>
          <w:color w:val="auto"/>
          <w:vertAlign w:val="superscript"/>
        </w:rPr>
      </w:pPr>
      <w:r>
        <w:rPr>
          <w:rFonts w:ascii="Arial" w:cs="Arial" w:eastAsia="Arial" w:hAnsi="Arial"/>
          <w:sz w:val="14"/>
          <w:szCs w:val="14"/>
          <w:color w:val="auto"/>
        </w:rPr>
        <w:t>Our restated certificate of incorporation authorizes 800 million shares of our common stock, with a par value of $0.01 per share and 10 million shares of preferred stock, without par value. At year-end 2020, we had 324.4 million of these authorized shares of our common stock and no preferred stock outstanding.</w:t>
      </w: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MARRIOTT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67" w:lineRule="exact"/>
        <w:rPr>
          <w:sz w:val="20"/>
          <w:szCs w:val="20"/>
          <w:color w:val="auto"/>
        </w:rPr>
      </w:pPr>
    </w:p>
    <w:p>
      <w:pPr>
        <w:ind w:right="80" w:firstLine="434"/>
        <w:spacing w:after="0" w:line="282" w:lineRule="auto"/>
        <w:rPr>
          <w:sz w:val="20"/>
          <w:szCs w:val="20"/>
          <w:color w:val="auto"/>
        </w:rPr>
      </w:pPr>
      <w:r>
        <w:rPr>
          <w:rFonts w:ascii="Arial" w:cs="Arial" w:eastAsia="Arial" w:hAnsi="Arial"/>
          <w:sz w:val="16"/>
          <w:szCs w:val="16"/>
          <w:color w:val="auto"/>
        </w:rPr>
        <w:t>The consolidated financial statements present the results of operations, financial position, and cash flows of Marriott International, Inc. and subsidiaries (referred to in this report as “we,” “us,” “Marriott,” or the “Company”). In order to make this report easier to read, we also refer throughout to (1) our Consolidated Financial Statements as our “Financial Statements,” (2) our Consolidated Statements of (Loss) Income as our “Income Statements,” (3) our Consolidated Balance Sheets as our “Balance Sheets,” (4) our Consolidated Statements of Cash Flows as our “Statements of Cash Flows,” (5) our properties, brands, or markets in the United States and Canada as “U.S. &amp; Canada,” and (6) our properties, brands, or markets in our Caribbean and Latin America region, Europe, Middle East and Africa segment, and Asia Pacific segment as “International.” In addition, references throughout to numbered “Notes” refer to these Notes to Consolidated Financial Statements, unless otherwise stated.</w:t>
      </w:r>
    </w:p>
    <w:p>
      <w:pPr>
        <w:spacing w:after="0" w:line="118" w:lineRule="exact"/>
        <w:rPr>
          <w:sz w:val="20"/>
          <w:szCs w:val="20"/>
          <w:color w:val="auto"/>
        </w:rPr>
      </w:pPr>
    </w:p>
    <w:p>
      <w:pPr>
        <w:ind w:right="200" w:firstLine="395"/>
        <w:spacing w:after="0" w:line="293" w:lineRule="auto"/>
        <w:rPr>
          <w:sz w:val="20"/>
          <w:szCs w:val="20"/>
          <w:color w:val="auto"/>
        </w:rPr>
      </w:pPr>
      <w:r>
        <w:rPr>
          <w:rFonts w:ascii="Arial" w:cs="Arial" w:eastAsia="Arial" w:hAnsi="Arial"/>
          <w:sz w:val="16"/>
          <w:szCs w:val="16"/>
          <w:color w:val="auto"/>
        </w:rPr>
        <w:t>Preparation of financial statements that conform with U.S. generally accepted accounting principles (“GAAP”) requires management to make estimates and assumptions that affect the reported amounts of assets and liabilities as of the date of the financial statements, the reported amounts of revenues and expenses during the reporting periods, and the disclosures of contingent liabilities. The uncertainty created by the coronavirus and efforts to contain it (“</w:t>
      </w:r>
      <w:r>
        <w:rPr>
          <w:rFonts w:ascii="Arial" w:cs="Arial" w:eastAsia="Arial" w:hAnsi="Arial"/>
          <w:sz w:val="17"/>
          <w:szCs w:val="17"/>
          <w:color w:val="auto"/>
        </w:rPr>
        <w:t>COVID-19</w:t>
      </w:r>
      <w:r>
        <w:rPr>
          <w:rFonts w:ascii="Arial" w:cs="Arial" w:eastAsia="Arial" w:hAnsi="Arial"/>
          <w:sz w:val="16"/>
          <w:szCs w:val="16"/>
          <w:color w:val="auto"/>
        </w:rPr>
        <w:t>”) has made such estimates more difficult and subjective. Accordingly, ultimate results could differ from those estimates.</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accompanying Financial Statements reflect all normal and recurring adjustments necessary to present fairly our financial position at fiscal year-end</w:t>
      </w:r>
    </w:p>
    <w:p>
      <w:pPr>
        <w:spacing w:after="0" w:line="38" w:lineRule="exact"/>
        <w:rPr>
          <w:sz w:val="20"/>
          <w:szCs w:val="20"/>
          <w:color w:val="auto"/>
        </w:rPr>
      </w:pPr>
    </w:p>
    <w:p>
      <w:pPr>
        <w:ind w:right="760"/>
        <w:spacing w:after="0" w:line="248" w:lineRule="auto"/>
        <w:rPr>
          <w:sz w:val="20"/>
          <w:szCs w:val="20"/>
          <w:color w:val="auto"/>
        </w:rPr>
      </w:pPr>
      <w:r>
        <w:rPr>
          <w:rFonts w:ascii="Arial" w:cs="Arial" w:eastAsia="Arial" w:hAnsi="Arial"/>
          <w:sz w:val="18"/>
          <w:szCs w:val="18"/>
          <w:color w:val="auto"/>
        </w:rPr>
        <w:t>2020 and fiscal year-end 2019 and the results of our operations and cash flows for fiscal years 2020, 2019, and 2018. We have eliminated all material intercompany transactions and balances between entities consolidated in these Financial Statements.</w:t>
      </w:r>
    </w:p>
    <w:p>
      <w:pPr>
        <w:spacing w:after="0" w:line="139" w:lineRule="exact"/>
        <w:rPr>
          <w:sz w:val="20"/>
          <w:szCs w:val="20"/>
          <w:color w:val="auto"/>
        </w:rPr>
      </w:pPr>
    </w:p>
    <w:p>
      <w:pPr>
        <w:ind w:right="660" w:firstLine="434"/>
        <w:spacing w:after="0" w:line="261" w:lineRule="auto"/>
        <w:rPr>
          <w:sz w:val="20"/>
          <w:szCs w:val="20"/>
          <w:color w:val="auto"/>
        </w:rPr>
      </w:pPr>
      <w:r>
        <w:rPr>
          <w:rFonts w:ascii="Arial" w:cs="Arial" w:eastAsia="Arial" w:hAnsi="Arial"/>
          <w:sz w:val="18"/>
          <w:szCs w:val="18"/>
          <w:color w:val="auto"/>
        </w:rPr>
        <w:t>The accompanying Financial Statements also reflect our adoption of Accounting Standards Update (“ASU”) 2016-13. See the “New Accounting Standards Adopted” caption in Note 2 for additional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61" w:lineRule="exact"/>
        <w:rPr>
          <w:sz w:val="20"/>
          <w:szCs w:val="20"/>
          <w:color w:val="auto"/>
        </w:rPr>
      </w:pPr>
    </w:p>
    <w:p>
      <w:pPr>
        <w:ind w:firstLine="434"/>
        <w:spacing w:after="0" w:line="282" w:lineRule="auto"/>
        <w:rPr>
          <w:sz w:val="20"/>
          <w:szCs w:val="20"/>
          <w:color w:val="auto"/>
        </w:rPr>
      </w:pPr>
      <w:r>
        <w:rPr>
          <w:rFonts w:ascii="Arial" w:cs="Arial" w:eastAsia="Arial" w:hAnsi="Arial"/>
          <w:sz w:val="16"/>
          <w:szCs w:val="16"/>
          <w:u w:val="single" w:color="auto"/>
          <w:color w:val="auto"/>
        </w:rPr>
        <w:t>Base Management and Incentive Management Fees</w:t>
      </w:r>
      <w:r>
        <w:rPr>
          <w:rFonts w:ascii="Arial" w:cs="Arial" w:eastAsia="Arial" w:hAnsi="Arial"/>
          <w:sz w:val="16"/>
          <w:szCs w:val="16"/>
          <w:color w:val="auto"/>
        </w:rPr>
        <w:t>: For our managed hotels, we have performance obligations to provide hotel management services and a license to our intellectual property for the use of our brand names. As compensation for such services, we are generally entitled to receive base fees, which are a percentage of the revenues of hotels, and incentives fees, which are generally based on a measure of hotel profitability. Both the base and incentive management fees are variable consideration, as the transaction price is based on a percentage of revenue or profit, as defined in each contract. We recognize base management fees on a monthly basis over the term of the agreement as those amounts become payable. We recognize incentive management fees on a monthly basis over the term of the agreement based on each property’s financial results, as long as we do not expect a significant reversal due to projected future hotel performance or cash flows in future periods.</w:t>
      </w:r>
    </w:p>
    <w:p>
      <w:pPr>
        <w:spacing w:after="0" w:line="118" w:lineRule="exact"/>
        <w:rPr>
          <w:sz w:val="20"/>
          <w:szCs w:val="20"/>
          <w:color w:val="auto"/>
        </w:rPr>
      </w:pPr>
    </w:p>
    <w:p>
      <w:pPr>
        <w:ind w:right="220" w:firstLine="434"/>
        <w:spacing w:after="0" w:line="284" w:lineRule="auto"/>
        <w:rPr>
          <w:sz w:val="20"/>
          <w:szCs w:val="20"/>
          <w:color w:val="auto"/>
        </w:rPr>
      </w:pPr>
      <w:r>
        <w:rPr>
          <w:rFonts w:ascii="Arial" w:cs="Arial" w:eastAsia="Arial" w:hAnsi="Arial"/>
          <w:sz w:val="16"/>
          <w:szCs w:val="16"/>
          <w:u w:val="single" w:color="auto"/>
          <w:color w:val="auto"/>
        </w:rPr>
        <w:t>Franchise Fee and Royalty Fee Revenue</w:t>
      </w:r>
      <w:r>
        <w:rPr>
          <w:rFonts w:ascii="Arial" w:cs="Arial" w:eastAsia="Arial" w:hAnsi="Arial"/>
          <w:sz w:val="16"/>
          <w:szCs w:val="16"/>
          <w:color w:val="auto"/>
        </w:rPr>
        <w:t>: For our franchised hotels, we have a performance obligation to provide franchisees and operators a license to our intellectual property for use of certain of our brand names. As compensation for such services, we are typically entitled to initial application fees and ongoing royalty fees. Our ongoing royalty fees represent variable consideration, as the transaction price is based on a percentage of certain revenues of the hotels, as defined in each contract. We recognize royalty fees on a monthly basis over the term of the agreement as those amounts become payable. Initial application and relicensing fees are fixed consideration payable upon submission of a franchise application or renewal and are recognized on a straight-line basis over the initial or renewal term of the franchise agreements.</w:t>
      </w:r>
    </w:p>
    <w:p>
      <w:pPr>
        <w:spacing w:after="0" w:line="115" w:lineRule="exact"/>
        <w:rPr>
          <w:sz w:val="20"/>
          <w:szCs w:val="20"/>
          <w:color w:val="auto"/>
        </w:rPr>
      </w:pPr>
    </w:p>
    <w:p>
      <w:pPr>
        <w:ind w:right="140" w:firstLine="434"/>
        <w:spacing w:after="0" w:line="248" w:lineRule="auto"/>
        <w:rPr>
          <w:sz w:val="20"/>
          <w:szCs w:val="20"/>
          <w:color w:val="auto"/>
        </w:rPr>
      </w:pPr>
      <w:r>
        <w:rPr>
          <w:rFonts w:ascii="Arial" w:cs="Arial" w:eastAsia="Arial" w:hAnsi="Arial"/>
          <w:sz w:val="18"/>
          <w:szCs w:val="18"/>
          <w:u w:val="single" w:color="auto"/>
          <w:color w:val="auto"/>
        </w:rPr>
        <w:t>Owned and Leased Hotel Revenue</w:t>
      </w:r>
      <w:r>
        <w:rPr>
          <w:rFonts w:ascii="Arial" w:cs="Arial" w:eastAsia="Arial" w:hAnsi="Arial"/>
          <w:sz w:val="18"/>
          <w:szCs w:val="18"/>
          <w:color w:val="auto"/>
        </w:rPr>
        <w:t>: At our owned and leased hotels, we have performance obligations to provide accommodations and other ancillary services to hotel guests. As compensation for such goods and services, we are typically entitled to a fixed nightly fee for an agreed upon period and additional fixed fees for any ancillary services purchased. These fees are generally payable at the time the hotel guest checks out of the hotel. We generally satisfy the performance obligations over time, and we recognize the revenue from room sales and from other ancillary guest services on a daily basis, as the rooms are occupied and we have rendered the services.</w:t>
      </w:r>
    </w:p>
    <w:p>
      <w:pPr>
        <w:spacing w:after="0" w:line="141" w:lineRule="exact"/>
        <w:rPr>
          <w:sz w:val="20"/>
          <w:szCs w:val="20"/>
          <w:color w:val="auto"/>
        </w:rPr>
      </w:pPr>
    </w:p>
    <w:p>
      <w:pPr>
        <w:jc w:val="both"/>
        <w:ind w:right="380" w:firstLine="434"/>
        <w:spacing w:after="0" w:line="252" w:lineRule="auto"/>
        <w:rPr>
          <w:sz w:val="20"/>
          <w:szCs w:val="20"/>
          <w:color w:val="auto"/>
        </w:rPr>
      </w:pPr>
      <w:r>
        <w:rPr>
          <w:rFonts w:ascii="Arial" w:cs="Arial" w:eastAsia="Arial" w:hAnsi="Arial"/>
          <w:sz w:val="18"/>
          <w:szCs w:val="18"/>
          <w:u w:val="single" w:color="auto"/>
          <w:color w:val="auto"/>
        </w:rPr>
        <w:t>Cost Reimbursements</w:t>
      </w:r>
      <w:r>
        <w:rPr>
          <w:rFonts w:ascii="Arial" w:cs="Arial" w:eastAsia="Arial" w:hAnsi="Arial"/>
          <w:sz w:val="18"/>
          <w:szCs w:val="18"/>
          <w:color w:val="auto"/>
        </w:rPr>
        <w:t>: Under our management and franchise agreements, we are entitled to be reimbursed for certain costs we incur on behalf of the managed, franchised, and licensed properties, with no added mark-up. These costs primarily consist of payroll and related expenses at managed properties where we are the employer of the employees at the properties and</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0"/>
        <w:spacing w:after="0" w:line="324" w:lineRule="auto"/>
        <w:rPr>
          <w:sz w:val="20"/>
          <w:szCs w:val="20"/>
          <w:color w:val="auto"/>
        </w:rPr>
      </w:pPr>
      <w:r>
        <w:rPr>
          <w:rFonts w:ascii="Arial" w:cs="Arial" w:eastAsia="Arial" w:hAnsi="Arial"/>
          <w:sz w:val="16"/>
          <w:szCs w:val="16"/>
          <w:color w:val="auto"/>
        </w:rPr>
        <w:t>include certain operational and administrative costs as provided for in our contracts with the owners. We are entitled to reimbursement in the period we incur the related reimbursable costs, which we recognize within the “Cost reimbursement revenue” caption of our Income Statements.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Under our management and franchise agreements, hotel owners and franchisees participate in certain centralized programs and services, such as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marketing, sales, reservations, and insurance programs. We operate these programs and services for the benefit of our hotel owners. We do not operate these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programs and services to generate a profit over the long term, and accordingly, when we recover the costs that we incur for these programs and services from</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our hotel owners, we do not seek a mark-up. The amounts we charge for these programs and services are generally a combination of fixed fees and variable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fees based on sales or other metrics and are payable on a monthly basis. We generally recognize revenue within the “Cost reimbursement revenue” caption of</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our Income Statements when the amounts may be billed to hotel owners, and we recognize expenses within the “Reimbursed expenses” caption as they are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incurred. This pattern of recognition results in timing differences between the costs incurred for centralized programs and services and the related</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reimbursement from hotel owners in our operating and net income. Over the long term, these programs and services are not designed to impact our economics,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either positively or negatively. In addition, we present in the “Reimbursed expenses” caption of our Income Statements spending funded by the proceeds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($664 million, $425 million after-tax) from the 2017 sale of our interest in Avendra LLC, which we committed would be used for the benefit of hotels in our</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system. Such spending totaled $62 million ($46 million after-tax) in 2020, $118 million ($87 million after-tax) in 2019, and $115 million ($85 million after-tax)</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2018.</w:t>
      </w:r>
    </w:p>
    <w:p>
      <w:pPr>
        <w:spacing w:after="0" w:line="150" w:lineRule="exact"/>
        <w:rPr>
          <w:sz w:val="20"/>
          <w:szCs w:val="20"/>
          <w:color w:val="auto"/>
        </w:rPr>
      </w:pPr>
    </w:p>
    <w:p>
      <w:pPr>
        <w:ind w:right="40" w:firstLine="434"/>
        <w:spacing w:after="0" w:line="324" w:lineRule="auto"/>
        <w:rPr>
          <w:sz w:val="20"/>
          <w:szCs w:val="20"/>
          <w:color w:val="auto"/>
        </w:rPr>
      </w:pPr>
      <w:r>
        <w:rPr>
          <w:rFonts w:ascii="Arial" w:cs="Arial" w:eastAsia="Arial" w:hAnsi="Arial"/>
          <w:sz w:val="16"/>
          <w:szCs w:val="16"/>
          <w:u w:val="single" w:color="auto"/>
          <w:color w:val="auto"/>
        </w:rPr>
        <w:t>Other Revenue</w:t>
      </w:r>
      <w:r>
        <w:rPr>
          <w:rFonts w:ascii="Arial" w:cs="Arial" w:eastAsia="Arial" w:hAnsi="Arial"/>
          <w:sz w:val="16"/>
          <w:szCs w:val="16"/>
          <w:color w:val="auto"/>
        </w:rPr>
        <w:t>: Includes Global Design fees, which we describe below, termination fees, and other property and brand revenues. We generally recognize termination fees when collection is probable and other revenue as services are rendered. Amounts received in advance are deferred as liabilities.</w:t>
      </w:r>
    </w:p>
    <w:p>
      <w:pPr>
        <w:spacing w:after="0" w:line="82" w:lineRule="exact"/>
        <w:rPr>
          <w:sz w:val="20"/>
          <w:szCs w:val="20"/>
          <w:color w:val="auto"/>
        </w:rPr>
      </w:pPr>
    </w:p>
    <w:p>
      <w:pPr>
        <w:ind w:right="80" w:firstLine="434"/>
        <w:spacing w:after="0" w:line="248" w:lineRule="auto"/>
        <w:rPr>
          <w:sz w:val="20"/>
          <w:szCs w:val="20"/>
          <w:color w:val="auto"/>
        </w:rPr>
      </w:pPr>
      <w:r>
        <w:rPr>
          <w:rFonts w:ascii="Arial" w:cs="Arial" w:eastAsia="Arial" w:hAnsi="Arial"/>
          <w:sz w:val="18"/>
          <w:szCs w:val="18"/>
          <w:color w:val="auto"/>
        </w:rPr>
        <w:t>We provide hotel design and construction review quality assurance (“Global Design”) services to our managed and franchised hotel owners, generally during the period prior to a hotel’s opening or during the period a hotel is converting to a Marriott brand (the “pre-opening period”). As compensation for such services, we may be entitled to receive a one-time fixed fee that is payable during the pre-opening period of the hotel. As these services are not a distinct performance obligation, we recognize the fees on a straight-line basis over the initial term of the management or franchise agreement within the “Owned, leased, and other revenue” caption of our Income Statements.</w:t>
      </w:r>
    </w:p>
    <w:p>
      <w:pPr>
        <w:spacing w:after="0" w:line="141" w:lineRule="exact"/>
        <w:rPr>
          <w:sz w:val="20"/>
          <w:szCs w:val="20"/>
          <w:color w:val="auto"/>
        </w:rPr>
      </w:pPr>
    </w:p>
    <w:p>
      <w:pPr>
        <w:ind w:right="520" w:firstLine="434"/>
        <w:spacing w:after="0" w:line="261" w:lineRule="auto"/>
        <w:rPr>
          <w:sz w:val="20"/>
          <w:szCs w:val="20"/>
          <w:color w:val="auto"/>
        </w:rPr>
      </w:pPr>
      <w:r>
        <w:rPr>
          <w:rFonts w:ascii="Arial" w:cs="Arial" w:eastAsia="Arial" w:hAnsi="Arial"/>
          <w:sz w:val="18"/>
          <w:szCs w:val="18"/>
          <w:u w:val="single" w:color="auto"/>
          <w:color w:val="auto"/>
        </w:rPr>
        <w:t>Practical Expedients and Exemptions</w:t>
      </w:r>
      <w:r>
        <w:rPr>
          <w:rFonts w:ascii="Arial" w:cs="Arial" w:eastAsia="Arial" w:hAnsi="Arial"/>
          <w:sz w:val="18"/>
          <w:szCs w:val="18"/>
          <w:color w:val="auto"/>
        </w:rPr>
        <w:t>: We do not disclose the amount of variable consideration that we expect to recognize in future periods in the following circumstances:</w:t>
      </w:r>
    </w:p>
    <w:p>
      <w:pPr>
        <w:spacing w:after="0" w:line="129" w:lineRule="exact"/>
        <w:rPr>
          <w:sz w:val="20"/>
          <w:szCs w:val="20"/>
          <w:color w:val="auto"/>
        </w:rPr>
      </w:pPr>
    </w:p>
    <w:p>
      <w:pPr>
        <w:ind w:left="640" w:hanging="24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recognize the revenue based on the amount invoiced or services performed;</w:t>
      </w:r>
    </w:p>
    <w:p>
      <w:pPr>
        <w:spacing w:after="0" w:line="161" w:lineRule="exact"/>
        <w:rPr>
          <w:rFonts w:ascii="Arial" w:cs="Arial" w:eastAsia="Arial" w:hAnsi="Arial"/>
          <w:sz w:val="18"/>
          <w:szCs w:val="18"/>
          <w:color w:val="auto"/>
        </w:rPr>
      </w:pPr>
    </w:p>
    <w:p>
      <w:pPr>
        <w:ind w:left="640" w:hanging="24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sales-based or usage-based royalty promised in exchange for a license of intellectual property; or</w:t>
      </w:r>
    </w:p>
    <w:p>
      <w:pPr>
        <w:spacing w:after="0" w:line="161" w:lineRule="exact"/>
        <w:rPr>
          <w:rFonts w:ascii="Arial" w:cs="Arial" w:eastAsia="Arial" w:hAnsi="Arial"/>
          <w:sz w:val="18"/>
          <w:szCs w:val="18"/>
          <w:color w:val="auto"/>
        </w:rPr>
      </w:pPr>
    </w:p>
    <w:p>
      <w:pPr>
        <w:ind w:left="640" w:hanging="240"/>
        <w:spacing w:after="0" w:line="324" w:lineRule="auto"/>
        <w:tabs>
          <w:tab w:leader="none" w:pos="652"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the consideration is allocated entirely to a wholly unsatisfied promise to transfer a distinct service that forms part of a single performance obligation, and the terms of the consideration relate specifically to our efforts to transfer, or to a specific outcome from transferring the service.</w:t>
      </w:r>
    </w:p>
    <w:p>
      <w:pPr>
        <w:spacing w:after="0" w:line="82" w:lineRule="exact"/>
        <w:rPr>
          <w:sz w:val="20"/>
          <w:szCs w:val="20"/>
          <w:color w:val="auto"/>
        </w:rPr>
      </w:pPr>
    </w:p>
    <w:p>
      <w:pPr>
        <w:ind w:right="420" w:firstLine="434"/>
        <w:spacing w:after="0" w:line="261" w:lineRule="auto"/>
        <w:rPr>
          <w:sz w:val="20"/>
          <w:szCs w:val="20"/>
          <w:color w:val="auto"/>
        </w:rPr>
      </w:pPr>
      <w:r>
        <w:rPr>
          <w:rFonts w:ascii="Arial" w:cs="Arial" w:eastAsia="Arial" w:hAnsi="Arial"/>
          <w:sz w:val="18"/>
          <w:szCs w:val="18"/>
          <w:color w:val="auto"/>
        </w:rPr>
        <w:t>We are required to collect certain taxes and fees from customers on behalf of governmental agencies and remit these to the applicable governmental agencies on a periodic basis. We do not include these taxes in determining the transaction price.</w:t>
      </w:r>
    </w:p>
    <w:p>
      <w:pPr>
        <w:spacing w:after="0" w:line="129" w:lineRule="exact"/>
        <w:rPr>
          <w:sz w:val="20"/>
          <w:szCs w:val="20"/>
          <w:color w:val="auto"/>
        </w:rPr>
      </w:pPr>
    </w:p>
    <w:p>
      <w:pPr>
        <w:ind w:right="80" w:firstLine="395"/>
        <w:spacing w:after="0" w:line="291" w:lineRule="auto"/>
        <w:rPr>
          <w:sz w:val="20"/>
          <w:szCs w:val="20"/>
          <w:color w:val="auto"/>
        </w:rPr>
      </w:pPr>
      <w:r>
        <w:rPr>
          <w:rFonts w:ascii="Arial" w:cs="Arial" w:eastAsia="Arial" w:hAnsi="Arial"/>
          <w:sz w:val="16"/>
          <w:szCs w:val="16"/>
          <w:u w:val="single" w:color="auto"/>
          <w:color w:val="auto"/>
        </w:rPr>
        <w:t>Loyalty Program</w:t>
      </w:r>
      <w:r>
        <w:rPr>
          <w:rFonts w:ascii="Arial" w:cs="Arial" w:eastAsia="Arial" w:hAnsi="Arial"/>
          <w:sz w:val="16"/>
          <w:szCs w:val="16"/>
          <w:color w:val="auto"/>
        </w:rPr>
        <w:t>: Loyalty Program members earn points based on the money they spend at our hotels; purchases of timeshare interval, fractional ownership, and residential products; and through participation in travel experiences and affiliated partners’ programs, such as those offered by credit card, car rental, airline, and other companies. Members can redeem points, which we track on their behalf, for stays at most of our hotels, airline tickets, airline frequent flyer program miles, rental cars, and a variety of other awards. Points cannot be redeemed for cash.</w:t>
      </w:r>
    </w:p>
    <w:p>
      <w:pPr>
        <w:spacing w:after="0" w:line="108" w:lineRule="exact"/>
        <w:rPr>
          <w:sz w:val="20"/>
          <w:szCs w:val="20"/>
          <w:color w:val="auto"/>
        </w:rPr>
      </w:pPr>
    </w:p>
    <w:p>
      <w:pPr>
        <w:ind w:firstLine="395"/>
        <w:spacing w:after="0" w:line="280" w:lineRule="auto"/>
        <w:rPr>
          <w:sz w:val="20"/>
          <w:szCs w:val="20"/>
          <w:color w:val="auto"/>
        </w:rPr>
      </w:pPr>
      <w:r>
        <w:rPr>
          <w:rFonts w:ascii="Arial" w:cs="Arial" w:eastAsia="Arial" w:hAnsi="Arial"/>
          <w:sz w:val="16"/>
          <w:szCs w:val="16"/>
          <w:color w:val="auto"/>
        </w:rPr>
        <w:t>Under our Loyalty Program, we have a performance obligation to provide or arrange for the provision of goods or services for free or at a discount to Loyalty Program members in exchange for the redemption of points earned from past activities. We operate our Loyalty Program as a cross-brand marketing program to participating properties. Our management and franchise agreements require that properties reimburse us for a portion of the costs of operating the Loyalty Program, including costs for marketing, promotion, communication with, and performing member services for Loyalty Program members, with no added mark-up. We generally receive cash contributions on a monthly basis from managed, franchised, owned, and leased hotels based on a portion of qualified spend by Loyalty Program members (when the points are issued). We recognize these contributions into revenue as we provide the related service (when the points are redeemed). The amount of revenue we recognize upon point redemption is based on a blend of historical funding rates and is impacted by our estimate of the “breakage” for points that members will never redeem. We estimate breakage based on our historical experience and expectations of future member behavior. We recognize revenue net of the redemption cost within our “Cost reimbursement</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revenue” caption on our Income Statements, as our performance obligation is to facilitate the transaction between the Loyalty Program member and the managed or franchised property or program partner. Our redemption cost, which is generally based on redemption rates that can increase in periods in which occupancy at the property exceeds a certain threshold, could be higher or lower than our revenue recognized in any given period. We recognize all other Loyalty Program costs as incurred in our “Reimbursed expenses” caption.</w:t>
      </w:r>
    </w:p>
    <w:p>
      <w:pPr>
        <w:spacing w:after="0" w:line="138" w:lineRule="exact"/>
        <w:rPr>
          <w:sz w:val="20"/>
          <w:szCs w:val="20"/>
          <w:color w:val="auto"/>
        </w:rPr>
      </w:pPr>
    </w:p>
    <w:p>
      <w:pPr>
        <w:ind w:firstLine="395"/>
        <w:spacing w:after="0" w:line="278" w:lineRule="auto"/>
        <w:rPr>
          <w:sz w:val="20"/>
          <w:szCs w:val="20"/>
          <w:color w:val="auto"/>
        </w:rPr>
      </w:pPr>
      <w:r>
        <w:rPr>
          <w:rFonts w:ascii="Arial" w:cs="Arial" w:eastAsia="Arial" w:hAnsi="Arial"/>
          <w:sz w:val="16"/>
          <w:szCs w:val="16"/>
          <w:color w:val="auto"/>
        </w:rPr>
        <w:t>We have multi-year agreements for our co-brand credit cards associated with our Loyalty Program. Under these agreements, we have performance obligations to provide a license to the intellectual property associated with our brands and marketing lists (“Licensed IP”) to the financial institutions that issue the credit cards, to arrange for the redemption of Loyalty Program points as discussed in the preceding paragraph, and to arrange for the redemption of free night certificates provided to cardholders. We receive fees from these agreements, including fixed amounts that are primarily payable at contract inception, and variable amounts that are paid to us monthly over the term of the agreements, based on: (1) the number of free night certificates issued and redeemed; (2) the number of Loyalty Program points purchased; and (3) the volume of cardholder spend. We allocate those fees among the performance obligations, including the Licensed IP, our Loyalty Program points, and free night certificates provided to cardholders based on their estimated standalone selling prices. The estimation of the standalone selling prices requires significant judgments based upon generally accepted valuation methodologies regarding the value of our Licensed IP, the amount of funding we will receive, and the number of Loyalty Program points and free night certificates we will issue over the term of the agreements. We base our estimates of these amounts on our historical experience and expectation of future cardholder behavior. We recognize the portion of the Licensed IP revenue that meets the sales-based royalty criteria as the credit cards are used and the remaining portion of the Licensed IP revenue on a straight-line basis over the contract term. In our Income Statements, we primarily recognize Licensed IP revenue in the “Franchise fees” caption, and we recognize a portion in the “Cost reimbursement revenue” caption. We recognize the revenue related to the Loyalty Program points as discussed in the preceding paragraph. We recognize the revenue related to the free night certificates when the related service is provided. We recognize revenue net of the redemption cost, as our performance obligation is to facilitate the transaction between the Loyalty Program member and the managed or franchised property.</w:t>
      </w:r>
    </w:p>
    <w:p>
      <w:pPr>
        <w:spacing w:after="0" w:line="119" w:lineRule="exact"/>
        <w:rPr>
          <w:sz w:val="20"/>
          <w:szCs w:val="20"/>
          <w:color w:val="auto"/>
        </w:rPr>
      </w:pPr>
    </w:p>
    <w:p>
      <w:pPr>
        <w:ind w:right="20" w:firstLine="395"/>
        <w:spacing w:after="0" w:line="291" w:lineRule="auto"/>
        <w:rPr>
          <w:sz w:val="20"/>
          <w:szCs w:val="20"/>
          <w:color w:val="auto"/>
        </w:rPr>
      </w:pPr>
      <w:r>
        <w:rPr>
          <w:rFonts w:ascii="Arial" w:cs="Arial" w:eastAsia="Arial" w:hAnsi="Arial"/>
          <w:sz w:val="16"/>
          <w:szCs w:val="16"/>
          <w:u w:val="single" w:color="auto"/>
          <w:color w:val="auto"/>
        </w:rPr>
        <w:t>Contract Balances</w:t>
      </w:r>
      <w:r>
        <w:rPr>
          <w:rFonts w:ascii="Arial" w:cs="Arial" w:eastAsia="Arial" w:hAnsi="Arial"/>
          <w:sz w:val="16"/>
          <w:szCs w:val="16"/>
          <w:color w:val="auto"/>
        </w:rPr>
        <w:t>: We generally receive payments from customers as we satisfy our performance obligations. We record a receivable when we have an unconditional right to receive payment and only the passage of time is required before payment is due. We record deferred revenue when we receive payment, or have the unconditional right to receive payment, in advance of the satisfaction of our performance obligations related to franchise application and relicensing fees, Global Design fees, credit card branding license fees, and our Loyalty Program.</w:t>
      </w:r>
    </w:p>
    <w:p>
      <w:pPr>
        <w:spacing w:after="0" w:line="108" w:lineRule="exact"/>
        <w:rPr>
          <w:sz w:val="20"/>
          <w:szCs w:val="20"/>
          <w:color w:val="auto"/>
        </w:rPr>
      </w:pPr>
    </w:p>
    <w:p>
      <w:pPr>
        <w:ind w:right="40" w:firstLine="395"/>
        <w:spacing w:after="0" w:line="287" w:lineRule="auto"/>
        <w:rPr>
          <w:sz w:val="20"/>
          <w:szCs w:val="20"/>
          <w:color w:val="auto"/>
        </w:rPr>
      </w:pPr>
      <w:r>
        <w:rPr>
          <w:rFonts w:ascii="Arial" w:cs="Arial" w:eastAsia="Arial" w:hAnsi="Arial"/>
          <w:sz w:val="16"/>
          <w:szCs w:val="16"/>
          <w:color w:val="auto"/>
        </w:rPr>
        <w:t>Current and noncurrent deferred revenue increased by $907 million, to $1,867 million at December 31, 2020 from $960 million at December 31, 2019, primarily as a result of amendments to the existing agreements for our U.S.-issued co-brand credit cards associated with our Loyalty Program, which we signed in May 2020. These amendments provided the Company with $920 million of cash from the prepayment of certain future revenues, the early payment of a previously committed signing bonus, and the pre-purchase of Marriott Bonvoy points and other consideration. We recorded the amount of cash received primarily in the deferred revenue caption, and the remainder in the liability for guest loyalty program captions, on our Balance Sheet.</w:t>
      </w:r>
    </w:p>
    <w:p>
      <w:pPr>
        <w:spacing w:after="0" w:line="111" w:lineRule="exact"/>
        <w:rPr>
          <w:sz w:val="20"/>
          <w:szCs w:val="20"/>
          <w:color w:val="auto"/>
        </w:rPr>
      </w:pPr>
    </w:p>
    <w:p>
      <w:pPr>
        <w:ind w:right="20" w:firstLine="395"/>
        <w:spacing w:after="0" w:line="247" w:lineRule="auto"/>
        <w:rPr>
          <w:sz w:val="20"/>
          <w:szCs w:val="20"/>
          <w:color w:val="auto"/>
        </w:rPr>
      </w:pPr>
      <w:r>
        <w:rPr>
          <w:rFonts w:ascii="Arial" w:cs="Arial" w:eastAsia="Arial" w:hAnsi="Arial"/>
          <w:sz w:val="18"/>
          <w:szCs w:val="18"/>
          <w:color w:val="auto"/>
        </w:rPr>
        <w:t>Our current and noncurrent Loyalty Program liability increased by $553 million, to $6,271 million at December 31, 2020, from $5,718 million at December 31, 2019, primarily reflecting an increase in points earned by members, partially offset by $1,118 million of revenue recognized in 2020, that was deferred as of December 31, 2019. The current portion of our Loyalty Program liability decreased compared to December 31, 2019, due to lower estimated redemptions in the short-term as a result of COVID-19. At each reporting period, we evaluate the estimates used in the recognition of Loyalty Program revenues, including estimates of the breakage of points that members will never redeem and the amount of funding we expect to receive over the life of the agreements with various third parties. In 2020, the updated estimates resulted in a net decrease in deferred revenue, and a corresponding net increase in revenue of approximately $47 million.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Incurred to Obtain and Fulfill Contracts with Customers</w:t>
      </w:r>
    </w:p>
    <w:p>
      <w:pPr>
        <w:spacing w:after="0" w:line="161" w:lineRule="exact"/>
        <w:rPr>
          <w:sz w:val="20"/>
          <w:szCs w:val="20"/>
          <w:color w:val="auto"/>
        </w:rPr>
      </w:pPr>
    </w:p>
    <w:p>
      <w:pPr>
        <w:ind w:right="40" w:firstLine="395"/>
        <w:spacing w:after="0" w:line="280" w:lineRule="auto"/>
        <w:rPr>
          <w:sz w:val="20"/>
          <w:szCs w:val="20"/>
          <w:color w:val="auto"/>
        </w:rPr>
      </w:pPr>
      <w:r>
        <w:rPr>
          <w:rFonts w:ascii="Arial" w:cs="Arial" w:eastAsia="Arial" w:hAnsi="Arial"/>
          <w:sz w:val="16"/>
          <w:szCs w:val="16"/>
          <w:color w:val="auto"/>
        </w:rPr>
        <w:t>We incur certain costs to obtain and fulfill contracts with customers, which we capitalize and amortize on a straight-line basis over the initial, non-cancellable term of the contract. We classify incremental costs of obtaining a contract with a customer in the “Contract acquisition costs and other” caption of our Balance Sheets, the related amortization in the “Contract investment amortization” caption of our Income Statements, and the cash flow impact in the “Contract acquisition costs” caption of our Statements of Cash Flows. We assess the assets for impairment when events or changes in circumstances indicate that we may not be able to recover the carrying value. We recognize an impairment loss for the amount by which the carrying value exceeds the expected net future cash flows. We classify certain direct costs to fulfill a contract with a customer in the “Other noncurrent assets” and “Prepaid expenses and other” captions of our Balance Sheets, and the related amortization in the “Owned, leased, and other - direct expenses” caption of our Income Statements. We had capitalized costs to fulfill contracts with customers of $366 million at December 31, 2020 and $351 million at December 31, 2019. See Note 11 for information on capitalized costs incurred to obtain contracts with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Sales</w:t>
      </w:r>
    </w:p>
    <w:p>
      <w:pPr>
        <w:spacing w:after="0" w:line="161" w:lineRule="exact"/>
        <w:rPr>
          <w:sz w:val="20"/>
          <w:szCs w:val="20"/>
          <w:color w:val="auto"/>
        </w:rPr>
      </w:pPr>
    </w:p>
    <w:p>
      <w:pPr>
        <w:ind w:firstLine="434"/>
        <w:spacing w:after="0" w:line="252" w:lineRule="auto"/>
        <w:rPr>
          <w:sz w:val="20"/>
          <w:szCs w:val="20"/>
          <w:color w:val="auto"/>
        </w:rPr>
      </w:pPr>
      <w:r>
        <w:rPr>
          <w:rFonts w:ascii="Arial" w:cs="Arial" w:eastAsia="Arial" w:hAnsi="Arial"/>
          <w:sz w:val="18"/>
          <w:szCs w:val="18"/>
          <w:color w:val="auto"/>
        </w:rPr>
        <w:t>We recognize a gain or loss on real estate transactions when control of the asset transfers to the buyer, generally at the time the sale closes. In sales transactions where we retain a management contract, the terms and conditions of the management contract are generally comparable to the terms and conditions of the management contracts obtained directly with third-party owners in competitive processes.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Savings Plan</w:t>
      </w:r>
    </w:p>
    <w:p>
      <w:pPr>
        <w:spacing w:after="0" w:line="161" w:lineRule="exact"/>
        <w:rPr>
          <w:sz w:val="20"/>
          <w:szCs w:val="20"/>
          <w:color w:val="auto"/>
        </w:rPr>
      </w:pPr>
    </w:p>
    <w:p>
      <w:pPr>
        <w:ind w:right="20" w:firstLine="395"/>
        <w:spacing w:after="0" w:line="250" w:lineRule="auto"/>
        <w:rPr>
          <w:sz w:val="20"/>
          <w:szCs w:val="20"/>
          <w:color w:val="auto"/>
        </w:rPr>
      </w:pPr>
      <w:r>
        <w:rPr>
          <w:rFonts w:ascii="Arial" w:cs="Arial" w:eastAsia="Arial" w:hAnsi="Arial"/>
          <w:sz w:val="18"/>
          <w:szCs w:val="18"/>
          <w:color w:val="auto"/>
        </w:rPr>
        <w:t>We contribute to tax-qualified retirement plans for the benefit of U.S. employees who meet certain eligibility requirements and choose to participate in the plans. Participating employees specify the percentage or amount of salary they wish to contribute from their compensation, and the Company typically makes discretionary and certain other matching or supplemental contributions. We recognized compensation costs from Company contributions of $75 million in 2020, $128 million in 2019, and $224 million in 2018.</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Operations</w:t>
      </w:r>
    </w:p>
    <w:p>
      <w:pPr>
        <w:spacing w:after="0" w:line="161" w:lineRule="exact"/>
        <w:rPr>
          <w:sz w:val="20"/>
          <w:szCs w:val="20"/>
          <w:color w:val="auto"/>
        </w:rPr>
      </w:pPr>
    </w:p>
    <w:p>
      <w:pPr>
        <w:ind w:right="40" w:firstLine="395"/>
        <w:spacing w:after="0" w:line="281" w:lineRule="auto"/>
        <w:rPr>
          <w:sz w:val="20"/>
          <w:szCs w:val="20"/>
          <w:color w:val="auto"/>
        </w:rPr>
      </w:pPr>
      <w:r>
        <w:rPr>
          <w:rFonts w:ascii="Arial" w:cs="Arial" w:eastAsia="Arial" w:hAnsi="Arial"/>
          <w:sz w:val="16"/>
          <w:szCs w:val="16"/>
          <w:color w:val="auto"/>
        </w:rPr>
        <w:t>The U.S. dollar is the functional currency of our consolidated and unconsolidated entities operating in the U.S. The functional currency of our consolidated and unconsolidated entities operating outside of the U.S. is generally the principal currency of the economic environment in which the entity primarily generates and expends cash. We translate the financial statements of consolidated entities whose functional currency is not the U.S. dollar into U.S. dollars, and we do the same, as needed, for unconsolidated entities whose functional currency is not the U.S. dollar. We translate assets and liabilities at the exchange rate in effect as of the financial statement date and translate income statement accounts using the weighted average exchange rate for the period. We include translation adjustments from currency exchange and the effect of exchange rate changes on intercompany transactions of a long-term investment nature as a separate component of stockholders’ equity. We report gains and losses from currency exchange rate changes for intercompany receivables and payables that are not of a long-term investment nature, as well as for third-party transactions, currently in operating costs and expenses.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61" w:lineRule="exact"/>
        <w:rPr>
          <w:sz w:val="20"/>
          <w:szCs w:val="20"/>
          <w:color w:val="auto"/>
        </w:rPr>
      </w:pPr>
    </w:p>
    <w:p>
      <w:pPr>
        <w:ind w:right="100" w:firstLine="395"/>
        <w:spacing w:after="0" w:line="252" w:lineRule="auto"/>
        <w:rPr>
          <w:sz w:val="20"/>
          <w:szCs w:val="20"/>
          <w:color w:val="auto"/>
        </w:rPr>
      </w:pPr>
      <w:r>
        <w:rPr>
          <w:rFonts w:ascii="Arial" w:cs="Arial" w:eastAsia="Arial" w:hAnsi="Arial"/>
          <w:sz w:val="18"/>
          <w:szCs w:val="18"/>
          <w:color w:val="auto"/>
        </w:rPr>
        <w:t>Our stock-based compensation awards primarily consist of restricted stock units (“RSUs”). We measure compensation costs for our stock-based payment transactions at fair value based on the closing stock price on the grant date, and we recognize those costs in our Financial Statements over the vesting period during which the employee provides service in exchange for the award.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161" w:lineRule="exact"/>
        <w:rPr>
          <w:sz w:val="20"/>
          <w:szCs w:val="20"/>
          <w:color w:val="auto"/>
        </w:rPr>
      </w:pPr>
    </w:p>
    <w:p>
      <w:pPr>
        <w:jc w:val="both"/>
        <w:ind w:right="140" w:firstLine="395"/>
        <w:spacing w:after="0" w:line="252" w:lineRule="auto"/>
        <w:rPr>
          <w:sz w:val="20"/>
          <w:szCs w:val="20"/>
          <w:color w:val="auto"/>
        </w:rPr>
      </w:pPr>
      <w:r>
        <w:rPr>
          <w:rFonts w:ascii="Arial" w:cs="Arial" w:eastAsia="Arial" w:hAnsi="Arial"/>
          <w:sz w:val="18"/>
          <w:szCs w:val="18"/>
          <w:color w:val="auto"/>
        </w:rPr>
        <w:t>We expense costs to produce advertising as they are incurred and to communicate advertising as the communication occurs and record such amounts in reimbursed expenses to the extent undertaken on behalf of our owners and franchisees. We recognized advertising costs of $276 million in 2020, $851 million in 2019, and $660 million in 2018.</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61" w:lineRule="exact"/>
        <w:rPr>
          <w:sz w:val="20"/>
          <w:szCs w:val="20"/>
          <w:color w:val="auto"/>
        </w:rPr>
      </w:pPr>
    </w:p>
    <w:p>
      <w:pPr>
        <w:ind w:right="80" w:firstLine="395"/>
        <w:spacing w:after="0" w:line="247" w:lineRule="auto"/>
        <w:rPr>
          <w:sz w:val="20"/>
          <w:szCs w:val="20"/>
          <w:color w:val="auto"/>
        </w:rPr>
      </w:pPr>
      <w:r>
        <w:rPr>
          <w:rFonts w:ascii="Arial" w:cs="Arial" w:eastAsia="Arial" w:hAnsi="Arial"/>
          <w:sz w:val="18"/>
          <w:szCs w:val="18"/>
          <w:color w:val="auto"/>
        </w:rPr>
        <w:t>We record the amounts of taxes payable or refundable for the current year, as well as deferred tax liabilities and assets for the future tax consequences of events we have recognized in our Financial Statements or tax returns, using judgment in assessing future profitability and the likely future tax consequences of those events. We base our estimates of deferred tax assets and liabilities on current tax laws, rates and interpretations, and, in certain cases, business plans and other expectations about future outcomes. We develop our estimates of future profitability based on our historical data and experience, industry projections, micro and macro general economic condition projections, and our expectations. We account for U.S. tax on Global Intangible Low-Taxed Income in the period incurred.</w:t>
      </w:r>
    </w:p>
    <w:p>
      <w:pPr>
        <w:spacing w:after="0" w:line="143" w:lineRule="exact"/>
        <w:rPr>
          <w:sz w:val="20"/>
          <w:szCs w:val="20"/>
          <w:color w:val="auto"/>
        </w:rPr>
      </w:pPr>
    </w:p>
    <w:p>
      <w:pPr>
        <w:ind w:firstLine="395"/>
        <w:spacing w:after="0" w:line="250" w:lineRule="auto"/>
        <w:rPr>
          <w:sz w:val="20"/>
          <w:szCs w:val="20"/>
          <w:color w:val="auto"/>
        </w:rPr>
      </w:pPr>
      <w:r>
        <w:rPr>
          <w:rFonts w:ascii="Arial" w:cs="Arial" w:eastAsia="Arial" w:hAnsi="Arial"/>
          <w:sz w:val="18"/>
          <w:szCs w:val="18"/>
          <w:color w:val="auto"/>
        </w:rPr>
        <w:t>We generally recognize the effect of the tax law changes in the period of enactment. Changes in existing tax laws and rates, their related interpretations, and the uncertainty generated by the current economic environment may affect the amounts of our deferred tax liabilities or the valuations of our deferred tax assets over time. Our accounting for deferred tax consequences represents management’s best estimate of future events that can be appropriately reflected in the accounting estimates.</w:t>
      </w:r>
    </w:p>
    <w:p>
      <w:pPr>
        <w:spacing w:after="0" w:line="138" w:lineRule="exact"/>
        <w:rPr>
          <w:sz w:val="20"/>
          <w:szCs w:val="20"/>
          <w:color w:val="auto"/>
        </w:rPr>
      </w:pPr>
    </w:p>
    <w:p>
      <w:pPr>
        <w:ind w:right="120" w:firstLine="395"/>
        <w:spacing w:after="0" w:line="287" w:lineRule="auto"/>
        <w:rPr>
          <w:sz w:val="20"/>
          <w:szCs w:val="20"/>
          <w:color w:val="auto"/>
        </w:rPr>
      </w:pPr>
      <w:r>
        <w:rPr>
          <w:rFonts w:ascii="Arial" w:cs="Arial" w:eastAsia="Arial" w:hAnsi="Arial"/>
          <w:sz w:val="16"/>
          <w:szCs w:val="16"/>
          <w:color w:val="auto"/>
        </w:rPr>
        <w:t>For tax positions we have taken or expect to take in a tax return, we apply a more likely than not threshold (that is, a likelihood of more than 50 percent), under which we must conclude a tax position is more likely than not to be sustained, assuming that the position will be examined by the appropriate taxing authority that has full knowledge of all relevant information, to continue to recognize the benefit. In determining our provision for income taxes, we use judgment, reflecting our estimates and assumptions, in applying the more likely than not threshold. We recognize accrued interest and penalties for our unrecognized tax benefits as a component of tax expense. See Note 7 for further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Equivalents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consider all highly liquid investments with an initial maturity of three months or less at date of purchase to be cash equivalents.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61" w:lineRule="exact"/>
        <w:rPr>
          <w:sz w:val="20"/>
          <w:szCs w:val="20"/>
          <w:color w:val="auto"/>
        </w:rPr>
      </w:pPr>
    </w:p>
    <w:p>
      <w:pPr>
        <w:ind w:right="180" w:firstLine="395"/>
        <w:spacing w:after="0" w:line="299" w:lineRule="auto"/>
        <w:rPr>
          <w:sz w:val="20"/>
          <w:szCs w:val="20"/>
          <w:color w:val="auto"/>
        </w:rPr>
      </w:pPr>
      <w:r>
        <w:rPr>
          <w:rFonts w:ascii="Arial" w:cs="Arial" w:eastAsia="Arial" w:hAnsi="Arial"/>
          <w:sz w:val="16"/>
          <w:szCs w:val="16"/>
          <w:color w:val="auto"/>
        </w:rPr>
        <w:t>Our accounts receivable primarily consist of amounts due from hotel owners with whom we have management and franchise agreements and include reimbursements of costs we incurred on behalf of managed and franchised properties. We record an allowance for credit losses measured over the contractual life of the instrument based on an assessment of historical collection activity and current and forecasted future economic conditions by region.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Held for Sale</w:t>
      </w:r>
    </w:p>
    <w:p>
      <w:pPr>
        <w:spacing w:after="0" w:line="161" w:lineRule="exact"/>
        <w:rPr>
          <w:sz w:val="20"/>
          <w:szCs w:val="20"/>
          <w:color w:val="auto"/>
        </w:rPr>
      </w:pPr>
    </w:p>
    <w:p>
      <w:pPr>
        <w:ind w:right="100" w:firstLine="434"/>
        <w:spacing w:after="0" w:line="287" w:lineRule="auto"/>
        <w:rPr>
          <w:sz w:val="20"/>
          <w:szCs w:val="20"/>
          <w:color w:val="auto"/>
        </w:rPr>
      </w:pPr>
      <w:r>
        <w:rPr>
          <w:rFonts w:ascii="Arial" w:cs="Arial" w:eastAsia="Arial" w:hAnsi="Arial"/>
          <w:sz w:val="16"/>
          <w:szCs w:val="16"/>
          <w:color w:val="auto"/>
        </w:rPr>
        <w:t>We consider properties to be assets held for sale when (1) management commits to a plan to sell the property; (2) it is unlikely that the disposal plan will be significantly modified or discontinued; (3) the property is available for immediate sale in its present condition; (4) actions required to complete the sale of the property have been initiated; (5) sale of the property is probable and we expect the completed sale will occur within one year; and (6) the property is actively being marketed for sale at a price that is reasonable given our estimate of current market value. Upon designation of a property as an asset held for sale, we record the property’s value at the lower of its carrying value or its estimated fair value, less estimated costs to sell, and we cease depreciation.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61" w:lineRule="exact"/>
        <w:rPr>
          <w:sz w:val="20"/>
          <w:szCs w:val="20"/>
          <w:color w:val="auto"/>
        </w:rPr>
      </w:pPr>
    </w:p>
    <w:p>
      <w:pPr>
        <w:ind w:right="80" w:firstLine="434"/>
        <w:spacing w:after="0" w:line="287" w:lineRule="auto"/>
        <w:rPr>
          <w:sz w:val="20"/>
          <w:szCs w:val="20"/>
          <w:color w:val="auto"/>
        </w:rPr>
      </w:pPr>
      <w:r>
        <w:rPr>
          <w:rFonts w:ascii="Arial" w:cs="Arial" w:eastAsia="Arial" w:hAnsi="Arial"/>
          <w:sz w:val="16"/>
          <w:szCs w:val="16"/>
          <w:color w:val="auto"/>
        </w:rPr>
        <w:t>We test goodwill for potential impairment at least annually in the fourth quarter, or more frequently if an event or other circumstance indicates that we may not be able to recover the carrying amount of the net assets of the reporting unit. In evaluating goodwill for impairment, we may assess qualitative factors to determine whether it is more likely than not that the fair value of a reporting unit is less than its carrying amount. If we bypass the qualitative assessment, or if we conclude that it is more likely than not that the fair value of a reporting unit is less than its carrying value, then we perform a quantitative impairment test by comparing the fair value of a reporting unit with its carrying amount.</w:t>
      </w:r>
    </w:p>
    <w:p>
      <w:pPr>
        <w:spacing w:after="0" w:line="111" w:lineRule="exact"/>
        <w:rPr>
          <w:sz w:val="20"/>
          <w:szCs w:val="20"/>
          <w:color w:val="auto"/>
        </w:rPr>
      </w:pPr>
    </w:p>
    <w:p>
      <w:pPr>
        <w:ind w:firstLine="434"/>
        <w:spacing w:after="0" w:line="287" w:lineRule="auto"/>
        <w:rPr>
          <w:sz w:val="20"/>
          <w:szCs w:val="20"/>
          <w:color w:val="auto"/>
        </w:rPr>
      </w:pPr>
      <w:r>
        <w:rPr>
          <w:rFonts w:ascii="Arial" w:cs="Arial" w:eastAsia="Arial" w:hAnsi="Arial"/>
          <w:sz w:val="16"/>
          <w:szCs w:val="16"/>
          <w:color w:val="auto"/>
        </w:rPr>
        <w:t>We calculate the estimated fair value of a reporting unit using a combination of the income and market approaches. For the income approach, we use internally developed discounted cash flow models that include the following assumptions, among others: projections of revenues, expenses, and related cash flows based on assumed long-term growth rates and demand trends; expected future investments to grow new units; and estimated discount rates. For the market approach, we use internal analyses based primarily on market comparables. We base these assumptions on our historical data and experience, third-party appraisals, industry projections, micro and macro general economic condition projections, and our expectations.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have had no goodwill impairment charges for the last three fiscal years.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 and Long-Lived Assets</w:t>
      </w:r>
    </w:p>
    <w:p>
      <w:pPr>
        <w:spacing w:after="0" w:line="161" w:lineRule="exact"/>
        <w:rPr>
          <w:sz w:val="20"/>
          <w:szCs w:val="20"/>
          <w:color w:val="auto"/>
        </w:rPr>
      </w:pPr>
    </w:p>
    <w:p>
      <w:pPr>
        <w:ind w:right="140" w:firstLine="434"/>
        <w:spacing w:after="0" w:line="250" w:lineRule="auto"/>
        <w:rPr>
          <w:sz w:val="20"/>
          <w:szCs w:val="20"/>
          <w:color w:val="auto"/>
        </w:rPr>
      </w:pPr>
      <w:r>
        <w:rPr>
          <w:rFonts w:ascii="Arial" w:cs="Arial" w:eastAsia="Arial" w:hAnsi="Arial"/>
          <w:sz w:val="18"/>
          <w:szCs w:val="18"/>
          <w:color w:val="auto"/>
        </w:rPr>
        <w:t>We assess indefinite-lived intangible assets for continued indefinite use and for potential impairment annually, or more frequently if an event or other circumstance indicates that we may not be able to recover the carrying amount of the asset. Like goodwill, we may first assess qualitative factors to determine whether it is more likely than not that the fair value of the indefinite-lived intangible is less than its carrying amount. If the carrying value of the asset exceeds the fair value, we recognize an impairment loss in the amount of that excess.</w:t>
      </w:r>
    </w:p>
    <w:p>
      <w:pPr>
        <w:spacing w:after="0" w:line="138" w:lineRule="exact"/>
        <w:rPr>
          <w:sz w:val="20"/>
          <w:szCs w:val="20"/>
          <w:color w:val="auto"/>
        </w:rPr>
      </w:pPr>
    </w:p>
    <w:p>
      <w:pPr>
        <w:ind w:right="60" w:firstLine="434"/>
        <w:spacing w:after="0" w:line="281" w:lineRule="auto"/>
        <w:rPr>
          <w:sz w:val="20"/>
          <w:szCs w:val="20"/>
          <w:color w:val="auto"/>
        </w:rPr>
      </w:pPr>
      <w:r>
        <w:rPr>
          <w:rFonts w:ascii="Arial" w:cs="Arial" w:eastAsia="Arial" w:hAnsi="Arial"/>
          <w:sz w:val="16"/>
          <w:szCs w:val="16"/>
          <w:color w:val="auto"/>
        </w:rPr>
        <w:t>We test definite-lived intangibles and long-lived asset groups for recoverability when changes in circumstances indicate that we may not be able to recover the carrying value; for example, when there are material adverse changes in projected revenues or expenses, significant underperformance relative to historical or projected operating results, or significant negative industry or economic trends. We also test recoverability when management has committed to a plan to sell or otherwise dispose of an asset group and we expect to complete the plan within a year. We evaluate recoverability of an asset group by comparing its carrying value, including right-of-use assets, to the future net undiscounted cash flows that we expect the asset group will generate. If the comparison indicates that we will not be able to recover the carrying value of an asset group, we recognize an impairment loss for the amount by which the carrying value exceeds the estimated fair value. When we recognize an impairment loss for assets to be held and used, we depreciate the adjusted carrying amount of those assets over their remaining useful life.</w:t>
      </w:r>
    </w:p>
    <w:p>
      <w:pPr>
        <w:spacing w:after="0" w:line="119" w:lineRule="exact"/>
        <w:rPr>
          <w:sz w:val="20"/>
          <w:szCs w:val="20"/>
          <w:color w:val="auto"/>
        </w:rPr>
      </w:pPr>
    </w:p>
    <w:p>
      <w:pPr>
        <w:ind w:right="280" w:firstLine="434"/>
        <w:spacing w:after="0" w:line="250" w:lineRule="auto"/>
        <w:rPr>
          <w:sz w:val="20"/>
          <w:szCs w:val="20"/>
          <w:color w:val="auto"/>
        </w:rPr>
      </w:pPr>
      <w:r>
        <w:rPr>
          <w:rFonts w:ascii="Arial" w:cs="Arial" w:eastAsia="Arial" w:hAnsi="Arial"/>
          <w:sz w:val="18"/>
          <w:szCs w:val="18"/>
          <w:color w:val="auto"/>
        </w:rPr>
        <w:t>We calculate the estimated fair value of an intangible asset or asset group using the income approach or the market approach. We utilize the same assumptions and methodology for the income approach that we describe in the “</w:t>
      </w:r>
      <w:r>
        <w:rPr>
          <w:rFonts w:ascii="Arial" w:cs="Arial" w:eastAsia="Arial" w:hAnsi="Arial"/>
          <w:sz w:val="18"/>
          <w:szCs w:val="18"/>
          <w:i w:val="1"/>
          <w:iCs w:val="1"/>
          <w:color w:val="auto"/>
        </w:rPr>
        <w:t>Goodwill</w:t>
      </w:r>
      <w:r>
        <w:rPr>
          <w:rFonts w:ascii="Arial" w:cs="Arial" w:eastAsia="Arial" w:hAnsi="Arial"/>
          <w:sz w:val="18"/>
          <w:szCs w:val="18"/>
          <w:color w:val="auto"/>
        </w:rPr>
        <w:t>” caption. For the market approach, we use internal analyses based primarily on market comparables and assumptions about market capitalization rates, growth rates, and inflation. See Note 9 and Note 12 for additional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61" w:lineRule="exact"/>
        <w:rPr>
          <w:sz w:val="20"/>
          <w:szCs w:val="20"/>
          <w:color w:val="auto"/>
        </w:rPr>
      </w:pPr>
    </w:p>
    <w:p>
      <w:pPr>
        <w:ind w:firstLine="395"/>
        <w:spacing w:after="0" w:line="247" w:lineRule="auto"/>
        <w:rPr>
          <w:sz w:val="20"/>
          <w:szCs w:val="20"/>
          <w:color w:val="auto"/>
        </w:rPr>
      </w:pPr>
      <w:r>
        <w:rPr>
          <w:rFonts w:ascii="Arial" w:cs="Arial" w:eastAsia="Arial" w:hAnsi="Arial"/>
          <w:sz w:val="18"/>
          <w:szCs w:val="18"/>
          <w:color w:val="auto"/>
        </w:rPr>
        <w:t>We hold equity interests in ventures established to develop or acquire and own hotel properties or that otherwise support our hospitality operations. We account for these investments as either an equity method investment, a financial asset, or a controlled subsidiary. We apply the equity method of accounting if we have significant influence over the entity, typically when we hold 20 percent or more of the voting common stock (or equivalent) of an investee but do not have a controlling financial interest. In certain circumstances, such as with investments in limited liability companies or limited partnerships, we apply the equity method of accounting when we own as little as three to five percent. We account for financial assets at fair value if it is readily determinable, or using the fair value alternative method, whereby investments are measured at cost less impairment, adjusted for observable price changes. We consolidate entities that we control.</w:t>
      </w:r>
    </w:p>
    <w:p>
      <w:pPr>
        <w:spacing w:after="0" w:line="141" w:lineRule="exact"/>
        <w:rPr>
          <w:sz w:val="20"/>
          <w:szCs w:val="20"/>
          <w:color w:val="auto"/>
        </w:rPr>
      </w:pPr>
    </w:p>
    <w:p>
      <w:pPr>
        <w:ind w:right="100" w:firstLine="395"/>
        <w:spacing w:after="0" w:line="250" w:lineRule="auto"/>
        <w:rPr>
          <w:sz w:val="20"/>
          <w:szCs w:val="20"/>
          <w:color w:val="auto"/>
        </w:rPr>
      </w:pPr>
      <w:r>
        <w:rPr>
          <w:rFonts w:ascii="Arial" w:cs="Arial" w:eastAsia="Arial" w:hAnsi="Arial"/>
          <w:sz w:val="18"/>
          <w:szCs w:val="18"/>
          <w:color w:val="auto"/>
        </w:rPr>
        <w:t>When we acquire an investment that qualifies for the equity method of accounting, we determine the acquisition date fair value of the identifiable assets and liabilities. If our carrying amount exceeds our proportional share in the equity of the investee, we amortize the difference on a straight-line basis over the underlying assets’ estimated useful lives when calculating equity method earnings attributable to us, excluding the difference attributable to land, which we do not amortize.</w:t>
      </w:r>
    </w:p>
    <w:p>
      <w:pPr>
        <w:spacing w:after="0" w:line="138" w:lineRule="exact"/>
        <w:rPr>
          <w:sz w:val="20"/>
          <w:szCs w:val="20"/>
          <w:color w:val="auto"/>
        </w:rPr>
      </w:pPr>
    </w:p>
    <w:p>
      <w:pPr>
        <w:ind w:right="140" w:firstLine="434"/>
        <w:spacing w:after="0" w:line="247" w:lineRule="auto"/>
        <w:rPr>
          <w:sz w:val="20"/>
          <w:szCs w:val="20"/>
          <w:color w:val="auto"/>
        </w:rPr>
      </w:pPr>
      <w:r>
        <w:rPr>
          <w:rFonts w:ascii="Arial" w:cs="Arial" w:eastAsia="Arial" w:hAnsi="Arial"/>
          <w:sz w:val="18"/>
          <w:szCs w:val="18"/>
          <w:color w:val="auto"/>
        </w:rPr>
        <w:t>We evaluate an investment for impairment when circumstances indicate that we may not be able to recover the carrying value. When evaluating our ventures, we consider loan defaults, significant underperformance relative to historical or projected operating performance, or significant negative industry or economic trends. Additionally, a venture’s commitment to a plan to sell some or all of its assets could cause us to evaluate the recoverability of the venture’s individual long-lived assets and possibly the venture itself. We impair investments we account for using the equity method of accounting when we determine that there has been an “other-than-temporary” decline in the venture’s estimated fair value compared to its carrying value. We perform qualitative assessments for investments we account for using the fair value alternative method and we record any associated impairment when the fair value is less than the carrying value.</w:t>
      </w:r>
    </w:p>
    <w:p>
      <w:pPr>
        <w:spacing w:after="0" w:line="141" w:lineRule="exact"/>
        <w:rPr>
          <w:sz w:val="20"/>
          <w:szCs w:val="20"/>
          <w:color w:val="auto"/>
        </w:rPr>
      </w:pPr>
    </w:p>
    <w:p>
      <w:pPr>
        <w:ind w:right="60" w:firstLine="434"/>
        <w:spacing w:after="0" w:line="287" w:lineRule="auto"/>
        <w:rPr>
          <w:sz w:val="20"/>
          <w:szCs w:val="20"/>
          <w:color w:val="auto"/>
        </w:rPr>
      </w:pPr>
      <w:r>
        <w:rPr>
          <w:rFonts w:ascii="Arial" w:cs="Arial" w:eastAsia="Arial" w:hAnsi="Arial"/>
          <w:sz w:val="16"/>
          <w:szCs w:val="16"/>
          <w:color w:val="auto"/>
        </w:rPr>
        <w:t>Under the accounting guidance for the consolidation of variable interest entities, we analyze our variable interests, including equity investments, loans, and guarantees, to determine if an entity in which we have a variable interest is a variable interest entity. Our analysis includes both quantitative and qualitative reviews. We base our quantitative analysis on the forecasted cash flows of the entity, and our qualitative analysis on our review of the design of the entity, its organizational structure including decision-making ability, and relevant financial agreements. We also use our qualitative analysis to determine if we must consolidate a variable interest entity as its primary beneficiary.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61" w:lineRule="exact"/>
        <w:rPr>
          <w:sz w:val="20"/>
          <w:szCs w:val="20"/>
          <w:color w:val="auto"/>
        </w:rPr>
      </w:pPr>
    </w:p>
    <w:p>
      <w:pPr>
        <w:ind w:right="340" w:firstLine="395"/>
        <w:spacing w:after="0" w:line="252" w:lineRule="auto"/>
        <w:rPr>
          <w:sz w:val="20"/>
          <w:szCs w:val="20"/>
          <w:color w:val="auto"/>
        </w:rPr>
      </w:pPr>
      <w:r>
        <w:rPr>
          <w:rFonts w:ascii="Arial" w:cs="Arial" w:eastAsia="Arial" w:hAnsi="Arial"/>
          <w:sz w:val="18"/>
          <w:szCs w:val="18"/>
          <w:color w:val="auto"/>
        </w:rPr>
        <w:t>We have various financial instruments we must measure at fair value on a recurring basis, including certain marketable securities and derivatives. See Note 13 for further information. We also apply the provisions of fair value measurement to various nonrecurring measurements for our financial and nonfinancial assets and liabilities.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180" w:firstLine="395"/>
        <w:spacing w:after="0" w:line="252" w:lineRule="auto"/>
        <w:rPr>
          <w:sz w:val="20"/>
          <w:szCs w:val="20"/>
          <w:color w:val="auto"/>
        </w:rPr>
      </w:pPr>
      <w:r>
        <w:rPr>
          <w:rFonts w:ascii="Arial" w:cs="Arial" w:eastAsia="Arial" w:hAnsi="Arial"/>
          <w:sz w:val="18"/>
          <w:szCs w:val="18"/>
          <w:color w:val="auto"/>
        </w:rPr>
        <w:t>Accounting standards define fair value as the price that would be received to sell an asset or paid to transfer a liability in an orderly transaction between market participants at the measurement date (an exit price). We measure our assets and liabilities using inputs from the following three levels of the fair value hierarchy:</w:t>
      </w:r>
    </w:p>
    <w:p>
      <w:pPr>
        <w:spacing w:after="0" w:line="138" w:lineRule="exact"/>
        <w:rPr>
          <w:sz w:val="20"/>
          <w:szCs w:val="20"/>
          <w:color w:val="auto"/>
        </w:rPr>
      </w:pPr>
    </w:p>
    <w:p>
      <w:pPr>
        <w:ind w:left="640" w:right="320"/>
        <w:spacing w:after="0" w:line="261"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we have the ability to access at the measurement date.</w:t>
      </w:r>
    </w:p>
    <w:p>
      <w:pPr>
        <w:spacing w:after="0" w:line="129" w:lineRule="exact"/>
        <w:rPr>
          <w:sz w:val="20"/>
          <w:szCs w:val="20"/>
          <w:color w:val="auto"/>
        </w:rPr>
      </w:pPr>
    </w:p>
    <w:p>
      <w:pPr>
        <w:ind w:left="640" w:right="20"/>
        <w:spacing w:after="0" w:line="299" w:lineRule="auto"/>
        <w:rPr>
          <w:sz w:val="20"/>
          <w:szCs w:val="20"/>
          <w:color w:val="auto"/>
        </w:rPr>
      </w:pPr>
      <w:r>
        <w:rPr>
          <w:rFonts w:ascii="Arial" w:cs="Arial" w:eastAsia="Arial" w:hAnsi="Arial"/>
          <w:sz w:val="16"/>
          <w:szCs w:val="16"/>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02" w:lineRule="exact"/>
        <w:rPr>
          <w:sz w:val="20"/>
          <w:szCs w:val="20"/>
          <w:color w:val="auto"/>
        </w:rPr>
      </w:pPr>
    </w:p>
    <w:p>
      <w:pPr>
        <w:ind w:left="640" w:right="60"/>
        <w:spacing w:after="0" w:line="261" w:lineRule="auto"/>
        <w:rPr>
          <w:sz w:val="20"/>
          <w:szCs w:val="20"/>
          <w:color w:val="auto"/>
        </w:rPr>
      </w:pPr>
      <w:r>
        <w:rPr>
          <w:rFonts w:ascii="Arial" w:cs="Arial" w:eastAsia="Arial" w:hAnsi="Arial"/>
          <w:sz w:val="18"/>
          <w:szCs w:val="18"/>
          <w:color w:val="auto"/>
        </w:rPr>
        <w:t>Level 3 includes unobservable inputs that reflect our assumptions about what factors market participants would use in pricing the asset or liability. We develop these inputs based on the best information available, including our own data.</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161" w:lineRule="exact"/>
        <w:rPr>
          <w:sz w:val="20"/>
          <w:szCs w:val="20"/>
          <w:color w:val="auto"/>
        </w:rPr>
      </w:pPr>
    </w:p>
    <w:p>
      <w:pPr>
        <w:ind w:right="60" w:firstLine="395"/>
        <w:spacing w:after="0" w:line="281" w:lineRule="auto"/>
        <w:rPr>
          <w:sz w:val="20"/>
          <w:szCs w:val="20"/>
          <w:color w:val="auto"/>
        </w:rPr>
      </w:pPr>
      <w:r>
        <w:rPr>
          <w:rFonts w:ascii="Arial" w:cs="Arial" w:eastAsia="Arial" w:hAnsi="Arial"/>
          <w:sz w:val="16"/>
          <w:szCs w:val="16"/>
          <w:color w:val="auto"/>
        </w:rPr>
        <w:t>We record derivatives at fair value. The designation of a derivative instrument as a hedge and its ability to meet the hedge accounting criteria determine how we reflect the change in fair value of the derivative instrument in our Financial Statements. A derivative qualifies for hedge accounting if, at inception, we expect the derivative will be highly effective in offsetting the underlying hedged cash flows or fair value and we fulfill the hedge documentation standards at the time we enter into the derivative contract. We designate a hedge as a cash flow hedge, fair value hedge, or a hedge of the net investment in non-U.S. operations based on the exposure we are hedging. For the effective portion of qualifying cash flow hedges, we record changes in fair value in accumulated other comprehensive income (“AOCI”). We release the derivative’s gain or loss from AOCI to match the timing of the underlying hedged items’ effect on earnings. The change in fair value of qualifying fair value hedges as well as changes in fair value of the underlying hedged items to the hedged risks are recorded concurrently in earnings.</w:t>
      </w:r>
    </w:p>
    <w:p>
      <w:pPr>
        <w:spacing w:after="0" w:line="119" w:lineRule="exact"/>
        <w:rPr>
          <w:sz w:val="20"/>
          <w:szCs w:val="20"/>
          <w:color w:val="auto"/>
        </w:rPr>
      </w:pPr>
    </w:p>
    <w:p>
      <w:pPr>
        <w:ind w:right="40" w:firstLine="395"/>
        <w:spacing w:after="0" w:line="287" w:lineRule="auto"/>
        <w:rPr>
          <w:sz w:val="20"/>
          <w:szCs w:val="20"/>
          <w:color w:val="auto"/>
        </w:rPr>
      </w:pPr>
      <w:r>
        <w:rPr>
          <w:rFonts w:ascii="Arial" w:cs="Arial" w:eastAsia="Arial" w:hAnsi="Arial"/>
          <w:sz w:val="16"/>
          <w:szCs w:val="16"/>
          <w:color w:val="auto"/>
        </w:rPr>
        <w:t>We review the effectiveness of our hedging instruments quarterly and discontinue hedge accounting for any hedge that we no longer consider to be highly effective. We recognize changes in fair value for derivatives not designated as hedges or those not qualifying for hedge accounting in current period earnings. Upon termination of cash flow hedges, we release gains and losses from AOCI based on the timing of the underlying cash flows or revenue recognized, unless the termination results from the failure of the intended transaction to occur in the expected time frame. Such untimely transactions require us to immediately recognize in earnings the gains and/or losses that we previously recorded in AOCI.</w:t>
      </w:r>
    </w:p>
    <w:p>
      <w:pPr>
        <w:spacing w:after="0" w:line="111" w:lineRule="exact"/>
        <w:rPr>
          <w:sz w:val="20"/>
          <w:szCs w:val="20"/>
          <w:color w:val="auto"/>
        </w:rPr>
      </w:pPr>
    </w:p>
    <w:p>
      <w:pPr>
        <w:ind w:right="200" w:firstLine="395"/>
        <w:spacing w:after="0" w:line="291" w:lineRule="auto"/>
        <w:rPr>
          <w:sz w:val="20"/>
          <w:szCs w:val="20"/>
          <w:color w:val="auto"/>
        </w:rPr>
      </w:pPr>
      <w:r>
        <w:rPr>
          <w:rFonts w:ascii="Arial" w:cs="Arial" w:eastAsia="Arial" w:hAnsi="Arial"/>
          <w:sz w:val="16"/>
          <w:szCs w:val="16"/>
          <w:color w:val="auto"/>
        </w:rPr>
        <w:t>Changes in interest rates, currency exchange rates, and equity securities expose us to market risk. We manage our exposure to these risks by monitoring available financing alternatives, as well as through development and application of credit granting policies. We also use derivative instruments as part of our overall strategy to manage our exposure to market risks. As a matter of policy, we only enter into transactions that we believe will be highly effective at offsetting the underlying risk, and we do not use derivatives for trading or speculative purposes.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Loss Reserves</w:t>
      </w:r>
    </w:p>
    <w:p>
      <w:pPr>
        <w:spacing w:after="0" w:line="161" w:lineRule="exact"/>
        <w:rPr>
          <w:sz w:val="20"/>
          <w:szCs w:val="20"/>
          <w:color w:val="auto"/>
        </w:rPr>
      </w:pPr>
    </w:p>
    <w:p>
      <w:pPr>
        <w:ind w:right="100" w:firstLine="395"/>
        <w:spacing w:after="0" w:line="316" w:lineRule="auto"/>
        <w:rPr>
          <w:sz w:val="20"/>
          <w:szCs w:val="20"/>
          <w:color w:val="auto"/>
        </w:rPr>
      </w:pPr>
      <w:r>
        <w:rPr>
          <w:rFonts w:ascii="Arial" w:cs="Arial" w:eastAsia="Arial" w:hAnsi="Arial"/>
          <w:sz w:val="15"/>
          <w:szCs w:val="15"/>
          <w:color w:val="auto"/>
        </w:rPr>
        <w:t>We may make senior, mezzanine, and other loans to owners of hotels that we operate or franchise, generally to facilitate the development of a hotel and sometimes to facilitate brand programs or initiatives. We expect the owners to repay the loans in accordance with the loan agreements, or earlier as the hotels mature and capital markets permit. We use metrics such as loan-to-value ratios and debt service coverage, and other information about collateral and from third-party rating agencies to assess the credit quality of the loan receivable, both upon entering into the loan agreement and on an ongoing basis as applicable.</w:t>
      </w:r>
    </w:p>
    <w:p>
      <w:pPr>
        <w:spacing w:after="0" w:line="92" w:lineRule="exact"/>
        <w:rPr>
          <w:sz w:val="20"/>
          <w:szCs w:val="20"/>
          <w:color w:val="auto"/>
        </w:rPr>
      </w:pPr>
    </w:p>
    <w:p>
      <w:pPr>
        <w:ind w:firstLine="434"/>
        <w:spacing w:after="0" w:line="287" w:lineRule="auto"/>
        <w:rPr>
          <w:sz w:val="20"/>
          <w:szCs w:val="20"/>
          <w:color w:val="auto"/>
        </w:rPr>
      </w:pPr>
      <w:r>
        <w:rPr>
          <w:rFonts w:ascii="Arial" w:cs="Arial" w:eastAsia="Arial" w:hAnsi="Arial"/>
          <w:sz w:val="16"/>
          <w:szCs w:val="16"/>
          <w:color w:val="auto"/>
        </w:rPr>
        <w:t>At inception and throughout the term of the loan agreement, we individually assess loans for impairment. We consider current and forecasted future economic conditions in addition to our historical experience. We use internally generated cash flow projections to determine the likelihood that the loans will be repaid under the terms of the loan agreements. To measure impairment, we calculate the present value of expected future cash flows discounted at the loan’s original effective interest rate or the estimated fair value of the collateral. If the present value or the estimated collateral is less than the carrying value of the loan receivable, we establish a specific impairment reserve for the difference.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61" w:lineRule="exact"/>
        <w:rPr>
          <w:sz w:val="20"/>
          <w:szCs w:val="20"/>
          <w:color w:val="auto"/>
        </w:rPr>
      </w:pPr>
    </w:p>
    <w:p>
      <w:pPr>
        <w:ind w:right="20" w:firstLine="434"/>
        <w:spacing w:after="0" w:line="327" w:lineRule="auto"/>
        <w:rPr>
          <w:sz w:val="20"/>
          <w:szCs w:val="20"/>
          <w:color w:val="auto"/>
        </w:rPr>
      </w:pPr>
      <w:r>
        <w:rPr>
          <w:rFonts w:ascii="Arial" w:cs="Arial" w:eastAsia="Arial" w:hAnsi="Arial"/>
          <w:sz w:val="15"/>
          <w:szCs w:val="15"/>
          <w:color w:val="auto"/>
        </w:rPr>
        <w:t>We determine if an arrangement is a lease or contains a lease at the inception of the contract. Our leases generally contain fixed and variable components. The variable components of our leases are primarily based on operating performance of the leased property. Our lease agreements may also include non-lease components, such as common area maintenance, which we combine with the lease component to account for both as a single lease component.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395"/>
        <w:spacing w:after="0" w:line="250" w:lineRule="auto"/>
        <w:rPr>
          <w:sz w:val="20"/>
          <w:szCs w:val="20"/>
          <w:color w:val="auto"/>
        </w:rPr>
      </w:pPr>
      <w:r>
        <w:rPr>
          <w:rFonts w:ascii="Arial" w:cs="Arial" w:eastAsia="Arial" w:hAnsi="Arial"/>
          <w:sz w:val="18"/>
          <w:szCs w:val="18"/>
          <w:color w:val="auto"/>
        </w:rPr>
        <w:t>Lease liabilities, which represent our obligation to make lease payments arising from the lease, and corresponding right-of-use assets, which represent our right to use an underlying asset for the lease term, are recognized at the commencement date of the lease based on the present value of fixed future payments over the lease term. We calculate the present value of future payments using the discount rate implicit in the lease, if available, or our incremental borrowing rate.</w:t>
      </w:r>
    </w:p>
    <w:p>
      <w:pPr>
        <w:spacing w:after="0" w:line="138" w:lineRule="exact"/>
        <w:rPr>
          <w:sz w:val="20"/>
          <w:szCs w:val="20"/>
          <w:color w:val="auto"/>
        </w:rPr>
      </w:pPr>
    </w:p>
    <w:p>
      <w:pPr>
        <w:ind w:right="120" w:firstLine="395"/>
        <w:spacing w:after="0" w:line="252" w:lineRule="auto"/>
        <w:rPr>
          <w:sz w:val="20"/>
          <w:szCs w:val="20"/>
          <w:color w:val="auto"/>
        </w:rPr>
      </w:pPr>
      <w:r>
        <w:rPr>
          <w:rFonts w:ascii="Arial" w:cs="Arial" w:eastAsia="Arial" w:hAnsi="Arial"/>
          <w:sz w:val="18"/>
          <w:szCs w:val="18"/>
          <w:color w:val="auto"/>
        </w:rPr>
        <w:t>For operating leases, lease expense relating to fixed payments is recognized on a straight-line basis over the lease term and lease expense relating to variable payments is expensed as incurred. For finance leases, the amortization of the asset is recognized over the shorter of the lease term or useful life of the underlying asset.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61" w:lineRule="exact"/>
        <w:rPr>
          <w:sz w:val="20"/>
          <w:szCs w:val="20"/>
          <w:color w:val="auto"/>
        </w:rPr>
      </w:pPr>
    </w:p>
    <w:p>
      <w:pPr>
        <w:ind w:right="20" w:firstLine="434"/>
        <w:spacing w:after="0" w:line="281" w:lineRule="auto"/>
        <w:rPr>
          <w:sz w:val="20"/>
          <w:szCs w:val="20"/>
          <w:color w:val="auto"/>
        </w:rPr>
      </w:pPr>
      <w:r>
        <w:rPr>
          <w:rFonts w:ascii="Arial" w:cs="Arial" w:eastAsia="Arial" w:hAnsi="Arial"/>
          <w:sz w:val="16"/>
          <w:szCs w:val="16"/>
          <w:color w:val="auto"/>
        </w:rPr>
        <w:t>We measure and record our liability for the fair value of a guarantee on a nonrecurring basis, that is when we issue or modify a guarantee, using Level 3 internally developed inputs, as described above in this footnote under the caption “</w:t>
      </w:r>
      <w:r>
        <w:rPr>
          <w:rFonts w:ascii="Arial" w:cs="Arial" w:eastAsia="Arial" w:hAnsi="Arial"/>
          <w:sz w:val="16"/>
          <w:szCs w:val="16"/>
          <w:i w:val="1"/>
          <w:iCs w:val="1"/>
          <w:color w:val="auto"/>
        </w:rPr>
        <w:t>Fair Value Measurements</w:t>
      </w:r>
      <w:r>
        <w:rPr>
          <w:rFonts w:ascii="Arial" w:cs="Arial" w:eastAsia="Arial" w:hAnsi="Arial"/>
          <w:sz w:val="16"/>
          <w:szCs w:val="16"/>
          <w:color w:val="auto"/>
        </w:rPr>
        <w:t>.” We base our calculation of the estimated fair value of a guarantee on the income approach or the market approach, depending on the type of guarantee. For the income approach, we use internally developed discounted cash flow and Monte Carlo simulation models that include the following assumptions, among others: projections of revenues and expenses and related cash flows based on assumed growth rates and demand trends; historical volatility of projected performance; the guaranteed obligations; and applicable discount rates. We base these assumptions on our historical data and experience, industry projections, micro and macro general economic condition projections, and our expectations. For the market approach, we use internal analyses based primarily on market comparable data and our assumptions about market capitalization rates, credit spreads, growth rates, and inflation.</w:t>
      </w:r>
    </w:p>
    <w:p>
      <w:pPr>
        <w:spacing w:after="0" w:line="119" w:lineRule="exact"/>
        <w:rPr>
          <w:sz w:val="20"/>
          <w:szCs w:val="20"/>
          <w:color w:val="auto"/>
        </w:rPr>
      </w:pPr>
    </w:p>
    <w:p>
      <w:pPr>
        <w:ind w:right="20" w:firstLine="434"/>
        <w:spacing w:after="0" w:line="287" w:lineRule="auto"/>
        <w:rPr>
          <w:sz w:val="20"/>
          <w:szCs w:val="20"/>
          <w:color w:val="auto"/>
        </w:rPr>
      </w:pPr>
      <w:r>
        <w:rPr>
          <w:rFonts w:ascii="Arial" w:cs="Arial" w:eastAsia="Arial" w:hAnsi="Arial"/>
          <w:sz w:val="16"/>
          <w:szCs w:val="16"/>
          <w:color w:val="auto"/>
        </w:rPr>
        <w:t>The offsetting entry for the guarantee liability depends on the circumstances in which the guarantee was issued. Funding under the guarantee reduces the recorded liability. In most cases, when we do not forecast any funding, we amortize the liability into income on a straight-line basis over the remaining term of the guarantee. On a quarterly basis, we evaluate all material estimated liabilities based on the operating results and the terms of the guarantee. If we conclude that it is probable that we will be required to fund a greater amount than previously estimated, we record a loss except to the extent that the applicable contracts provide that the advance can be recovered as a loan.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 Programs</w:t>
      </w:r>
    </w:p>
    <w:p>
      <w:pPr>
        <w:spacing w:after="0" w:line="161" w:lineRule="exact"/>
        <w:rPr>
          <w:sz w:val="20"/>
          <w:szCs w:val="20"/>
          <w:color w:val="auto"/>
        </w:rPr>
      </w:pPr>
    </w:p>
    <w:p>
      <w:pPr>
        <w:ind w:right="140" w:firstLine="434"/>
        <w:spacing w:after="0" w:line="306" w:lineRule="auto"/>
        <w:rPr>
          <w:sz w:val="20"/>
          <w:szCs w:val="20"/>
          <w:color w:val="auto"/>
        </w:rPr>
      </w:pPr>
      <w:r>
        <w:rPr>
          <w:rFonts w:ascii="Arial" w:cs="Arial" w:eastAsia="Arial" w:hAnsi="Arial"/>
          <w:sz w:val="15"/>
          <w:szCs w:val="15"/>
          <w:color w:val="auto"/>
        </w:rPr>
        <w:t>We self-insure for certain levels of liability, workers’ compensation, property insurance and employee medical coverage. We accrue estimated costs of these self-insurance programs at the present value of projected settlements for known and incurred but not reported claims. We use a discount rate of two percent to determine the present value of the projected settlements, which we consider to be reasonable given our history of settled claims, including payment patterns and the fixed nature of the individual settlements. We classify the current portion of our self-insurance reserve in the “Accrued expenses and other” caption and the noncurrent portion in the “Other noncurrent liabilities” caption of our Balance Sheets. The current portion of our self-insurance reserve was $121 million in 2020 and $166 million in 2019. The noncurrent portion of our self-insurance reserve was $341 million in 2020 and $323 million in 2019.</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Contingencies</w:t>
      </w:r>
    </w:p>
    <w:p>
      <w:pPr>
        <w:spacing w:after="0" w:line="161" w:lineRule="exact"/>
        <w:rPr>
          <w:sz w:val="20"/>
          <w:szCs w:val="20"/>
          <w:color w:val="auto"/>
        </w:rPr>
      </w:pPr>
    </w:p>
    <w:p>
      <w:pPr>
        <w:ind w:right="60" w:firstLine="395"/>
        <w:spacing w:after="0" w:line="291" w:lineRule="auto"/>
        <w:rPr>
          <w:sz w:val="20"/>
          <w:szCs w:val="20"/>
          <w:color w:val="auto"/>
        </w:rPr>
      </w:pPr>
      <w:r>
        <w:rPr>
          <w:rFonts w:ascii="Arial" w:cs="Arial" w:eastAsia="Arial" w:hAnsi="Arial"/>
          <w:sz w:val="16"/>
          <w:szCs w:val="16"/>
          <w:color w:val="auto"/>
        </w:rPr>
        <w:t>We are subject to various legal proceedings and claims, the outcomes of which are uncertain. We record an accrual for legal contingencies when we determine that it is probable that we have incurred a liability and we can reasonably estimate the amount of the loss. In making such determinations we evaluate, among other things, the probability of an unfavorable outcome and, when we believe it probable that a liability has been incurred, our ability to make a reasonable estimate of the loss. We review these accruals each reporting period and make revisions based on changes in facts and circumstances.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61" w:lineRule="exact"/>
        <w:rPr>
          <w:sz w:val="20"/>
          <w:szCs w:val="20"/>
          <w:color w:val="auto"/>
        </w:rPr>
      </w:pPr>
    </w:p>
    <w:p>
      <w:pPr>
        <w:ind w:firstLine="395"/>
        <w:spacing w:after="0" w:line="304" w:lineRule="auto"/>
        <w:rPr>
          <w:sz w:val="20"/>
          <w:szCs w:val="20"/>
          <w:color w:val="auto"/>
        </w:rPr>
      </w:pPr>
      <w:r>
        <w:rPr>
          <w:rFonts w:ascii="Arial" w:cs="Arial" w:eastAsia="Arial" w:hAnsi="Arial"/>
          <w:sz w:val="15"/>
          <w:szCs w:val="15"/>
          <w:color w:val="auto"/>
        </w:rPr>
        <w:t>We allocate the purchase price of an acquisition to the tangible and intangible assets acquired and liabilities assumed based on their estimated fair values at the acquisition date. We recognize as goodwill the amount by which the purchase price of an acquired entity exceeds the net of the fair values assigned to the assets acquired and liabilities assumed. In determining the fair values of assets acquired and liabilities assumed, we use various recognized valuation methods including the income and market approaches. Further, we make assumptions within certain valuation techniques, including discount rates, royalty rates, and the amount and timing of future cash flows. We record the net assets and results of operations of an acquired entity in our Financial Statements from the acquisition date. We initially perform these valuations based upon preliminary estimates and assumptions by management or independent valuation specialists under our supervision, where appropriate, and make revisions as estimates and assumptions are finalized. We expense acquisition-related costs as we incur them.</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Acquisitions</w:t>
      </w:r>
    </w:p>
    <w:p>
      <w:pPr>
        <w:spacing w:after="0" w:line="161" w:lineRule="exact"/>
        <w:rPr>
          <w:sz w:val="20"/>
          <w:szCs w:val="20"/>
          <w:color w:val="auto"/>
        </w:rPr>
      </w:pPr>
    </w:p>
    <w:p>
      <w:pPr>
        <w:jc w:val="both"/>
        <w:ind w:right="240" w:firstLine="395"/>
        <w:spacing w:after="0" w:line="252" w:lineRule="auto"/>
        <w:rPr>
          <w:sz w:val="20"/>
          <w:szCs w:val="20"/>
          <w:color w:val="auto"/>
        </w:rPr>
      </w:pPr>
      <w:r>
        <w:rPr>
          <w:rFonts w:ascii="Arial" w:cs="Arial" w:eastAsia="Arial" w:hAnsi="Arial"/>
          <w:sz w:val="18"/>
          <w:szCs w:val="18"/>
          <w:color w:val="auto"/>
        </w:rPr>
        <w:t>Acquisitions that do not meet the definition of a business are accounted for as asset acquisitions. We allocate the cost of the acquisition, including direct and incremental transaction costs, to the individual assets acquired and liabilities assumed on a relative fair value basis. Goodwill is not recognized in an asset acquisition. See Note 4 for additional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 Adopted</w:t>
      </w:r>
    </w:p>
    <w:p>
      <w:pPr>
        <w:spacing w:after="0" w:line="161" w:lineRule="exact"/>
        <w:rPr>
          <w:sz w:val="20"/>
          <w:szCs w:val="20"/>
          <w:color w:val="auto"/>
        </w:rPr>
      </w:pPr>
    </w:p>
    <w:p>
      <w:pPr>
        <w:ind w:right="120" w:firstLine="395"/>
        <w:spacing w:after="0" w:line="284" w:lineRule="auto"/>
        <w:rPr>
          <w:sz w:val="20"/>
          <w:szCs w:val="20"/>
          <w:color w:val="auto"/>
        </w:rPr>
      </w:pPr>
      <w:r>
        <w:rPr>
          <w:rFonts w:ascii="Arial" w:cs="Arial" w:eastAsia="Arial" w:hAnsi="Arial"/>
          <w:sz w:val="16"/>
          <w:szCs w:val="16"/>
          <w:u w:val="single" w:color="auto"/>
          <w:color w:val="auto"/>
        </w:rPr>
        <w:t>ASU No. 2016-13 - “Financial Instruments-Credit Losses” (Topic 326).</w:t>
      </w:r>
      <w:r>
        <w:rPr>
          <w:rFonts w:ascii="Arial" w:cs="Arial" w:eastAsia="Arial" w:hAnsi="Arial"/>
          <w:sz w:val="16"/>
          <w:szCs w:val="16"/>
          <w:color w:val="auto"/>
        </w:rPr>
        <w:t xml:space="preserve"> ASU 2016-13 requires the use of an impairment methodology that reflects an estimate of expected credit losses, measured over the contractual life of an instrument, based on information about past events, current conditions, and forecasts of future economic conditions. We adopted ASU 2016-13 in the 2020 first quarter using the modified retrospective transition method. Upon adoption, we increased our allowance for credit losses in the “Accounts and notes receivable, net” caption of our Balance Sheets by $19 million, from $82 million at December 31, 2019 to $101 million at January 1, 2020. We also recorded a $4 million decrease in the “Deferred tax liabilities” caption of our Balance Sheets and a $15 million cumulative-effect adjustment to retained earnings on our Balance Sheets.</w:t>
      </w:r>
    </w:p>
    <w:p>
      <w:pPr>
        <w:spacing w:after="0" w:line="110" w:lineRule="exact"/>
        <w:rPr>
          <w:sz w:val="20"/>
          <w:szCs w:val="20"/>
          <w:color w:val="auto"/>
        </w:rPr>
      </w:pPr>
    </w:p>
    <w:p>
      <w:pPr>
        <w:ind w:right="120" w:firstLine="395"/>
        <w:spacing w:after="0" w:line="267" w:lineRule="auto"/>
        <w:rPr>
          <w:sz w:val="20"/>
          <w:szCs w:val="20"/>
          <w:color w:val="auto"/>
        </w:rPr>
      </w:pPr>
      <w:r>
        <w:rPr>
          <w:rFonts w:ascii="Arial" w:cs="Arial" w:eastAsia="Arial" w:hAnsi="Arial"/>
          <w:sz w:val="18"/>
          <w:szCs w:val="18"/>
          <w:color w:val="auto"/>
        </w:rPr>
        <w:t xml:space="preserve">Additionally, we recorded a provision for credit losses of $136 million in 2020, primarily due to the negative economic impact caused by </w:t>
      </w:r>
      <w:r>
        <w:rPr>
          <w:rFonts w:ascii="Arial" w:cs="Arial" w:eastAsia="Arial" w:hAnsi="Arial"/>
          <w:sz w:val="19"/>
          <w:szCs w:val="19"/>
          <w:color w:val="auto"/>
        </w:rPr>
        <w:t>COVID-19</w:t>
      </w:r>
      <w:r>
        <w:rPr>
          <w:rFonts w:ascii="Arial" w:cs="Arial" w:eastAsia="Arial" w:hAnsi="Arial"/>
          <w:sz w:val="18"/>
          <w:szCs w:val="18"/>
          <w:color w:val="auto"/>
        </w:rPr>
        <w:t xml:space="preserve"> and our estimate of future economic conditions. The allowance for credit losses was $207 million at December 31,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RESTRUCTURING CHARGES</w:t>
      </w:r>
    </w:p>
    <w:p>
      <w:pPr>
        <w:spacing w:after="0" w:line="167" w:lineRule="exact"/>
        <w:rPr>
          <w:sz w:val="20"/>
          <w:szCs w:val="20"/>
          <w:color w:val="auto"/>
        </w:rPr>
      </w:pPr>
    </w:p>
    <w:p>
      <w:pPr>
        <w:ind w:right="320" w:firstLine="395"/>
        <w:spacing w:after="0" w:line="290" w:lineRule="auto"/>
        <w:rPr>
          <w:sz w:val="20"/>
          <w:szCs w:val="20"/>
          <w:color w:val="auto"/>
        </w:rPr>
      </w:pPr>
      <w:r>
        <w:rPr>
          <w:rFonts w:ascii="Arial" w:cs="Arial" w:eastAsia="Arial" w:hAnsi="Arial"/>
          <w:sz w:val="16"/>
          <w:szCs w:val="16"/>
          <w:color w:val="auto"/>
        </w:rPr>
        <w:t xml:space="preserve">Beginning in the 2020 second quarter, we initiated several regional restructuring plans to achieve cost savings in response to the decline in lodging demand caused by </w:t>
      </w:r>
      <w:r>
        <w:rPr>
          <w:rFonts w:ascii="Arial" w:cs="Arial" w:eastAsia="Arial" w:hAnsi="Arial"/>
          <w:sz w:val="17"/>
          <w:szCs w:val="17"/>
          <w:color w:val="auto"/>
        </w:rPr>
        <w:t>COVID-19</w:t>
      </w:r>
      <w:r>
        <w:rPr>
          <w:rFonts w:ascii="Arial" w:cs="Arial" w:eastAsia="Arial" w:hAnsi="Arial"/>
          <w:sz w:val="16"/>
          <w:szCs w:val="16"/>
          <w:color w:val="auto"/>
        </w:rPr>
        <w:t>. In 2020, we recorded $366 million of restructuring charges for above-property, property-level, and owned and leased properties employee termination benefits, of which we present $56 million in the “Restructuring and merger-related charges” caption and $310 million in the “Reimbursed expenses” caption of our Income Statements. Our U.S. &amp; Canada segment recorded $255 million of the total restructuring charges in 2020.</w:t>
      </w:r>
    </w:p>
    <w:p>
      <w:pPr>
        <w:spacing w:after="0" w:line="110" w:lineRule="exact"/>
        <w:rPr>
          <w:sz w:val="20"/>
          <w:szCs w:val="20"/>
          <w:color w:val="auto"/>
        </w:rPr>
      </w:pPr>
    </w:p>
    <w:p>
      <w:pPr>
        <w:ind w:right="440" w:firstLine="395"/>
        <w:spacing w:after="0" w:line="252" w:lineRule="auto"/>
        <w:rPr>
          <w:sz w:val="20"/>
          <w:szCs w:val="20"/>
          <w:color w:val="auto"/>
        </w:rPr>
      </w:pPr>
      <w:r>
        <w:rPr>
          <w:rFonts w:ascii="Arial" w:cs="Arial" w:eastAsia="Arial" w:hAnsi="Arial"/>
          <w:sz w:val="18"/>
          <w:szCs w:val="18"/>
          <w:color w:val="auto"/>
        </w:rPr>
        <w:t>In 2020, we recorded $117 million of global above-property restructuring charges, of which we present $44 million in the “Restructuring and merger-related charges” caption and $73 million in the “Reimbursed expenses” caption of our Income Statements. We have substantially completed the programs relating to our above-property organization as of year-end 2020.</w:t>
      </w:r>
    </w:p>
    <w:p>
      <w:pPr>
        <w:spacing w:after="0" w:line="138" w:lineRule="exact"/>
        <w:rPr>
          <w:sz w:val="20"/>
          <w:szCs w:val="20"/>
          <w:color w:val="auto"/>
        </w:rPr>
      </w:pPr>
    </w:p>
    <w:p>
      <w:pPr>
        <w:ind w:right="120" w:firstLine="395"/>
        <w:spacing w:after="0" w:line="252" w:lineRule="auto"/>
        <w:rPr>
          <w:sz w:val="20"/>
          <w:szCs w:val="20"/>
          <w:color w:val="auto"/>
        </w:rPr>
      </w:pPr>
      <w:r>
        <w:rPr>
          <w:rFonts w:ascii="Arial" w:cs="Arial" w:eastAsia="Arial" w:hAnsi="Arial"/>
          <w:sz w:val="18"/>
          <w:szCs w:val="18"/>
          <w:color w:val="auto"/>
        </w:rPr>
        <w:t>In 2020, we recorded $249 million of property-level and owned and leased properties restructuring charges, of which we present $12 million in the “Restructuring and merger-related charges” caption and $237 million in the “Reimbursed expenses” caption of our Income Statements. We anticipate additional property-level and owned and leased properties restructuring charges in future quarters.</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our restructuring reserve activity during the period:</w:t>
      </w:r>
    </w:p>
    <w:p>
      <w:pPr>
        <w:spacing w:after="0" w:line="191" w:lineRule="exact"/>
        <w:rPr>
          <w:sz w:val="20"/>
          <w:szCs w:val="20"/>
          <w:color w:val="auto"/>
        </w:rPr>
      </w:pPr>
    </w:p>
    <w:tbl>
      <w:tblPr>
        <w:tblLayout w:type="fixed"/>
        <w:tblInd w:w="1040" w:type="dxa"/>
        <w:tblCellMar>
          <w:top w:w="0" w:type="dxa"/>
          <w:left w:w="0" w:type="dxa"/>
          <w:bottom w:w="0" w:type="dxa"/>
          <w:right w:w="0" w:type="dxa"/>
        </w:tblCellMar>
      </w:tblPr>
      <w:tr>
        <w:trPr>
          <w:trHeight w:val="188"/>
        </w:trPr>
        <w:tc>
          <w:tcPr>
            <w:tcW w:w="8000" w:type="dxa"/>
            <w:vAlign w:val="bottom"/>
            <w:tcBorders>
              <w:bottom w:val="single" w:sz="8" w:color="CCEEFF"/>
            </w:tcBorders>
          </w:tcPr>
          <w:p>
            <w:pPr>
              <w:ind w:left="400"/>
              <w:spacing w:after="0"/>
              <w:rPr>
                <w:sz w:val="20"/>
                <w:szCs w:val="20"/>
                <w:color w:val="auto"/>
              </w:rPr>
            </w:pPr>
            <w:r>
              <w:rPr>
                <w:rFonts w:ascii="Arial" w:cs="Arial" w:eastAsia="Arial" w:hAnsi="Arial"/>
                <w:sz w:val="14"/>
                <w:szCs w:val="14"/>
                <w:i w:val="1"/>
                <w:iCs w:val="1"/>
                <w:color w:val="auto"/>
              </w:rPr>
              <w:t>($ in millions)</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Employee termination benefi</w:t>
            </w:r>
          </w:p>
        </w:tc>
      </w:tr>
      <w:tr>
        <w:trPr>
          <w:trHeight w:val="183"/>
        </w:trPr>
        <w:tc>
          <w:tcPr>
            <w:tcW w:w="80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Balance at December 31, 2019</w:t>
            </w:r>
          </w:p>
        </w:tc>
        <w:tc>
          <w:tcPr>
            <w:tcW w:w="2300" w:type="dxa"/>
            <w:vAlign w:val="bottom"/>
            <w:shd w:val="clear" w:color="auto" w:fill="CCEEFF"/>
          </w:tcPr>
          <w:p>
            <w:pPr>
              <w:jc w:val="right"/>
              <w:ind w:right="1750"/>
              <w:spacing w:after="0"/>
              <w:rPr>
                <w:sz w:val="20"/>
                <w:szCs w:val="20"/>
                <w:color w:val="auto"/>
              </w:rPr>
            </w:pPr>
            <w:r>
              <w:rPr>
                <w:rFonts w:ascii="Arial" w:cs="Arial" w:eastAsia="Arial" w:hAnsi="Arial"/>
                <w:sz w:val="14"/>
                <w:szCs w:val="14"/>
                <w:color w:val="auto"/>
              </w:rPr>
              <w:t>$</w:t>
            </w:r>
          </w:p>
        </w:tc>
      </w:tr>
      <w:tr>
        <w:trPr>
          <w:trHeight w:val="182"/>
        </w:trPr>
        <w:tc>
          <w:tcPr>
            <w:tcW w:w="8000" w:type="dxa"/>
            <w:vAlign w:val="bottom"/>
          </w:tcPr>
          <w:p>
            <w:pPr>
              <w:ind w:left="600"/>
              <w:spacing w:after="0"/>
              <w:rPr>
                <w:sz w:val="20"/>
                <w:szCs w:val="20"/>
                <w:color w:val="auto"/>
              </w:rPr>
            </w:pPr>
            <w:r>
              <w:rPr>
                <w:rFonts w:ascii="Arial" w:cs="Arial" w:eastAsia="Arial" w:hAnsi="Arial"/>
                <w:sz w:val="14"/>
                <w:szCs w:val="14"/>
                <w:color w:val="auto"/>
              </w:rPr>
              <w:t>Charges</w:t>
            </w:r>
          </w:p>
        </w:tc>
        <w:tc>
          <w:tcPr>
            <w:tcW w:w="2300" w:type="dxa"/>
            <w:vAlign w:val="bottom"/>
          </w:tcPr>
          <w:p>
            <w:pPr>
              <w:spacing w:after="0"/>
              <w:rPr>
                <w:sz w:val="15"/>
                <w:szCs w:val="15"/>
                <w:color w:val="auto"/>
              </w:rPr>
            </w:pPr>
          </w:p>
        </w:tc>
      </w:tr>
      <w:tr>
        <w:trPr>
          <w:trHeight w:val="187"/>
        </w:trPr>
        <w:tc>
          <w:tcPr>
            <w:tcW w:w="80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Cash payments</w:t>
            </w:r>
          </w:p>
        </w:tc>
        <w:tc>
          <w:tcPr>
            <w:tcW w:w="2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800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Other</w:t>
            </w:r>
          </w:p>
        </w:tc>
        <w:tc>
          <w:tcPr>
            <w:tcW w:w="2300" w:type="dxa"/>
            <w:vAlign w:val="bottom"/>
            <w:tcBorders>
              <w:bottom w:val="single" w:sz="8" w:color="auto"/>
            </w:tcBorders>
          </w:tcPr>
          <w:p>
            <w:pPr>
              <w:spacing w:after="0"/>
              <w:rPr>
                <w:sz w:val="15"/>
                <w:szCs w:val="15"/>
                <w:color w:val="auto"/>
              </w:rPr>
            </w:pPr>
          </w:p>
        </w:tc>
      </w:tr>
      <w:tr>
        <w:trPr>
          <w:trHeight w:val="205"/>
        </w:trPr>
        <w:tc>
          <w:tcPr>
            <w:tcW w:w="80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Balance at December 31, 2020, classified in “Accrued expenses and other”</w:t>
            </w:r>
          </w:p>
        </w:tc>
        <w:tc>
          <w:tcPr>
            <w:tcW w:w="2300" w:type="dxa"/>
            <w:vAlign w:val="bottom"/>
            <w:tcBorders>
              <w:bottom w:val="single" w:sz="8" w:color="auto"/>
            </w:tcBorders>
            <w:shd w:val="clear" w:color="auto" w:fill="CCEEFF"/>
          </w:tcPr>
          <w:p>
            <w:pPr>
              <w:jc w:val="right"/>
              <w:ind w:right="1750"/>
              <w:spacing w:after="0"/>
              <w:rPr>
                <w:sz w:val="20"/>
                <w:szCs w:val="20"/>
                <w:color w:val="auto"/>
              </w:rPr>
            </w:pPr>
            <w:r>
              <w:rPr>
                <w:rFonts w:ascii="Arial" w:cs="Arial" w:eastAsia="Arial" w:hAnsi="Arial"/>
                <w:sz w:val="14"/>
                <w:szCs w:val="14"/>
                <w:color w:val="auto"/>
              </w:rPr>
              <w:t>$</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DISPOSITIONS AND ACQUISITIONS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2020, we sold one U.S. &amp; Canada property for $268 million. We continue to operate the hotel under a long-term management agreement.</w:t>
      </w:r>
    </w:p>
    <w:p>
      <w:pPr>
        <w:spacing w:after="0" w:line="184" w:lineRule="exact"/>
        <w:rPr>
          <w:sz w:val="20"/>
          <w:szCs w:val="20"/>
          <w:color w:val="auto"/>
        </w:rPr>
      </w:pPr>
    </w:p>
    <w:p>
      <w:pPr>
        <w:ind w:right="400" w:firstLine="395"/>
        <w:spacing w:after="0" w:line="261" w:lineRule="auto"/>
        <w:rPr>
          <w:sz w:val="20"/>
          <w:szCs w:val="20"/>
          <w:color w:val="auto"/>
        </w:rPr>
      </w:pPr>
      <w:r>
        <w:rPr>
          <w:rFonts w:ascii="Arial" w:cs="Arial" w:eastAsia="Arial" w:hAnsi="Arial"/>
          <w:sz w:val="18"/>
          <w:szCs w:val="18"/>
          <w:color w:val="auto"/>
        </w:rPr>
        <w:t>In 2019, we sold two U.S. &amp; Canada properties and recognized total gains of $134 million in the “Gains and other income, net” caption of our Income Statements. We continue to operate the hotels under long-term management agreements.</w:t>
      </w:r>
    </w:p>
    <w:p>
      <w:pPr>
        <w:spacing w:after="0" w:line="129" w:lineRule="exact"/>
        <w:rPr>
          <w:sz w:val="20"/>
          <w:szCs w:val="20"/>
          <w:color w:val="auto"/>
        </w:rPr>
      </w:pPr>
    </w:p>
    <w:p>
      <w:pPr>
        <w:ind w:right="220" w:firstLine="395"/>
        <w:spacing w:after="0" w:line="252" w:lineRule="auto"/>
        <w:rPr>
          <w:sz w:val="20"/>
          <w:szCs w:val="20"/>
          <w:color w:val="auto"/>
        </w:rPr>
      </w:pPr>
      <w:r>
        <w:rPr>
          <w:rFonts w:ascii="Arial" w:cs="Arial" w:eastAsia="Arial" w:hAnsi="Arial"/>
          <w:sz w:val="18"/>
          <w:szCs w:val="18"/>
          <w:color w:val="auto"/>
        </w:rPr>
        <w:t>In 2018, we sold two U.S. &amp; Canada properties, two Asia Pacific properties, and two Caribbean and Latin America properties and recognized total gains of $132 million in the “Gains and other income, net” caption of our Income Statements. We continue to operate all but one of these hotels under long-term management agreements.</w:t>
      </w:r>
    </w:p>
    <w:p>
      <w:pPr>
        <w:spacing w:after="0" w:line="200" w:lineRule="exact"/>
        <w:rPr>
          <w:sz w:val="20"/>
          <w:szCs w:val="20"/>
          <w:color w:val="auto"/>
        </w:rPr>
      </w:pPr>
    </w:p>
    <w:p>
      <w:pPr>
        <w:spacing w:after="0" w:line="31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20" w:firstLine="395"/>
        <w:spacing w:after="0" w:line="291" w:lineRule="auto"/>
        <w:rPr>
          <w:sz w:val="20"/>
          <w:szCs w:val="20"/>
          <w:color w:val="auto"/>
        </w:rPr>
      </w:pPr>
      <w:r>
        <w:rPr>
          <w:rFonts w:ascii="Arial" w:cs="Arial" w:eastAsia="Arial" w:hAnsi="Arial"/>
          <w:sz w:val="16"/>
          <w:szCs w:val="16"/>
          <w:color w:val="auto"/>
        </w:rPr>
        <w:t>In 2018, we sold our interest in three equity method investments, whose assets included a plot of land in Italy, a Caribbean and Latin America property, and an Asia Pacific property, and we recognized total gains of $42 million in the “Gains and other income, net” caption of our Income Statements. Also, in 2018, third-party investees sold a Caribbean and Latin America property and a U.S. &amp; Canada property, and we recorded our share of the gains of $55 million and $10 million, respectively, in the “Equity in (losses) earnings” caption of our Income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61" w:lineRule="exact"/>
        <w:rPr>
          <w:sz w:val="20"/>
          <w:szCs w:val="20"/>
          <w:color w:val="auto"/>
        </w:rPr>
      </w:pPr>
    </w:p>
    <w:p>
      <w:pPr>
        <w:jc w:val="both"/>
        <w:ind w:right="200" w:firstLine="395"/>
        <w:spacing w:after="0" w:line="252" w:lineRule="auto"/>
        <w:rPr>
          <w:sz w:val="20"/>
          <w:szCs w:val="20"/>
          <w:color w:val="auto"/>
        </w:rPr>
      </w:pPr>
      <w:r>
        <w:rPr>
          <w:rFonts w:ascii="Arial" w:cs="Arial" w:eastAsia="Arial" w:hAnsi="Arial"/>
          <w:sz w:val="18"/>
          <w:szCs w:val="18"/>
          <w:color w:val="auto"/>
        </w:rPr>
        <w:t>In 2019, we completed the acquisition of Elegant Hotels Group plc (“Elegant”) for $128 million in cash and assumed Elegant’s net debt outstanding of $63 million, which we subsequently repaid in January 2020. As a result of the transaction, we added seven hotels and a beachfront restaurant on the island of Barbados to our Caribbean and Latin America owned and leased portfolio.</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2019, we purchased a U.S. &amp; Canada property for $206 million.</w:t>
      </w:r>
    </w:p>
    <w:p>
      <w:pPr>
        <w:spacing w:after="0" w:line="161" w:lineRule="exact"/>
        <w:rPr>
          <w:sz w:val="20"/>
          <w:szCs w:val="20"/>
          <w:color w:val="auto"/>
        </w:rPr>
      </w:pPr>
    </w:p>
    <w:p>
      <w:pPr>
        <w:ind w:firstLine="395"/>
        <w:spacing w:after="0" w:line="252" w:lineRule="auto"/>
        <w:rPr>
          <w:sz w:val="20"/>
          <w:szCs w:val="20"/>
          <w:color w:val="auto"/>
        </w:rPr>
      </w:pPr>
      <w:r>
        <w:rPr>
          <w:rFonts w:ascii="Arial" w:cs="Arial" w:eastAsia="Arial" w:hAnsi="Arial"/>
          <w:sz w:val="18"/>
          <w:szCs w:val="18"/>
          <w:color w:val="auto"/>
        </w:rPr>
        <w:t>In 2019, we accelerated our option to acquire our partner’s remaining interests in two joint ventures. As a result of the transaction, we recognized an indefinite-lived brand asset for AC Hotels by Marriott of $156 million and management and franchise contract assets, with a weighted-average term of 24 years totaling $34 million.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167" w:lineRule="exact"/>
        <w:rPr>
          <w:sz w:val="20"/>
          <w:szCs w:val="20"/>
          <w:color w:val="auto"/>
        </w:rPr>
      </w:pPr>
    </w:p>
    <w:p>
      <w:pPr>
        <w:ind w:right="280" w:firstLine="434"/>
        <w:spacing w:after="0" w:line="324" w:lineRule="auto"/>
        <w:rPr>
          <w:sz w:val="20"/>
          <w:szCs w:val="20"/>
          <w:color w:val="auto"/>
        </w:rPr>
      </w:pPr>
      <w:r>
        <w:rPr>
          <w:rFonts w:ascii="Arial" w:cs="Arial" w:eastAsia="Arial" w:hAnsi="Arial"/>
          <w:sz w:val="16"/>
          <w:szCs w:val="16"/>
          <w:color w:val="auto"/>
        </w:rPr>
        <w:t>The table below illustrates the reconciliation of the earnings and number of shares used in our calculations of basic and diluted earnings per share, the latter of which uses the treasury stock method in order to calculate the dilutive effect of the Company’s potential common stock:</w:t>
      </w:r>
    </w:p>
    <w:p>
      <w:pPr>
        <w:spacing w:after="0" w:line="46" w:lineRule="exact"/>
        <w:rPr>
          <w:sz w:val="20"/>
          <w:szCs w:val="20"/>
          <w:color w:val="auto"/>
        </w:rPr>
      </w:pPr>
    </w:p>
    <w:tbl>
      <w:tblPr>
        <w:tblLayout w:type="fixed"/>
        <w:tblInd w:w="780" w:type="dxa"/>
        <w:tblCellMar>
          <w:top w:w="0" w:type="dxa"/>
          <w:left w:w="0" w:type="dxa"/>
          <w:bottom w:w="0" w:type="dxa"/>
          <w:right w:w="0" w:type="dxa"/>
        </w:tblCellMar>
      </w:tblPr>
      <w:tr>
        <w:trPr>
          <w:trHeight w:val="188"/>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2018</w:t>
            </w:r>
          </w:p>
        </w:tc>
      </w:tr>
      <w:tr>
        <w:trPr>
          <w:trHeight w:val="170"/>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Computation of Basic (Loss) Earnings Per Share</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2"/>
        </w:trPr>
        <w:tc>
          <w:tcPr>
            <w:tcW w:w="5200" w:type="dxa"/>
            <w:vAlign w:val="bottom"/>
          </w:tcPr>
          <w:p>
            <w:pPr>
              <w:ind w:left="320"/>
              <w:spacing w:after="0"/>
              <w:rPr>
                <w:sz w:val="20"/>
                <w:szCs w:val="20"/>
                <w:color w:val="auto"/>
              </w:rPr>
            </w:pPr>
            <w:r>
              <w:rPr>
                <w:rFonts w:ascii="Arial" w:cs="Arial" w:eastAsia="Arial" w:hAnsi="Arial"/>
                <w:sz w:val="14"/>
                <w:szCs w:val="14"/>
                <w:color w:val="auto"/>
              </w:rPr>
              <w:t>Net (loss) income</w:t>
            </w: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5"/>
                <w:szCs w:val="15"/>
                <w:color w:val="auto"/>
              </w:rPr>
            </w:pP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1,273</w:t>
            </w:r>
          </w:p>
        </w:tc>
        <w:tc>
          <w:tcPr>
            <w:tcW w:w="100" w:type="dxa"/>
            <w:vAlign w:val="bottom"/>
          </w:tcPr>
          <w:p>
            <w:pPr>
              <w:spacing w:after="0"/>
              <w:rPr>
                <w:sz w:val="15"/>
                <w:szCs w:val="15"/>
                <w:color w:val="auto"/>
              </w:rPr>
            </w:pP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1,907</w:t>
            </w:r>
          </w:p>
        </w:tc>
      </w:tr>
      <w:tr>
        <w:trPr>
          <w:trHeight w:val="184"/>
        </w:trPr>
        <w:tc>
          <w:tcPr>
            <w:tcW w:w="52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Shares for basic (loss) earnings per share</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325.8</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332.7</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350.1</w:t>
            </w:r>
          </w:p>
        </w:tc>
      </w:tr>
      <w:tr>
        <w:trPr>
          <w:trHeight w:val="180"/>
        </w:trPr>
        <w:tc>
          <w:tcPr>
            <w:tcW w:w="5200" w:type="dxa"/>
            <w:vAlign w:val="bottom"/>
          </w:tcPr>
          <w:p>
            <w:pPr>
              <w:ind w:left="320"/>
              <w:spacing w:after="0"/>
              <w:rPr>
                <w:sz w:val="20"/>
                <w:szCs w:val="20"/>
                <w:color w:val="auto"/>
              </w:rPr>
            </w:pPr>
            <w:r>
              <w:rPr>
                <w:rFonts w:ascii="Arial" w:cs="Arial" w:eastAsia="Arial" w:hAnsi="Arial"/>
                <w:sz w:val="14"/>
                <w:szCs w:val="14"/>
                <w:color w:val="auto"/>
              </w:rPr>
              <w:t>Basic (loss) earnings per share</w:t>
            </w:r>
          </w:p>
        </w:tc>
        <w:tc>
          <w:tcPr>
            <w:tcW w:w="3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(0.82)</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5.45</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51"/>
        </w:trPr>
        <w:tc>
          <w:tcPr>
            <w:tcW w:w="520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i w:val="1"/>
                <w:iCs w:val="1"/>
                <w:color w:val="auto"/>
              </w:rPr>
              <w:t>Computation of Diluted (Loss) Earnings Per Share</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82"/>
        </w:trPr>
        <w:tc>
          <w:tcPr>
            <w:tcW w:w="5200" w:type="dxa"/>
            <w:vAlign w:val="bottom"/>
          </w:tcPr>
          <w:p>
            <w:pPr>
              <w:ind w:left="320"/>
              <w:spacing w:after="0"/>
              <w:rPr>
                <w:sz w:val="20"/>
                <w:szCs w:val="20"/>
                <w:color w:val="auto"/>
              </w:rPr>
            </w:pPr>
            <w:r>
              <w:rPr>
                <w:rFonts w:ascii="Arial" w:cs="Arial" w:eastAsia="Arial" w:hAnsi="Arial"/>
                <w:sz w:val="14"/>
                <w:szCs w:val="14"/>
                <w:color w:val="auto"/>
              </w:rPr>
              <w:t>Net (loss) income</w:t>
            </w: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5"/>
                <w:szCs w:val="15"/>
                <w:color w:val="auto"/>
              </w:rPr>
            </w:pP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1,273</w:t>
            </w:r>
          </w:p>
        </w:tc>
        <w:tc>
          <w:tcPr>
            <w:tcW w:w="100" w:type="dxa"/>
            <w:vAlign w:val="bottom"/>
          </w:tcPr>
          <w:p>
            <w:pPr>
              <w:spacing w:after="0"/>
              <w:rPr>
                <w:sz w:val="15"/>
                <w:szCs w:val="15"/>
                <w:color w:val="auto"/>
              </w:rPr>
            </w:pP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1,907</w:t>
            </w:r>
          </w:p>
        </w:tc>
      </w:tr>
      <w:tr>
        <w:trPr>
          <w:trHeight w:val="187"/>
        </w:trPr>
        <w:tc>
          <w:tcPr>
            <w:tcW w:w="52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Shares for basic earnings per share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350.1</w:t>
            </w:r>
          </w:p>
        </w:tc>
      </w:tr>
      <w:tr>
        <w:trPr>
          <w:trHeight w:val="182"/>
        </w:trPr>
        <w:tc>
          <w:tcPr>
            <w:tcW w:w="5200" w:type="dxa"/>
            <w:vAlign w:val="bottom"/>
          </w:tcPr>
          <w:p>
            <w:pPr>
              <w:ind w:left="320"/>
              <w:spacing w:after="0"/>
              <w:rPr>
                <w:sz w:val="20"/>
                <w:szCs w:val="20"/>
                <w:color w:val="auto"/>
              </w:rPr>
            </w:pPr>
            <w:r>
              <w:rPr>
                <w:rFonts w:ascii="Arial" w:cs="Arial" w:eastAsia="Arial" w:hAnsi="Arial"/>
                <w:sz w:val="14"/>
                <w:szCs w:val="14"/>
                <w:color w:val="auto"/>
              </w:rPr>
              <w:t>Effect of dilutive securities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7"/>
        </w:trPr>
        <w:tc>
          <w:tcPr>
            <w:tcW w:w="5200" w:type="dxa"/>
            <w:vAlign w:val="bottom"/>
            <w:shd w:val="clear" w:color="auto" w:fill="CCEEFF"/>
          </w:tcPr>
          <w:p>
            <w:pPr>
              <w:ind w:left="640"/>
              <w:spacing w:after="0" w:line="187" w:lineRule="exact"/>
              <w:rPr>
                <w:sz w:val="20"/>
                <w:szCs w:val="20"/>
                <w:color w:val="auto"/>
              </w:rPr>
            </w:pPr>
            <w:r>
              <w:rPr>
                <w:rFonts w:ascii="Arial" w:cs="Arial" w:eastAsia="Arial" w:hAnsi="Arial"/>
                <w:sz w:val="14"/>
                <w:szCs w:val="14"/>
                <w:color w:val="auto"/>
              </w:rPr>
              <w:t>Stock-based compensation</w:t>
            </w:r>
            <w:r>
              <w:rPr>
                <w:rFonts w:ascii="Arial" w:cs="Arial" w:eastAsia="Arial" w:hAnsi="Arial"/>
                <w:sz w:val="18"/>
                <w:szCs w:val="18"/>
                <w:color w:val="auto"/>
                <w:vertAlign w:val="superscript"/>
              </w:rPr>
              <w:t>(1)</w:t>
            </w:r>
          </w:p>
        </w:tc>
        <w:tc>
          <w:tcPr>
            <w:tcW w:w="3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r>
      <w:tr>
        <w:trPr>
          <w:trHeight w:val="175"/>
        </w:trPr>
        <w:tc>
          <w:tcPr>
            <w:tcW w:w="5200" w:type="dxa"/>
            <w:vAlign w:val="bottom"/>
            <w:tcBorders>
              <w:bottom w:val="single" w:sz="8" w:color="CCEEFF"/>
            </w:tcBorders>
          </w:tcPr>
          <w:p>
            <w:pPr>
              <w:ind w:left="640"/>
              <w:spacing w:after="0"/>
              <w:rPr>
                <w:sz w:val="20"/>
                <w:szCs w:val="20"/>
                <w:color w:val="auto"/>
              </w:rPr>
            </w:pPr>
            <w:r>
              <w:rPr>
                <w:rFonts w:ascii="Arial" w:cs="Arial" w:eastAsia="Arial" w:hAnsi="Arial"/>
                <w:sz w:val="14"/>
                <w:szCs w:val="14"/>
                <w:color w:val="auto"/>
              </w:rPr>
              <w:t>Shares for diluted (loss) earnings per share</w:t>
            </w: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325.8</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335.5</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354.2</w:t>
            </w:r>
          </w:p>
        </w:tc>
      </w:tr>
      <w:tr>
        <w:trPr>
          <w:trHeight w:val="205"/>
        </w:trPr>
        <w:tc>
          <w:tcPr>
            <w:tcW w:w="52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Diluted (loss) earnings per share</w:t>
            </w: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1080" w:hanging="127"/>
        <w:spacing w:after="0"/>
        <w:tabs>
          <w:tab w:leader="none" w:pos="1080" w:val="left"/>
        </w:tabs>
        <w:numPr>
          <w:ilvl w:val="0"/>
          <w:numId w:val="22"/>
        </w:numPr>
        <w:rPr>
          <w:rFonts w:ascii="Arial" w:cs="Arial" w:eastAsia="Arial" w:hAnsi="Arial"/>
          <w:sz w:val="9"/>
          <w:szCs w:val="9"/>
          <w:color w:val="auto"/>
        </w:rPr>
      </w:pPr>
      <w:r>
        <w:rPr>
          <w:rFonts w:ascii="Arial" w:cs="Arial" w:eastAsia="Arial" w:hAnsi="Arial"/>
          <w:sz w:val="14"/>
          <w:szCs w:val="14"/>
          <w:color w:val="auto"/>
        </w:rPr>
        <w:t>For the calculation of diluted loss per share for year-end 2020, we excluded share-based compensation securities of 1.4 million because the effect was anti-dilutive.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STOCK-BASED COMPENSATION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 and PSUs</w:t>
      </w:r>
    </w:p>
    <w:p>
      <w:pPr>
        <w:spacing w:after="0" w:line="161" w:lineRule="exact"/>
        <w:rPr>
          <w:sz w:val="20"/>
          <w:szCs w:val="20"/>
          <w:color w:val="auto"/>
        </w:rPr>
      </w:pPr>
    </w:p>
    <w:p>
      <w:pPr>
        <w:ind w:right="40" w:firstLine="434"/>
        <w:spacing w:after="0" w:line="284" w:lineRule="auto"/>
        <w:rPr>
          <w:sz w:val="20"/>
          <w:szCs w:val="20"/>
          <w:color w:val="auto"/>
        </w:rPr>
      </w:pPr>
      <w:r>
        <w:rPr>
          <w:rFonts w:ascii="Arial" w:cs="Arial" w:eastAsia="Arial" w:hAnsi="Arial"/>
          <w:sz w:val="15"/>
          <w:szCs w:val="15"/>
          <w:color w:val="auto"/>
        </w:rPr>
        <w:t>We granted RSUs in the 2020 first quarter to certain officers and key employees, and those units vest generally over four years in equal annual installments commencing one year after the grant date. We also granted performance-based RSUs (“PSUs”) in the 2020 first quarter to certain executive officers, which are earned, subject to continued employment and the satisfaction of certain performance conditions based on achievement of pre-established targets for gross room openings, active Marriott Bonvoy loyalty member growth, and adjusted operating income growth over, or at the end of, a three-year performance period. Additionally, in the 2020 third quarter, as part of our effort to encourage associate retention in response to the severe impact of COVID-19 on our industry and Company, we accelerated the issuance of RSU awards to certain officers and key employees that ordinarily would have been made in the 2021 first quarter, and those units generally vest over four years and five months, with one quarter of the units vesting one year and five months after the grant date and the remaining units vesting in equal annual installments thereafter. We did not accelerate the issuance of awards for our most senior executives.</w:t>
      </w:r>
    </w:p>
    <w:p>
      <w:pPr>
        <w:spacing w:after="0" w:line="104" w:lineRule="exact"/>
        <w:rPr>
          <w:sz w:val="20"/>
          <w:szCs w:val="20"/>
          <w:color w:val="auto"/>
        </w:rPr>
      </w:pPr>
    </w:p>
    <w:p>
      <w:pPr>
        <w:ind w:firstLine="434"/>
        <w:spacing w:after="0" w:line="261" w:lineRule="auto"/>
        <w:rPr>
          <w:sz w:val="20"/>
          <w:szCs w:val="20"/>
          <w:color w:val="auto"/>
        </w:rPr>
      </w:pPr>
      <w:r>
        <w:rPr>
          <w:rFonts w:ascii="Arial" w:cs="Arial" w:eastAsia="Arial" w:hAnsi="Arial"/>
          <w:sz w:val="18"/>
          <w:szCs w:val="18"/>
          <w:color w:val="auto"/>
        </w:rPr>
        <w:t>We had deferred compensation costs for RSUs of approximately $301 million at year-end 2020 and $176 million at year-end 2019. The weighted average remaining term for RSUs outstanding at year-end 2020 was 2.5 years.</w:t>
      </w: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provides additional information on RSUs, including PSUs, for the last three fiscal years: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2018</w:t>
            </w:r>
          </w:p>
        </w:tc>
      </w:tr>
      <w:tr>
        <w:trPr>
          <w:trHeight w:val="183"/>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 (in millions)</w:t>
            </w: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r>
      <w:tr>
        <w:trPr>
          <w:trHeight w:val="182"/>
        </w:trPr>
        <w:tc>
          <w:tcPr>
            <w:tcW w:w="6060" w:type="dxa"/>
            <w:vAlign w:val="bottom"/>
          </w:tcPr>
          <w:p>
            <w:pPr>
              <w:ind w:left="20"/>
              <w:spacing w:after="0"/>
              <w:rPr>
                <w:sz w:val="20"/>
                <w:szCs w:val="20"/>
                <w:color w:val="auto"/>
              </w:rPr>
            </w:pPr>
            <w:r>
              <w:rPr>
                <w:rFonts w:ascii="Arial" w:cs="Arial" w:eastAsia="Arial" w:hAnsi="Arial"/>
                <w:sz w:val="14"/>
                <w:szCs w:val="14"/>
                <w:color w:val="auto"/>
              </w:rPr>
              <w:t>Weighted average grant-date fair value (per RSU)</w:t>
            </w: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5"/>
                <w:szCs w:val="15"/>
                <w:color w:val="auto"/>
              </w:rPr>
            </w:pP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132</w:t>
            </w:r>
          </w:p>
        </w:tc>
      </w:tr>
      <w:tr>
        <w:trPr>
          <w:trHeight w:val="187"/>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Aggregate intrinsic value of distributed RSUs (in millions)</w:t>
            </w: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r>
    </w:tbl>
    <w:p>
      <w:pPr>
        <w:spacing w:after="0" w:line="198" w:lineRule="exact"/>
        <w:rPr>
          <w:sz w:val="20"/>
          <w:szCs w:val="20"/>
          <w:color w:val="auto"/>
        </w:rPr>
      </w:pPr>
    </w:p>
    <w:p>
      <w:pPr>
        <w:ind w:right="440" w:firstLine="395"/>
        <w:spacing w:after="0" w:line="261" w:lineRule="auto"/>
        <w:rPr>
          <w:sz w:val="20"/>
          <w:szCs w:val="20"/>
          <w:color w:val="auto"/>
        </w:rPr>
      </w:pPr>
      <w:r>
        <w:rPr>
          <w:rFonts w:ascii="Arial" w:cs="Arial" w:eastAsia="Arial" w:hAnsi="Arial"/>
          <w:sz w:val="18"/>
          <w:szCs w:val="18"/>
          <w:color w:val="auto"/>
        </w:rPr>
        <w:t>The following table presents the changes in our outstanding RSUs, including PSUs, during 2020 and the associated weighted average grant-date fair values: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3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Number of RSUs (in millions)</w:t>
            </w:r>
          </w:p>
        </w:tc>
        <w:tc>
          <w:tcPr>
            <w:tcW w:w="100" w:type="dxa"/>
            <w:vAlign w:val="bottom"/>
          </w:tcPr>
          <w:p>
            <w:pPr>
              <w:spacing w:after="0"/>
              <w:rPr>
                <w:sz w:val="14"/>
                <w:szCs w:val="14"/>
                <w:color w:val="auto"/>
              </w:rPr>
            </w:pPr>
          </w:p>
        </w:tc>
        <w:tc>
          <w:tcPr>
            <w:tcW w:w="2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Weighted Average Grant-Date Fair Value</w:t>
            </w:r>
          </w:p>
        </w:tc>
        <w:tc>
          <w:tcPr>
            <w:tcW w:w="0" w:type="dxa"/>
            <w:vAlign w:val="bottom"/>
          </w:tcPr>
          <w:p>
            <w:pPr>
              <w:spacing w:after="0"/>
              <w:rPr>
                <w:sz w:val="1"/>
                <w:szCs w:val="1"/>
                <w:color w:val="auto"/>
              </w:rPr>
            </w:pPr>
          </w:p>
        </w:tc>
      </w:tr>
      <w:tr>
        <w:trPr>
          <w:trHeight w:val="184"/>
        </w:trPr>
        <w:tc>
          <w:tcPr>
            <w:tcW w:w="6220" w:type="dxa"/>
            <w:vAlign w:val="bottom"/>
            <w:tcBorders>
              <w:bottom w:val="single" w:sz="8" w:color="CCEEFF"/>
            </w:tcBorders>
          </w:tcPr>
          <w:p>
            <w:pPr>
              <w:spacing w:after="0"/>
              <w:rPr>
                <w:sz w:val="15"/>
                <w:szCs w:val="15"/>
                <w:color w:val="auto"/>
              </w:rPr>
            </w:pPr>
          </w:p>
        </w:tc>
        <w:tc>
          <w:tcPr>
            <w:tcW w:w="23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ind w:right="950"/>
              <w:spacing w:after="0"/>
              <w:rPr>
                <w:sz w:val="20"/>
                <w:szCs w:val="20"/>
                <w:color w:val="auto"/>
              </w:rPr>
            </w:pPr>
            <w:r>
              <w:rPr>
                <w:rFonts w:ascii="Arial" w:cs="Arial" w:eastAsia="Arial" w:hAnsi="Arial"/>
                <w:sz w:val="14"/>
                <w:szCs w:val="14"/>
                <w:b w:val="1"/>
                <w:bCs w:val="1"/>
                <w:color w:val="auto"/>
              </w:rPr>
              <w:t>(per unit)</w:t>
            </w:r>
          </w:p>
        </w:tc>
        <w:tc>
          <w:tcPr>
            <w:tcW w:w="0" w:type="dxa"/>
            <w:vAlign w:val="bottom"/>
          </w:tcPr>
          <w:p>
            <w:pPr>
              <w:spacing w:after="0"/>
              <w:rPr>
                <w:sz w:val="1"/>
                <w:szCs w:val="1"/>
                <w:color w:val="auto"/>
              </w:rPr>
            </w:pPr>
          </w:p>
        </w:tc>
      </w:tr>
      <w:tr>
        <w:trPr>
          <w:trHeight w:val="178"/>
        </w:trPr>
        <w:tc>
          <w:tcPr>
            <w:tcW w:w="62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Outstanding at year-end 2019</w:t>
            </w:r>
          </w:p>
        </w:tc>
        <w:tc>
          <w:tcPr>
            <w:tcW w:w="2300" w:type="dxa"/>
            <w:vAlign w:val="bottom"/>
            <w:shd w:val="clear" w:color="auto" w:fill="CCEEFF"/>
          </w:tcPr>
          <w:p>
            <w:pPr>
              <w:jc w:val="center"/>
              <w:ind w:left="1930"/>
              <w:spacing w:after="0"/>
              <w:rPr>
                <w:sz w:val="20"/>
                <w:szCs w:val="20"/>
                <w:color w:val="auto"/>
              </w:rPr>
            </w:pPr>
            <w:r>
              <w:rPr>
                <w:rFonts w:ascii="Arial" w:cs="Arial" w:eastAsia="Arial" w:hAnsi="Arial"/>
                <w:sz w:val="14"/>
                <w:szCs w:val="14"/>
                <w:color w:val="auto"/>
                <w:w w:val="92"/>
              </w:rPr>
              <w:t>4.1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90"/>
              <w:spacing w:after="0"/>
              <w:rPr>
                <w:sz w:val="20"/>
                <w:szCs w:val="20"/>
                <w:color w:val="auto"/>
              </w:rPr>
            </w:pPr>
            <w:r>
              <w:rPr>
                <w:rFonts w:ascii="Arial" w:cs="Arial" w:eastAsia="Arial" w:hAnsi="Arial"/>
                <w:sz w:val="14"/>
                <w:szCs w:val="14"/>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2"/>
        </w:trPr>
        <w:tc>
          <w:tcPr>
            <w:tcW w:w="6220" w:type="dxa"/>
            <w:vAlign w:val="bottom"/>
          </w:tcPr>
          <w:p>
            <w:pPr>
              <w:ind w:left="20"/>
              <w:spacing w:after="0"/>
              <w:rPr>
                <w:sz w:val="20"/>
                <w:szCs w:val="20"/>
                <w:color w:val="auto"/>
              </w:rPr>
            </w:pPr>
            <w:r>
              <w:rPr>
                <w:rFonts w:ascii="Arial" w:cs="Arial" w:eastAsia="Arial" w:hAnsi="Arial"/>
                <w:sz w:val="14"/>
                <w:szCs w:val="14"/>
                <w:color w:val="auto"/>
              </w:rPr>
              <w:t>Granted</w:t>
            </w:r>
          </w:p>
        </w:tc>
        <w:tc>
          <w:tcPr>
            <w:tcW w:w="2300" w:type="dxa"/>
            <w:vAlign w:val="bottom"/>
          </w:tcPr>
          <w:p>
            <w:pPr>
              <w:jc w:val="center"/>
              <w:ind w:left="1930"/>
              <w:spacing w:after="0"/>
              <w:rPr>
                <w:sz w:val="20"/>
                <w:szCs w:val="20"/>
                <w:color w:val="auto"/>
              </w:rPr>
            </w:pPr>
            <w:r>
              <w:rPr>
                <w:rFonts w:ascii="Arial" w:cs="Arial" w:eastAsia="Arial" w:hAnsi="Arial"/>
                <w:sz w:val="14"/>
                <w:szCs w:val="14"/>
                <w:color w:val="auto"/>
                <w:w w:val="92"/>
              </w:rPr>
              <w:t>3.6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87"/>
        </w:trPr>
        <w:tc>
          <w:tcPr>
            <w:tcW w:w="6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Distributed</w:t>
            </w:r>
          </w:p>
        </w:tc>
        <w:tc>
          <w:tcPr>
            <w:tcW w:w="2300" w:type="dxa"/>
            <w:vAlign w:val="bottom"/>
            <w:shd w:val="clear" w:color="auto" w:fill="CCEEFF"/>
          </w:tcPr>
          <w:p>
            <w:pPr>
              <w:jc w:val="center"/>
              <w:ind w:left="1910"/>
              <w:spacing w:after="0"/>
              <w:rPr>
                <w:sz w:val="20"/>
                <w:szCs w:val="20"/>
                <w:color w:val="auto"/>
              </w:rPr>
            </w:pPr>
            <w:r>
              <w:rPr>
                <w:rFonts w:ascii="Arial" w:cs="Arial" w:eastAsia="Arial" w:hAnsi="Arial"/>
                <w:sz w:val="14"/>
                <w:szCs w:val="14"/>
                <w:color w:val="auto"/>
                <w:w w:val="97"/>
              </w:rPr>
              <w:t>(1.6)</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82"/>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2300" w:type="dxa"/>
            <w:vAlign w:val="bottom"/>
            <w:tcBorders>
              <w:bottom w:val="single" w:sz="8" w:color="auto"/>
            </w:tcBorders>
          </w:tcPr>
          <w:p>
            <w:pPr>
              <w:jc w:val="center"/>
              <w:ind w:left="1910"/>
              <w:spacing w:after="0"/>
              <w:rPr>
                <w:sz w:val="20"/>
                <w:szCs w:val="20"/>
                <w:color w:val="auto"/>
              </w:rPr>
            </w:pPr>
            <w:r>
              <w:rPr>
                <w:rFonts w:ascii="Arial" w:cs="Arial" w:eastAsia="Arial" w:hAnsi="Arial"/>
                <w:sz w:val="14"/>
                <w:szCs w:val="14"/>
                <w:color w:val="auto"/>
                <w:w w:val="97"/>
              </w:rPr>
              <w:t>(0.3)</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20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05"/>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year-end 2020</w:t>
            </w:r>
          </w:p>
        </w:tc>
        <w:tc>
          <w:tcPr>
            <w:tcW w:w="2300" w:type="dxa"/>
            <w:vAlign w:val="bottom"/>
            <w:tcBorders>
              <w:bottom w:val="single" w:sz="8" w:color="auto"/>
            </w:tcBorders>
            <w:shd w:val="clear" w:color="auto" w:fill="CCEEFF"/>
          </w:tcPr>
          <w:p>
            <w:pPr>
              <w:jc w:val="center"/>
              <w:ind w:left="1930"/>
              <w:spacing w:after="0"/>
              <w:rPr>
                <w:sz w:val="20"/>
                <w:szCs w:val="20"/>
                <w:color w:val="auto"/>
              </w:rPr>
            </w:pPr>
            <w:r>
              <w:rPr>
                <w:rFonts w:ascii="Arial" w:cs="Arial" w:eastAsia="Arial" w:hAnsi="Arial"/>
                <w:sz w:val="14"/>
                <w:szCs w:val="14"/>
                <w:color w:val="auto"/>
                <w:w w:val="92"/>
              </w:rPr>
              <w:t>5.8</w:t>
            </w:r>
          </w:p>
        </w:tc>
        <w:tc>
          <w:tcPr>
            <w:tcW w:w="660" w:type="dxa"/>
            <w:vAlign w:val="bottom"/>
            <w:tcBorders>
              <w:bottom w:val="single" w:sz="8" w:color="CCEEFF"/>
            </w:tcBorders>
            <w:gridSpan w:val="2"/>
            <w:shd w:val="clear" w:color="auto" w:fill="CCEEFF"/>
          </w:tcPr>
          <w:p>
            <w:pPr>
              <w:jc w:val="right"/>
              <w:ind w:right="390"/>
              <w:spacing w:after="0"/>
              <w:rPr>
                <w:sz w:val="20"/>
                <w:szCs w:val="20"/>
                <w:color w:val="auto"/>
              </w:rPr>
            </w:pPr>
            <w:r>
              <w:rPr>
                <w:rFonts w:ascii="Arial" w:cs="Arial" w:eastAsia="Arial" w:hAnsi="Arial"/>
                <w:sz w:val="14"/>
                <w:szCs w:val="14"/>
                <w:color w:val="auto"/>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Information</w:t>
      </w:r>
    </w:p>
    <w:p>
      <w:pPr>
        <w:spacing w:after="0" w:line="161" w:lineRule="exact"/>
        <w:rPr>
          <w:sz w:val="20"/>
          <w:szCs w:val="20"/>
          <w:color w:val="auto"/>
        </w:rPr>
      </w:pPr>
    </w:p>
    <w:p>
      <w:pPr>
        <w:ind w:right="180" w:firstLine="395"/>
        <w:spacing w:after="0" w:line="261" w:lineRule="auto"/>
        <w:rPr>
          <w:sz w:val="20"/>
          <w:szCs w:val="20"/>
          <w:color w:val="auto"/>
        </w:rPr>
      </w:pPr>
      <w:r>
        <w:rPr>
          <w:rFonts w:ascii="Arial" w:cs="Arial" w:eastAsia="Arial" w:hAnsi="Arial"/>
          <w:sz w:val="18"/>
          <w:szCs w:val="18"/>
          <w:color w:val="auto"/>
        </w:rPr>
        <w:t>At year-end 2020, we had 27 million remaining shares authorized under the Marriott and Starwood Hotels &amp; Resorts Worldwide, LLC, formerly known as Starwood Hotels &amp; Resorts Worldwide, Inc. (“Starwood”) stock plans.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components of our (losses) earnings before income taxes for the last three fiscal years consisted of:</w:t>
      </w:r>
    </w:p>
    <w:p>
      <w:pPr>
        <w:spacing w:after="0" w:line="191" w:lineRule="exact"/>
        <w:rPr>
          <w:sz w:val="20"/>
          <w:szCs w:val="20"/>
          <w:color w:val="auto"/>
        </w:rPr>
      </w:pPr>
    </w:p>
    <w:tbl>
      <w:tblPr>
        <w:tblLayout w:type="fixed"/>
        <w:tblInd w:w="1500" w:type="dxa"/>
        <w:tblCellMar>
          <w:top w:w="0" w:type="dxa"/>
          <w:left w:w="0" w:type="dxa"/>
          <w:bottom w:w="0" w:type="dxa"/>
          <w:right w:w="0" w:type="dxa"/>
        </w:tblCellMar>
      </w:tblPr>
      <w:tr>
        <w:trPr>
          <w:trHeight w:val="188"/>
        </w:trPr>
        <w:tc>
          <w:tcPr>
            <w:tcW w:w="2840" w:type="dxa"/>
            <w:vAlign w:val="bottom"/>
            <w:tcBorders>
              <w:bottom w:val="single" w:sz="8" w:color="CCEEFF"/>
            </w:tcBorders>
          </w:tcPr>
          <w:p>
            <w:pPr>
              <w:ind w:left="420"/>
              <w:spacing w:after="0"/>
              <w:rPr>
                <w:sz w:val="20"/>
                <w:szCs w:val="20"/>
                <w:color w:val="auto"/>
              </w:rPr>
            </w:pPr>
            <w:r>
              <w:rPr>
                <w:rFonts w:ascii="Arial" w:cs="Arial" w:eastAsia="Arial" w:hAnsi="Arial"/>
                <w:sz w:val="14"/>
                <w:szCs w:val="14"/>
                <w:i w:val="1"/>
                <w:iCs w:val="1"/>
                <w:color w:val="auto"/>
              </w:rPr>
              <w:t>($ in millions)</w:t>
            </w:r>
          </w:p>
        </w:tc>
        <w:tc>
          <w:tcPr>
            <w:tcW w:w="7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2018</w:t>
            </w:r>
          </w:p>
        </w:tc>
      </w:tr>
      <w:tr>
        <w:trPr>
          <w:trHeight w:val="183"/>
        </w:trPr>
        <w:tc>
          <w:tcPr>
            <w:tcW w:w="28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U.S.</w:t>
            </w:r>
          </w:p>
        </w:tc>
        <w:tc>
          <w:tcPr>
            <w:tcW w:w="7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83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1,311</w:t>
            </w:r>
          </w:p>
        </w:tc>
      </w:tr>
      <w:tr>
        <w:trPr>
          <w:trHeight w:val="182"/>
        </w:trPr>
        <w:tc>
          <w:tcPr>
            <w:tcW w:w="2840" w:type="dxa"/>
            <w:vAlign w:val="bottom"/>
            <w:tcBorders>
              <w:bottom w:val="single" w:sz="8" w:color="CCEEFF"/>
            </w:tcBorders>
          </w:tcPr>
          <w:p>
            <w:pPr>
              <w:ind w:left="420"/>
              <w:spacing w:after="0"/>
              <w:rPr>
                <w:sz w:val="20"/>
                <w:szCs w:val="20"/>
                <w:color w:val="auto"/>
              </w:rPr>
            </w:pPr>
            <w:r>
              <w:rPr>
                <w:rFonts w:ascii="Arial" w:cs="Arial" w:eastAsia="Arial" w:hAnsi="Arial"/>
                <w:sz w:val="14"/>
                <w:szCs w:val="14"/>
                <w:color w:val="auto"/>
              </w:rPr>
              <w:t>Non-U.S.</w:t>
            </w:r>
          </w:p>
        </w:tc>
        <w:tc>
          <w:tcPr>
            <w:tcW w:w="7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1,050</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1,034</w:t>
            </w:r>
          </w:p>
        </w:tc>
      </w:tr>
      <w:tr>
        <w:trPr>
          <w:trHeight w:val="202"/>
        </w:trPr>
        <w:tc>
          <w:tcPr>
            <w:tcW w:w="28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1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1,599</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2,345</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benefit (provision) for income taxes for the last three fiscal years consisted of:</w:t>
      </w:r>
    </w:p>
    <w:p>
      <w:pPr>
        <w:spacing w:after="0" w:line="191" w:lineRule="exact"/>
        <w:rPr>
          <w:sz w:val="20"/>
          <w:szCs w:val="20"/>
          <w:color w:val="auto"/>
        </w:rPr>
      </w:pPr>
    </w:p>
    <w:tbl>
      <w:tblPr>
        <w:tblLayout w:type="fixed"/>
        <w:tblInd w:w="1500" w:type="dxa"/>
        <w:tblCellMar>
          <w:top w:w="0" w:type="dxa"/>
          <w:left w:w="0" w:type="dxa"/>
          <w:bottom w:w="0" w:type="dxa"/>
          <w:right w:w="0" w:type="dxa"/>
        </w:tblCellMar>
      </w:tblPr>
      <w:tr>
        <w:trPr>
          <w:trHeight w:val="188"/>
        </w:trPr>
        <w:tc>
          <w:tcPr>
            <w:tcW w:w="1380" w:type="dxa"/>
            <w:vAlign w:val="bottom"/>
            <w:tcBorders>
              <w:bottom w:val="single" w:sz="8" w:color="CCEEFF"/>
            </w:tcBorders>
          </w:tcPr>
          <w:p>
            <w:pPr>
              <w:ind w:left="420"/>
              <w:spacing w:after="0"/>
              <w:rPr>
                <w:sz w:val="20"/>
                <w:szCs w:val="20"/>
                <w:color w:val="auto"/>
              </w:rPr>
            </w:pPr>
            <w:r>
              <w:rPr>
                <w:rFonts w:ascii="Arial" w:cs="Arial" w:eastAsia="Arial" w:hAnsi="Arial"/>
                <w:sz w:val="14"/>
                <w:szCs w:val="14"/>
                <w:i w:val="1"/>
                <w:iCs w:val="1"/>
                <w:color w:val="auto"/>
              </w:rPr>
              <w:t>($ in millions)</w:t>
            </w:r>
          </w:p>
        </w:tc>
        <w:tc>
          <w:tcPr>
            <w:tcW w:w="15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2018</w:t>
            </w:r>
          </w:p>
        </w:tc>
      </w:tr>
      <w:tr>
        <w:trPr>
          <w:trHeight w:val="183"/>
        </w:trPr>
        <w:tc>
          <w:tcPr>
            <w:tcW w:w="13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Current</w:t>
            </w:r>
          </w:p>
        </w:tc>
        <w:tc>
          <w:tcPr>
            <w:tcW w:w="1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-U.S. Federal</w:t>
            </w:r>
          </w:p>
        </w:tc>
        <w:tc>
          <w:tcPr>
            <w:tcW w:w="7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r>
      <w:tr>
        <w:trPr>
          <w:trHeight w:val="182"/>
        </w:trPr>
        <w:tc>
          <w:tcPr>
            <w:tcW w:w="1380" w:type="dxa"/>
            <w:vAlign w:val="bottom"/>
          </w:tcPr>
          <w:p>
            <w:pPr>
              <w:spacing w:after="0"/>
              <w:rPr>
                <w:sz w:val="15"/>
                <w:szCs w:val="15"/>
                <w:color w:val="auto"/>
              </w:rPr>
            </w:pPr>
          </w:p>
        </w:tc>
        <w:tc>
          <w:tcPr>
            <w:tcW w:w="1580" w:type="dxa"/>
            <w:vAlign w:val="bottom"/>
          </w:tcPr>
          <w:p>
            <w:pPr>
              <w:ind w:left="180"/>
              <w:spacing w:after="0"/>
              <w:rPr>
                <w:sz w:val="20"/>
                <w:szCs w:val="20"/>
                <w:color w:val="auto"/>
              </w:rPr>
            </w:pPr>
            <w:r>
              <w:rPr>
                <w:rFonts w:ascii="Arial" w:cs="Arial" w:eastAsia="Arial" w:hAnsi="Arial"/>
                <w:sz w:val="14"/>
                <w:szCs w:val="14"/>
                <w:color w:val="auto"/>
              </w:rPr>
              <w:t>-U.S. State</w:t>
            </w:r>
          </w:p>
        </w:tc>
        <w:tc>
          <w:tcPr>
            <w:tcW w:w="7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184"/>
        </w:trPr>
        <w:tc>
          <w:tcPr>
            <w:tcW w:w="1380" w:type="dxa"/>
            <w:vAlign w:val="bottom"/>
            <w:shd w:val="clear" w:color="auto" w:fill="CCEEFF"/>
          </w:tcPr>
          <w:p>
            <w:pPr>
              <w:spacing w:after="0"/>
              <w:rPr>
                <w:sz w:val="16"/>
                <w:szCs w:val="16"/>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-Non-U.S.</w:t>
            </w:r>
          </w:p>
        </w:tc>
        <w:tc>
          <w:tcPr>
            <w:tcW w:w="7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w:t>
            </w:r>
          </w:p>
        </w:tc>
      </w:tr>
      <w:tr>
        <w:trPr>
          <w:trHeight w:val="177"/>
        </w:trPr>
        <w:tc>
          <w:tcPr>
            <w:tcW w:w="1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(490)</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(547)</w:t>
            </w:r>
          </w:p>
        </w:tc>
      </w:tr>
      <w:tr>
        <w:trPr>
          <w:trHeight w:val="253"/>
        </w:trPr>
        <w:tc>
          <w:tcPr>
            <w:tcW w:w="13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182"/>
        </w:trPr>
        <w:tc>
          <w:tcPr>
            <w:tcW w:w="1380" w:type="dxa"/>
            <w:vAlign w:val="bottom"/>
          </w:tcPr>
          <w:p>
            <w:pPr>
              <w:ind w:left="420"/>
              <w:spacing w:after="0"/>
              <w:rPr>
                <w:sz w:val="20"/>
                <w:szCs w:val="20"/>
                <w:color w:val="auto"/>
              </w:rPr>
            </w:pPr>
            <w:r>
              <w:rPr>
                <w:rFonts w:ascii="Arial" w:cs="Arial" w:eastAsia="Arial" w:hAnsi="Arial"/>
                <w:sz w:val="14"/>
                <w:szCs w:val="14"/>
                <w:color w:val="auto"/>
              </w:rPr>
              <w:t>Deferred</w:t>
            </w:r>
          </w:p>
        </w:tc>
        <w:tc>
          <w:tcPr>
            <w:tcW w:w="1580" w:type="dxa"/>
            <w:vAlign w:val="bottom"/>
          </w:tcPr>
          <w:p>
            <w:pPr>
              <w:ind w:left="180"/>
              <w:spacing w:after="0"/>
              <w:rPr>
                <w:sz w:val="20"/>
                <w:szCs w:val="20"/>
                <w:color w:val="auto"/>
              </w:rPr>
            </w:pPr>
            <w:r>
              <w:rPr>
                <w:rFonts w:ascii="Arial" w:cs="Arial" w:eastAsia="Arial" w:hAnsi="Arial"/>
                <w:sz w:val="14"/>
                <w:szCs w:val="14"/>
                <w:color w:val="auto"/>
              </w:rPr>
              <w:t>-U.S. Federal</w:t>
            </w:r>
          </w:p>
        </w:tc>
        <w:tc>
          <w:tcPr>
            <w:tcW w:w="7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87"/>
        </w:trPr>
        <w:tc>
          <w:tcPr>
            <w:tcW w:w="1380" w:type="dxa"/>
            <w:vAlign w:val="bottom"/>
            <w:shd w:val="clear" w:color="auto" w:fill="CCEEFF"/>
          </w:tcPr>
          <w:p>
            <w:pPr>
              <w:spacing w:after="0"/>
              <w:rPr>
                <w:sz w:val="16"/>
                <w:szCs w:val="16"/>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-U.S. State</w:t>
            </w:r>
          </w:p>
        </w:tc>
        <w:tc>
          <w:tcPr>
            <w:tcW w:w="7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82"/>
        </w:trPr>
        <w:tc>
          <w:tcPr>
            <w:tcW w:w="1380" w:type="dxa"/>
            <w:vAlign w:val="bottom"/>
            <w:tcBorders>
              <w:bottom w:val="single" w:sz="8" w:color="CCEEFF"/>
            </w:tcBorders>
          </w:tcPr>
          <w:p>
            <w:pPr>
              <w:spacing w:after="0"/>
              <w:rPr>
                <w:sz w:val="15"/>
                <w:szCs w:val="15"/>
                <w:color w:val="auto"/>
              </w:rPr>
            </w:pPr>
          </w:p>
        </w:tc>
        <w:tc>
          <w:tcPr>
            <w:tcW w:w="15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-Non-U.S.</w:t>
            </w:r>
          </w:p>
        </w:tc>
        <w:tc>
          <w:tcPr>
            <w:tcW w:w="7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r>
      <w:tr>
        <w:trPr>
          <w:trHeight w:val="177"/>
        </w:trPr>
        <w:tc>
          <w:tcPr>
            <w:tcW w:w="13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2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w:t>
            </w:r>
          </w:p>
        </w:tc>
      </w:tr>
      <w:tr>
        <w:trPr>
          <w:trHeight w:val="177"/>
        </w:trPr>
        <w:tc>
          <w:tcPr>
            <w:tcW w:w="1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15"/>
                <w:szCs w:val="15"/>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15"/>
                <w:szCs w:val="15"/>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w:t>
            </w:r>
          </w:p>
        </w:tc>
      </w:tr>
      <w:tr>
        <w:trPr>
          <w:trHeight w:val="22"/>
        </w:trPr>
        <w:tc>
          <w:tcPr>
            <w:tcW w:w="1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Unrecognized Tax Benefits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reconciles our unrecognized tax benefit balance for each year from the beginning of 2018 to the end of 2020:</w:t>
      </w:r>
    </w:p>
    <w:p>
      <w:pPr>
        <w:sectPr>
          <w:pgSz w:w="11900" w:h="16838" w:orient="portrait"/>
          <w:cols w:equalWidth="0" w:num="1">
            <w:col w:w="11240"/>
          </w:cols>
          <w:pgMar w:left="320" w:top="127" w:right="339" w:bottom="1440" w:gutter="0" w:footer="0" w:header="0"/>
        </w:sectPr>
      </w:pPr>
    </w:p>
    <w:p>
      <w:pPr>
        <w:spacing w:after="0" w:line="218" w:lineRule="exact"/>
        <w:rPr>
          <w:sz w:val="20"/>
          <w:szCs w:val="20"/>
          <w:color w:val="auto"/>
        </w:rPr>
      </w:pPr>
    </w:p>
    <w:p>
      <w:pPr>
        <w:ind w:left="820"/>
        <w:spacing w:after="0"/>
        <w:rPr>
          <w:sz w:val="20"/>
          <w:szCs w:val="20"/>
          <w:color w:val="auto"/>
        </w:rPr>
      </w:pPr>
      <w:r>
        <w:rPr>
          <w:rFonts w:ascii="Arial" w:cs="Arial" w:eastAsia="Arial" w:hAnsi="Arial"/>
          <w:sz w:val="14"/>
          <w:szCs w:val="14"/>
          <w:i w:val="1"/>
          <w:iCs w:val="1"/>
          <w:color w:val="auto"/>
        </w:rPr>
        <w:t>($ in millions)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4"/>
          <w:szCs w:val="14"/>
          <w:color w:val="auto"/>
        </w:rPr>
        <w:t>Unrecognized tax benefit at beginning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-98425</wp:posOffset>
            </wp:positionV>
            <wp:extent cx="6946900" cy="1250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46900" cy="125095"/>
                    </a:xfrm>
                    <a:prstGeom prst="rect">
                      <a:avLst/>
                    </a:prstGeom>
                    <a:noFill/>
                  </pic:spPr>
                </pic:pic>
              </a:graphicData>
            </a:graphic>
          </wp:anchor>
        </w:drawing>
      </w:r>
    </w:p>
    <w:p>
      <w:pPr>
        <w:spacing w:after="0" w:line="16"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Change attributable to tax positions taken in prior years</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Change attributable to tax positions taken during the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-83820</wp:posOffset>
            </wp:positionV>
            <wp:extent cx="6946900" cy="1168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46900" cy="116840"/>
                    </a:xfrm>
                    <a:prstGeom prst="rect">
                      <a:avLst/>
                    </a:prstGeom>
                    <a:noFill/>
                  </pic:spPr>
                </pic:pic>
              </a:graphicData>
            </a:graphic>
          </wp:anchor>
        </w:drawing>
      </w:r>
    </w:p>
    <w:p>
      <w:pPr>
        <w:spacing w:after="0" w:line="26"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Decrease attributable to settlements with taxing authorities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4"/>
          <w:szCs w:val="14"/>
          <w:color w:val="auto"/>
        </w:rPr>
        <w:t>Unrecognized tax benefit at year-end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-98425</wp:posOffset>
            </wp:positionV>
            <wp:extent cx="6946900" cy="1250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46900" cy="125095"/>
                    </a:xfrm>
                    <a:prstGeom prst="rect">
                      <a:avLst/>
                    </a:prstGeom>
                    <a:noFill/>
                  </pic:spPr>
                </pic:pic>
              </a:graphicData>
            </a:graphic>
          </wp:anchor>
        </w:drawing>
      </w:r>
    </w:p>
    <w:p>
      <w:pPr>
        <w:spacing w:after="0" w:line="16"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Change attributable to tax positions taken in prior years</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Change attributable to tax positions taken during the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-83820</wp:posOffset>
            </wp:positionV>
            <wp:extent cx="6946900" cy="1168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46900" cy="116840"/>
                    </a:xfrm>
                    <a:prstGeom prst="rect">
                      <a:avLst/>
                    </a:prstGeom>
                    <a:noFill/>
                  </pic:spPr>
                </pic:pic>
              </a:graphicData>
            </a:graphic>
          </wp:anchor>
        </w:drawing>
      </w:r>
    </w:p>
    <w:p>
      <w:pPr>
        <w:spacing w:after="0" w:line="26"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Decrease attributable to settlements with taxing authorities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4"/>
          <w:szCs w:val="14"/>
          <w:color w:val="auto"/>
        </w:rPr>
        <w:t>Unrecognized tax benefit at year-end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-98425</wp:posOffset>
            </wp:positionV>
            <wp:extent cx="6946900" cy="1250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46900" cy="125095"/>
                    </a:xfrm>
                    <a:prstGeom prst="rect">
                      <a:avLst/>
                    </a:prstGeom>
                    <a:noFill/>
                  </pic:spPr>
                </pic:pic>
              </a:graphicData>
            </a:graphic>
          </wp:anchor>
        </w:drawing>
      </w:r>
    </w:p>
    <w:p>
      <w:pPr>
        <w:spacing w:after="0" w:line="16"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Change attributable to tax positions taken in prior years</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Change attributable to tax positions taken during the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-83820</wp:posOffset>
            </wp:positionV>
            <wp:extent cx="6946900" cy="1168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46900" cy="116840"/>
                    </a:xfrm>
                    <a:prstGeom prst="rect">
                      <a:avLst/>
                    </a:prstGeom>
                    <a:noFill/>
                  </pic:spPr>
                </pic:pic>
              </a:graphicData>
            </a:graphic>
          </wp:anchor>
        </w:drawing>
      </w:r>
    </w:p>
    <w:p>
      <w:pPr>
        <w:spacing w:after="0" w:line="26"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Decrease attributable to settlements with taxing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18415</wp:posOffset>
            </wp:positionV>
            <wp:extent cx="6946900" cy="142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46900" cy="142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right"/>
        <w:ind w:right="180"/>
        <w:spacing w:after="0"/>
        <w:rPr>
          <w:sz w:val="20"/>
          <w:szCs w:val="20"/>
          <w:color w:val="auto"/>
        </w:rPr>
      </w:pPr>
      <w:r>
        <w:rPr>
          <w:rFonts w:ascii="Arial" w:cs="Arial" w:eastAsia="Arial" w:hAnsi="Arial"/>
          <w:sz w:val="14"/>
          <w:szCs w:val="14"/>
          <w:b w:val="1"/>
          <w:bCs w:val="1"/>
          <w:color w:val="auto"/>
        </w:rPr>
        <w:t>Amount</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88" w:lineRule="exact"/>
        <w:rPr>
          <w:sz w:val="20"/>
          <w:szCs w:val="20"/>
          <w:color w:val="auto"/>
        </w:rPr>
      </w:pPr>
    </w:p>
    <w:p>
      <w:pPr>
        <w:sectPr>
          <w:pgSz w:w="11900" w:h="16838" w:orient="portrait"/>
          <w:cols w:equalWidth="0" w:num="2">
            <w:col w:w="9300" w:space="720"/>
            <w:col w:w="1220"/>
          </w:cols>
          <w:pgMar w:left="320" w:top="127" w:right="339" w:bottom="1440" w:gutter="0" w:footer="0" w:header="0"/>
          <w:type w:val="continuous"/>
        </w:sectPr>
      </w:pPr>
    </w:p>
    <w:p>
      <w:pPr>
        <w:ind w:left="820"/>
        <w:spacing w:after="0"/>
        <w:tabs>
          <w:tab w:leader="none" w:pos="10000" w:val="left"/>
        </w:tabs>
        <w:rPr>
          <w:sz w:val="20"/>
          <w:szCs w:val="20"/>
          <w:color w:val="auto"/>
        </w:rPr>
      </w:pPr>
      <w:r>
        <w:rPr>
          <w:rFonts w:ascii="Arial" w:cs="Arial" w:eastAsia="Arial" w:hAnsi="Arial"/>
          <w:sz w:val="14"/>
          <w:szCs w:val="14"/>
          <w:color w:val="auto"/>
        </w:rPr>
        <w:t>Unrecognized tax benefit at year-end 2020</w:t>
      </w:r>
      <w:r>
        <w:rPr>
          <w:sz w:val="20"/>
          <w:szCs w:val="20"/>
          <w:color w:val="auto"/>
        </w:rPr>
        <w:tab/>
      </w:r>
      <w:r>
        <w:rPr>
          <w:rFonts w:ascii="Arial" w:cs="Arial" w:eastAsia="Arial" w:hAnsi="Arial"/>
          <w:sz w:val="21"/>
          <w:szCs w:val="2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6102985</wp:posOffset>
            </wp:positionH>
            <wp:positionV relativeFrom="paragraph">
              <wp:posOffset>-6985</wp:posOffset>
            </wp:positionV>
            <wp:extent cx="10979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97915" cy="8255"/>
                    </a:xfrm>
                    <a:prstGeom prst="rect">
                      <a:avLst/>
                    </a:prstGeom>
                    <a:noFill/>
                  </pic:spPr>
                </pic:pic>
              </a:graphicData>
            </a:graphic>
          </wp:anchor>
        </w:drawing>
      </w:r>
    </w:p>
    <w:p>
      <w:pPr>
        <w:spacing w:after="0" w:line="126" w:lineRule="exact"/>
        <w:rPr>
          <w:sz w:val="20"/>
          <w:szCs w:val="20"/>
          <w:color w:val="auto"/>
        </w:rPr>
      </w:pPr>
    </w:p>
    <w:p>
      <w:pPr>
        <w:ind w:firstLine="434"/>
        <w:spacing w:after="0" w:line="288" w:lineRule="auto"/>
        <w:rPr>
          <w:sz w:val="20"/>
          <w:szCs w:val="20"/>
          <w:color w:val="auto"/>
        </w:rPr>
      </w:pPr>
      <w:r>
        <w:rPr>
          <w:rFonts w:ascii="Arial" w:cs="Arial" w:eastAsia="Arial" w:hAnsi="Arial"/>
          <w:sz w:val="15"/>
          <w:szCs w:val="15"/>
          <w:color w:val="auto"/>
        </w:rPr>
        <w:t>Our unrecognized tax benefit balances included $410 million at year-end 2020, $498 million at year-end 2019, and $497 million at year-end 2018 of tax positions that, if recognized, would impact our effective tax rate. It is reasonably possible that within the next twelve months we will reach resolution of income tax examinations in one or more jurisdictions. The actual amount of any change to our unrecognized tax benefits could vary depending on the timing and nature of the settlement. Therefore, an estimate of the change cannot be provided. We recognize accrued interest and penalties for our unrecognized tax benefits as a component of tax expense. Related interest (benefit) expense totaled $(15) million in 2020, $28 million in 2019, and $3 million in 2018. We accrued interest and penalties related to our unrecognized tax benefits of approximately $85 million at year-end 2020 and $100 million at year-end 2019 on our Balance Sheets.</w:t>
      </w:r>
    </w:p>
    <w:p>
      <w:pPr>
        <w:spacing w:after="0" w:line="100" w:lineRule="exact"/>
        <w:rPr>
          <w:sz w:val="20"/>
          <w:szCs w:val="20"/>
          <w:color w:val="auto"/>
        </w:rPr>
      </w:pPr>
    </w:p>
    <w:p>
      <w:pPr>
        <w:jc w:val="both"/>
        <w:ind w:right="180" w:firstLine="395"/>
        <w:spacing w:after="0" w:line="250" w:lineRule="auto"/>
        <w:rPr>
          <w:sz w:val="20"/>
          <w:szCs w:val="20"/>
          <w:color w:val="auto"/>
        </w:rPr>
      </w:pPr>
      <w:r>
        <w:rPr>
          <w:rFonts w:ascii="Arial" w:cs="Arial" w:eastAsia="Arial" w:hAnsi="Arial"/>
          <w:sz w:val="18"/>
          <w:szCs w:val="18"/>
          <w:color w:val="auto"/>
        </w:rPr>
        <w:t>We file income tax returns, including returns for our subsidiaries, in various jurisdictions around the world. The U.S. Internal Revenue Service (“IRS”) has examined our federal income tax returns, and as of year-end 2020, we have settled all issues for tax years through 2013 for Marriott and through 2012 for Starwood. Our Marriott 2014 and 2015 tax year audits are substantially complete, and our Marriott 2016 through 2018 tax year audits are currently ongoing. Starwood is currently under</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color w:val="auto"/>
        </w:rPr>
        <w:t>audit by the IRS for years 2013 through 2016. Various foreign, state, and local income tax returns are also under examination by the applicable taxing authorities.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w:t>
      </w:r>
    </w:p>
    <w:p>
      <w:pPr>
        <w:spacing w:after="0" w:line="161" w:lineRule="exact"/>
        <w:rPr>
          <w:sz w:val="20"/>
          <w:szCs w:val="20"/>
          <w:color w:val="auto"/>
        </w:rPr>
      </w:pPr>
    </w:p>
    <w:p>
      <w:pPr>
        <w:ind w:right="100" w:firstLine="395"/>
        <w:spacing w:after="0" w:line="284" w:lineRule="auto"/>
        <w:rPr>
          <w:sz w:val="20"/>
          <w:szCs w:val="20"/>
          <w:color w:val="auto"/>
        </w:rPr>
      </w:pPr>
      <w:r>
        <w:rPr>
          <w:rFonts w:ascii="Arial" w:cs="Arial" w:eastAsia="Arial" w:hAnsi="Arial"/>
          <w:sz w:val="16"/>
          <w:szCs w:val="16"/>
          <w:color w:val="auto"/>
        </w:rPr>
        <w:t>Deferred income tax balances reflect the effects of temporary differences between the carrying amounts of assets and liabilities and their tax bases, as well as from net operating loss and tax credit carry-forwards. We state those balances at the enacted tax rates we expect will be in effect when we pay or recover the taxes. Deferred income tax assets represent amounts available to reduce income taxes we will pay on taxable income in future years. We evaluate our ability to realize these future tax deductions and credits by assessing whether we expect to have sufficient future taxable income from all sources, including reversal of taxable temporary differences, forecasted operating earnings, and available tax planning strategies to utilize these future deductions and credits. We establish a valuation allowance when we no longer consider it more likely than not that a deferred tax asset will be realized.</w:t>
      </w:r>
    </w:p>
    <w:p>
      <w:pPr>
        <w:spacing w:after="0" w:line="115" w:lineRule="exact"/>
        <w:rPr>
          <w:sz w:val="20"/>
          <w:szCs w:val="20"/>
          <w:color w:val="auto"/>
        </w:rPr>
      </w:pPr>
    </w:p>
    <w:p>
      <w:pPr>
        <w:ind w:right="140" w:firstLine="395"/>
        <w:spacing w:after="0" w:line="261" w:lineRule="auto"/>
        <w:rPr>
          <w:sz w:val="20"/>
          <w:szCs w:val="20"/>
          <w:color w:val="auto"/>
        </w:rPr>
      </w:pPr>
      <w:r>
        <w:rPr>
          <w:rFonts w:ascii="Arial" w:cs="Arial" w:eastAsia="Arial" w:hAnsi="Arial"/>
          <w:sz w:val="18"/>
          <w:szCs w:val="18"/>
          <w:color w:val="auto"/>
        </w:rPr>
        <w:t>The following table presents the tax effect of each type of temporary difference and carry-forward that gave rise to significant portions of our deferred tax assets and liabilities as of year-end 2020 and year-end 2019:</w:t>
      </w:r>
    </w:p>
    <w:p>
      <w:pPr>
        <w:spacing w:after="0" w:line="158" w:lineRule="exact"/>
        <w:rPr>
          <w:sz w:val="20"/>
          <w:szCs w:val="20"/>
          <w:color w:val="auto"/>
        </w:rPr>
      </w:pPr>
    </w:p>
    <w:tbl>
      <w:tblPr>
        <w:tblLayout w:type="fixed"/>
        <w:tblInd w:w="400" w:type="dxa"/>
        <w:tblCellMar>
          <w:top w:w="0" w:type="dxa"/>
          <w:left w:w="0" w:type="dxa"/>
          <w:bottom w:w="0" w:type="dxa"/>
          <w:right w:w="0" w:type="dxa"/>
        </w:tblCellMar>
      </w:tblPr>
      <w:tr>
        <w:trPr>
          <w:trHeight w:val="188"/>
        </w:trPr>
        <w:tc>
          <w:tcPr>
            <w:tcW w:w="7320" w:type="dxa"/>
            <w:vAlign w:val="bottom"/>
          </w:tcPr>
          <w:p>
            <w:pPr>
              <w:ind w:left="420"/>
              <w:spacing w:after="0"/>
              <w:rPr>
                <w:sz w:val="20"/>
                <w:szCs w:val="20"/>
                <w:color w:val="auto"/>
              </w:rPr>
            </w:pPr>
            <w:r>
              <w:rPr>
                <w:rFonts w:ascii="Arial" w:cs="Arial" w:eastAsia="Arial" w:hAnsi="Arial"/>
                <w:sz w:val="14"/>
                <w:szCs w:val="14"/>
                <w:i w:val="1"/>
                <w:iCs w:val="1"/>
                <w:color w:val="auto"/>
              </w:rPr>
              <w:t>($ in millions)</w:t>
            </w:r>
          </w:p>
        </w:tc>
        <w:tc>
          <w:tcPr>
            <w:tcW w:w="52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At Year-End 2020</w:t>
            </w:r>
          </w:p>
        </w:tc>
        <w:tc>
          <w:tcPr>
            <w:tcW w:w="520" w:type="dxa"/>
            <w:vAlign w:val="bottom"/>
          </w:tcPr>
          <w:p>
            <w:pPr>
              <w:spacing w:after="0"/>
              <w:rPr>
                <w:sz w:val="16"/>
                <w:szCs w:val="16"/>
                <w:color w:val="auto"/>
              </w:rPr>
            </w:pPr>
          </w:p>
        </w:tc>
        <w:tc>
          <w:tcPr>
            <w:tcW w:w="1240" w:type="dxa"/>
            <w:vAlign w:val="bottom"/>
          </w:tcPr>
          <w:p>
            <w:pPr>
              <w:jc w:val="right"/>
              <w:ind w:right="70"/>
              <w:spacing w:after="0"/>
              <w:rPr>
                <w:sz w:val="20"/>
                <w:szCs w:val="20"/>
                <w:color w:val="auto"/>
              </w:rPr>
            </w:pPr>
            <w:r>
              <w:rPr>
                <w:rFonts w:ascii="Arial" w:cs="Arial" w:eastAsia="Arial" w:hAnsi="Arial"/>
                <w:sz w:val="14"/>
                <w:szCs w:val="14"/>
                <w:b w:val="1"/>
                <w:bCs w:val="1"/>
                <w:color w:val="auto"/>
                <w:w w:val="93"/>
              </w:rPr>
              <w:t>At Year-End 2019</w:t>
            </w:r>
          </w:p>
        </w:tc>
      </w:tr>
      <w:tr>
        <w:trPr>
          <w:trHeight w:val="170"/>
        </w:trPr>
        <w:tc>
          <w:tcPr>
            <w:tcW w:w="732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4"/>
                <w:szCs w:val="14"/>
                <w:b w:val="1"/>
                <w:bCs w:val="1"/>
                <w:color w:val="auto"/>
              </w:rPr>
              <w:t>Deferred Tax Assets</w:t>
            </w:r>
          </w:p>
        </w:tc>
        <w:tc>
          <w:tcPr>
            <w:tcW w:w="52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r>
      <w:tr>
        <w:trPr>
          <w:trHeight w:val="182"/>
        </w:trPr>
        <w:tc>
          <w:tcPr>
            <w:tcW w:w="7320" w:type="dxa"/>
            <w:vAlign w:val="bottom"/>
          </w:tcPr>
          <w:p>
            <w:pPr>
              <w:ind w:left="420"/>
              <w:spacing w:after="0"/>
              <w:rPr>
                <w:sz w:val="20"/>
                <w:szCs w:val="20"/>
                <w:color w:val="auto"/>
              </w:rPr>
            </w:pPr>
            <w:r>
              <w:rPr>
                <w:rFonts w:ascii="Arial" w:cs="Arial" w:eastAsia="Arial" w:hAnsi="Arial"/>
                <w:sz w:val="14"/>
                <w:szCs w:val="14"/>
                <w:color w:val="auto"/>
              </w:rPr>
              <w:t>Employee benefits</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267</w:t>
            </w:r>
          </w:p>
        </w:tc>
      </w:tr>
      <w:tr>
        <w:trPr>
          <w:trHeight w:val="187"/>
        </w:trPr>
        <w:tc>
          <w:tcPr>
            <w:tcW w:w="73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Net operating loss carry-forwards</w:t>
            </w:r>
          </w:p>
        </w:tc>
        <w:tc>
          <w:tcPr>
            <w:tcW w:w="5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w:t>
            </w:r>
          </w:p>
        </w:tc>
      </w:tr>
      <w:tr>
        <w:trPr>
          <w:trHeight w:val="182"/>
        </w:trPr>
        <w:tc>
          <w:tcPr>
            <w:tcW w:w="7320" w:type="dxa"/>
            <w:vAlign w:val="bottom"/>
          </w:tcPr>
          <w:p>
            <w:pPr>
              <w:ind w:left="420"/>
              <w:spacing w:after="0"/>
              <w:rPr>
                <w:sz w:val="20"/>
                <w:szCs w:val="20"/>
                <w:color w:val="auto"/>
              </w:rPr>
            </w:pPr>
            <w:r>
              <w:rPr>
                <w:rFonts w:ascii="Arial" w:cs="Arial" w:eastAsia="Arial" w:hAnsi="Arial"/>
                <w:sz w:val="14"/>
                <w:szCs w:val="14"/>
                <w:color w:val="auto"/>
              </w:rPr>
              <w:t>Accrued expenses and other reserves</w:t>
            </w:r>
          </w:p>
        </w:tc>
        <w:tc>
          <w:tcPr>
            <w:tcW w:w="5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162</w:t>
            </w:r>
          </w:p>
        </w:tc>
      </w:tr>
      <w:tr>
        <w:trPr>
          <w:trHeight w:val="187"/>
        </w:trPr>
        <w:tc>
          <w:tcPr>
            <w:tcW w:w="73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Receivables, net</w:t>
            </w:r>
          </w:p>
        </w:tc>
        <w:tc>
          <w:tcPr>
            <w:tcW w:w="5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82"/>
        </w:trPr>
        <w:tc>
          <w:tcPr>
            <w:tcW w:w="7320" w:type="dxa"/>
            <w:vAlign w:val="bottom"/>
          </w:tcPr>
          <w:p>
            <w:pPr>
              <w:ind w:left="420"/>
              <w:spacing w:after="0"/>
              <w:rPr>
                <w:sz w:val="20"/>
                <w:szCs w:val="20"/>
                <w:color w:val="auto"/>
              </w:rPr>
            </w:pPr>
            <w:r>
              <w:rPr>
                <w:rFonts w:ascii="Arial" w:cs="Arial" w:eastAsia="Arial" w:hAnsi="Arial"/>
                <w:sz w:val="14"/>
                <w:szCs w:val="14"/>
                <w:color w:val="auto"/>
              </w:rPr>
              <w:t>Tax credits</w:t>
            </w:r>
          </w:p>
        </w:tc>
        <w:tc>
          <w:tcPr>
            <w:tcW w:w="5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187"/>
        </w:trPr>
        <w:tc>
          <w:tcPr>
            <w:tcW w:w="73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Loyalty Program</w:t>
            </w:r>
          </w:p>
        </w:tc>
        <w:tc>
          <w:tcPr>
            <w:tcW w:w="5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r>
      <w:tr>
        <w:trPr>
          <w:trHeight w:val="182"/>
        </w:trPr>
        <w:tc>
          <w:tcPr>
            <w:tcW w:w="7320" w:type="dxa"/>
            <w:vAlign w:val="bottom"/>
          </w:tcPr>
          <w:p>
            <w:pPr>
              <w:ind w:left="420"/>
              <w:spacing w:after="0"/>
              <w:rPr>
                <w:sz w:val="20"/>
                <w:szCs w:val="20"/>
                <w:color w:val="auto"/>
              </w:rPr>
            </w:pPr>
            <w:r>
              <w:rPr>
                <w:rFonts w:ascii="Arial" w:cs="Arial" w:eastAsia="Arial" w:hAnsi="Arial"/>
                <w:sz w:val="14"/>
                <w:szCs w:val="14"/>
                <w:color w:val="auto"/>
              </w:rPr>
              <w:t>Deferred income</w:t>
            </w:r>
          </w:p>
        </w:tc>
        <w:tc>
          <w:tcPr>
            <w:tcW w:w="5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187"/>
        </w:trPr>
        <w:tc>
          <w:tcPr>
            <w:tcW w:w="73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Lease liabilities</w:t>
            </w:r>
          </w:p>
        </w:tc>
        <w:tc>
          <w:tcPr>
            <w:tcW w:w="5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r>
      <w:tr>
        <w:trPr>
          <w:trHeight w:val="182"/>
        </w:trPr>
        <w:tc>
          <w:tcPr>
            <w:tcW w:w="7320" w:type="dxa"/>
            <w:vAlign w:val="bottom"/>
            <w:tcBorders>
              <w:bottom w:val="single" w:sz="8" w:color="CCEEFF"/>
            </w:tcBorders>
          </w:tcPr>
          <w:p>
            <w:pPr>
              <w:ind w:left="420"/>
              <w:spacing w:after="0"/>
              <w:rPr>
                <w:sz w:val="20"/>
                <w:szCs w:val="20"/>
                <w:color w:val="auto"/>
              </w:rPr>
            </w:pPr>
            <w:r>
              <w:rPr>
                <w:rFonts w:ascii="Arial" w:cs="Arial" w:eastAsia="Arial" w:hAnsi="Arial"/>
                <w:sz w:val="14"/>
                <w:szCs w:val="14"/>
                <w:color w:val="auto"/>
              </w:rPr>
              <w:t>Other</w:t>
            </w:r>
          </w:p>
        </w:tc>
        <w:tc>
          <w:tcPr>
            <w:tcW w:w="5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r>
      <w:tr>
        <w:trPr>
          <w:trHeight w:val="180"/>
        </w:trPr>
        <w:tc>
          <w:tcPr>
            <w:tcW w:w="73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Deferred tax assets</w:t>
            </w:r>
          </w:p>
        </w:tc>
        <w:tc>
          <w:tcPr>
            <w:tcW w:w="5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2,125</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1,756</w:t>
            </w:r>
          </w:p>
        </w:tc>
      </w:tr>
      <w:tr>
        <w:trPr>
          <w:trHeight w:val="182"/>
        </w:trPr>
        <w:tc>
          <w:tcPr>
            <w:tcW w:w="732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Valuation allowance</w:t>
            </w:r>
          </w:p>
        </w:tc>
        <w:tc>
          <w:tcPr>
            <w:tcW w:w="5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w:t>
            </w:r>
          </w:p>
        </w:tc>
      </w:tr>
      <w:tr>
        <w:trPr>
          <w:trHeight w:val="180"/>
        </w:trPr>
        <w:tc>
          <w:tcPr>
            <w:tcW w:w="7320" w:type="dxa"/>
            <w:vAlign w:val="bottom"/>
            <w:shd w:val="clear" w:color="auto" w:fill="CCEEFF"/>
          </w:tcPr>
          <w:p>
            <w:pPr>
              <w:ind w:left="540"/>
              <w:spacing w:after="0"/>
              <w:rPr>
                <w:sz w:val="20"/>
                <w:szCs w:val="20"/>
                <w:color w:val="auto"/>
              </w:rPr>
            </w:pPr>
            <w:r>
              <w:rPr>
                <w:rFonts w:ascii="Arial" w:cs="Arial" w:eastAsia="Arial" w:hAnsi="Arial"/>
                <w:sz w:val="14"/>
                <w:szCs w:val="14"/>
                <w:color w:val="auto"/>
              </w:rPr>
              <w:t>Deferred tax assets after valuation allowance</w:t>
            </w:r>
          </w:p>
        </w:tc>
        <w:tc>
          <w:tcPr>
            <w:tcW w:w="5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1,140</w:t>
            </w:r>
          </w:p>
        </w:tc>
      </w:tr>
      <w:tr>
        <w:trPr>
          <w:trHeight w:val="184"/>
        </w:trPr>
        <w:tc>
          <w:tcPr>
            <w:tcW w:w="7320" w:type="dxa"/>
            <w:vAlign w:val="bottom"/>
          </w:tcPr>
          <w:p>
            <w:pPr>
              <w:ind w:left="420"/>
              <w:spacing w:after="0"/>
              <w:rPr>
                <w:sz w:val="20"/>
                <w:szCs w:val="20"/>
                <w:color w:val="auto"/>
              </w:rPr>
            </w:pPr>
            <w:r>
              <w:rPr>
                <w:rFonts w:ascii="Arial" w:cs="Arial" w:eastAsia="Arial" w:hAnsi="Arial"/>
                <w:sz w:val="14"/>
                <w:szCs w:val="14"/>
                <w:b w:val="1"/>
                <w:bCs w:val="1"/>
                <w:color w:val="auto"/>
              </w:rPr>
              <w:t>Deferred Tax Liabilities</w:t>
            </w: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5"/>
        </w:trPr>
        <w:tc>
          <w:tcPr>
            <w:tcW w:w="73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Equity method investments</w:t>
            </w:r>
          </w:p>
        </w:tc>
        <w:tc>
          <w:tcPr>
            <w:tcW w:w="5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r>
      <w:tr>
        <w:trPr>
          <w:trHeight w:val="182"/>
        </w:trPr>
        <w:tc>
          <w:tcPr>
            <w:tcW w:w="7320" w:type="dxa"/>
            <w:vAlign w:val="bottom"/>
          </w:tcPr>
          <w:p>
            <w:pPr>
              <w:ind w:left="420"/>
              <w:spacing w:after="0"/>
              <w:rPr>
                <w:sz w:val="20"/>
                <w:szCs w:val="20"/>
                <w:color w:val="auto"/>
              </w:rPr>
            </w:pPr>
            <w:r>
              <w:rPr>
                <w:rFonts w:ascii="Arial" w:cs="Arial" w:eastAsia="Arial" w:hAnsi="Arial"/>
                <w:sz w:val="14"/>
                <w:szCs w:val="14"/>
                <w:color w:val="auto"/>
              </w:rPr>
              <w:t>Property and equipment</w:t>
            </w:r>
          </w:p>
        </w:tc>
        <w:tc>
          <w:tcPr>
            <w:tcW w:w="5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187"/>
        </w:trPr>
        <w:tc>
          <w:tcPr>
            <w:tcW w:w="73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Intangibles</w:t>
            </w:r>
          </w:p>
        </w:tc>
        <w:tc>
          <w:tcPr>
            <w:tcW w:w="5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w:t>
            </w:r>
          </w:p>
        </w:tc>
      </w:tr>
      <w:tr>
        <w:trPr>
          <w:trHeight w:val="182"/>
        </w:trPr>
        <w:tc>
          <w:tcPr>
            <w:tcW w:w="7320" w:type="dxa"/>
            <w:vAlign w:val="bottom"/>
          </w:tcPr>
          <w:p>
            <w:pPr>
              <w:ind w:left="420"/>
              <w:spacing w:after="0"/>
              <w:rPr>
                <w:sz w:val="20"/>
                <w:szCs w:val="20"/>
                <w:color w:val="auto"/>
              </w:rPr>
            </w:pPr>
            <w:r>
              <w:rPr>
                <w:rFonts w:ascii="Arial" w:cs="Arial" w:eastAsia="Arial" w:hAnsi="Arial"/>
                <w:sz w:val="14"/>
                <w:szCs w:val="14"/>
                <w:color w:val="auto"/>
              </w:rPr>
              <w:t>Right-of-use assets</w:t>
            </w:r>
          </w:p>
        </w:tc>
        <w:tc>
          <w:tcPr>
            <w:tcW w:w="5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(229)</w:t>
            </w:r>
          </w:p>
        </w:tc>
      </w:tr>
      <w:tr>
        <w:trPr>
          <w:trHeight w:val="187"/>
        </w:trPr>
        <w:tc>
          <w:tcPr>
            <w:tcW w:w="73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Self-insurance</w:t>
            </w:r>
          </w:p>
        </w:tc>
        <w:tc>
          <w:tcPr>
            <w:tcW w:w="5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75"/>
        </w:trPr>
        <w:tc>
          <w:tcPr>
            <w:tcW w:w="7320" w:type="dxa"/>
            <w:vAlign w:val="bottom"/>
          </w:tcPr>
          <w:p>
            <w:pPr>
              <w:ind w:left="540"/>
              <w:spacing w:after="0" w:line="159" w:lineRule="exact"/>
              <w:rPr>
                <w:sz w:val="20"/>
                <w:szCs w:val="20"/>
                <w:color w:val="auto"/>
              </w:rPr>
            </w:pPr>
            <w:r>
              <w:rPr>
                <w:rFonts w:ascii="Arial" w:cs="Arial" w:eastAsia="Arial" w:hAnsi="Arial"/>
                <w:sz w:val="14"/>
                <w:szCs w:val="14"/>
                <w:color w:val="auto"/>
              </w:rPr>
              <w:t>Deferred tax liabilities</w:t>
            </w:r>
          </w:p>
        </w:tc>
        <w:tc>
          <w:tcPr>
            <w:tcW w:w="5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(950)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(1,276)</w:t>
            </w:r>
          </w:p>
        </w:tc>
      </w:tr>
      <w:tr>
        <w:trPr>
          <w:trHeight w:val="209"/>
        </w:trPr>
        <w:tc>
          <w:tcPr>
            <w:tcW w:w="73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Net deferred taxes</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right="520" w:firstLine="395"/>
        <w:spacing w:after="0" w:line="261" w:lineRule="auto"/>
        <w:rPr>
          <w:sz w:val="20"/>
          <w:szCs w:val="20"/>
          <w:color w:val="auto"/>
        </w:rPr>
      </w:pPr>
      <w:r>
        <w:rPr>
          <w:rFonts w:ascii="Arial" w:cs="Arial" w:eastAsia="Arial" w:hAnsi="Arial"/>
          <w:sz w:val="18"/>
          <w:szCs w:val="18"/>
          <w:color w:val="auto"/>
        </w:rPr>
        <w:t>Our valuation allowance is attributable to non-U.S. and U.S. state net operating loss carry-forwards. During 2020, our valuation allowance increased primarily due to legislative changes in Switzerland and net operating losses in Luxembourg.</w:t>
      </w:r>
    </w:p>
    <w:p>
      <w:pPr>
        <w:spacing w:after="0" w:line="129" w:lineRule="exact"/>
        <w:rPr>
          <w:sz w:val="20"/>
          <w:szCs w:val="20"/>
          <w:color w:val="auto"/>
        </w:rPr>
      </w:pPr>
    </w:p>
    <w:p>
      <w:pPr>
        <w:ind w:right="200" w:firstLine="395"/>
        <w:spacing w:after="0" w:line="252" w:lineRule="auto"/>
        <w:rPr>
          <w:sz w:val="20"/>
          <w:szCs w:val="20"/>
          <w:color w:val="auto"/>
        </w:rPr>
      </w:pPr>
      <w:r>
        <w:rPr>
          <w:rFonts w:ascii="Arial" w:cs="Arial" w:eastAsia="Arial" w:hAnsi="Arial"/>
          <w:sz w:val="18"/>
          <w:szCs w:val="18"/>
          <w:color w:val="auto"/>
        </w:rPr>
        <w:t>At year-end 2020, we had approximately $31 million of tax credits that will expire through 2030 and $17 million of tax credits that do not expire. We recorded $44 million of net operating loss benefits in 2020 and $10 million in 2019. At year-end 2020, we had approximately $3,938 million of primarily state and foreign net operating losses, of which $2,315 million will expire through 2040.</w:t>
      </w:r>
    </w:p>
    <w:p>
      <w:pPr>
        <w:spacing w:after="0" w:line="138" w:lineRule="exact"/>
        <w:rPr>
          <w:sz w:val="20"/>
          <w:szCs w:val="20"/>
          <w:color w:val="auto"/>
        </w:rPr>
      </w:pPr>
    </w:p>
    <w:p>
      <w:pPr>
        <w:ind w:right="120" w:firstLine="395"/>
        <w:spacing w:after="0" w:line="299" w:lineRule="auto"/>
        <w:rPr>
          <w:sz w:val="20"/>
          <w:szCs w:val="20"/>
          <w:color w:val="auto"/>
        </w:rPr>
      </w:pPr>
      <w:r>
        <w:rPr>
          <w:rFonts w:ascii="Arial" w:cs="Arial" w:eastAsia="Arial" w:hAnsi="Arial"/>
          <w:sz w:val="16"/>
          <w:szCs w:val="16"/>
          <w:color w:val="auto"/>
        </w:rPr>
        <w:t>We made no provision for U.S. income taxes or additional non-U.S. taxes on certain undistributed earnings of non-U.S. subsidiaries. These earnings could become subject to additional taxes if the non-U.S. subsidiaries dividend or loan those earnings to an affiliate or if we sell our interests in the non-U.S. subsidiaries. We cannot practically estimate the amount of additional taxes that might be payable on the undistributed earnings.</w:t>
      </w:r>
    </w:p>
    <w:p>
      <w:pPr>
        <w:spacing w:after="0" w:line="200" w:lineRule="exact"/>
        <w:rPr>
          <w:sz w:val="20"/>
          <w:szCs w:val="20"/>
          <w:color w:val="auto"/>
        </w:rPr>
      </w:pPr>
    </w:p>
    <w:p>
      <w:pPr>
        <w:spacing w:after="0" w:line="28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Federal Statutory Income Tax Rate to Actual Income Tax Rate</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reconciles the U.S. statutory tax rate to our effective income tax rate for the last three fiscal years: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00" w:type="dxa"/>
            <w:vAlign w:val="bottom"/>
            <w:gridSpan w:val="2"/>
          </w:tcPr>
          <w:p>
            <w:pPr>
              <w:ind w:left="6300"/>
              <w:spacing w:after="0"/>
              <w:rPr>
                <w:sz w:val="20"/>
                <w:szCs w:val="20"/>
                <w:color w:val="auto"/>
              </w:rPr>
            </w:pPr>
            <w:r>
              <w:rPr>
                <w:rFonts w:ascii="Arial" w:cs="Arial" w:eastAsia="Arial" w:hAnsi="Arial"/>
                <w:sz w:val="14"/>
                <w:szCs w:val="14"/>
                <w:b w:val="1"/>
                <w:bCs w:val="1"/>
                <w:color w:val="auto"/>
              </w:rPr>
              <w:t>2020</w:t>
            </w:r>
          </w:p>
        </w:tc>
        <w:tc>
          <w:tcPr>
            <w:tcW w:w="18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right"/>
              <w:ind w:right="630"/>
              <w:spacing w:after="0"/>
              <w:rPr>
                <w:sz w:val="20"/>
                <w:szCs w:val="20"/>
                <w:color w:val="auto"/>
              </w:rPr>
            </w:pPr>
            <w:r>
              <w:rPr>
                <w:rFonts w:ascii="Arial" w:cs="Arial" w:eastAsia="Arial" w:hAnsi="Arial"/>
                <w:sz w:val="14"/>
                <w:szCs w:val="14"/>
                <w:b w:val="1"/>
                <w:bCs w:val="1"/>
                <w:color w:val="auto"/>
              </w:rPr>
              <w:t>2018</w:t>
            </w:r>
          </w:p>
        </w:tc>
      </w:tr>
      <w:tr>
        <w:trPr>
          <w:trHeight w:val="183"/>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statutory tax rate</w:t>
            </w:r>
          </w:p>
        </w:tc>
        <w:tc>
          <w:tcPr>
            <w:tcW w:w="1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21.0 %</w:t>
            </w:r>
          </w:p>
        </w:tc>
      </w:tr>
      <w:tr>
        <w:trPr>
          <w:trHeight w:val="182"/>
        </w:trPr>
        <w:tc>
          <w:tcPr>
            <w:tcW w:w="6700" w:type="dxa"/>
            <w:vAlign w:val="bottom"/>
            <w:gridSpan w:val="2"/>
          </w:tcPr>
          <w:p>
            <w:pPr>
              <w:ind w:left="20"/>
              <w:spacing w:after="0"/>
              <w:rPr>
                <w:sz w:val="20"/>
                <w:szCs w:val="20"/>
                <w:color w:val="auto"/>
              </w:rPr>
            </w:pPr>
            <w:r>
              <w:rPr>
                <w:rFonts w:ascii="Arial" w:cs="Arial" w:eastAsia="Arial" w:hAnsi="Arial"/>
                <w:sz w:val="14"/>
                <w:szCs w:val="14"/>
                <w:color w:val="auto"/>
              </w:rPr>
              <w:t>U.S. state income taxes, net of U.S. federal tax benefit</w:t>
            </w:r>
          </w:p>
        </w:tc>
        <w:tc>
          <w:tcPr>
            <w:tcW w:w="600" w:type="dxa"/>
            <w:vAlign w:val="bottom"/>
          </w:tcPr>
          <w:p>
            <w:pPr>
              <w:jc w:val="right"/>
              <w:ind w:right="110"/>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jc w:val="right"/>
              <w:ind w:right="110"/>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1700" w:type="dxa"/>
            <w:vAlign w:val="bottom"/>
          </w:tcPr>
          <w:p>
            <w:pPr>
              <w:jc w:val="right"/>
              <w:ind w:right="110"/>
              <w:spacing w:after="0"/>
              <w:rPr>
                <w:sz w:val="20"/>
                <w:szCs w:val="20"/>
                <w:color w:val="auto"/>
              </w:rPr>
            </w:pPr>
            <w:r>
              <w:rPr>
                <w:rFonts w:ascii="Arial" w:cs="Arial" w:eastAsia="Arial" w:hAnsi="Arial"/>
                <w:sz w:val="14"/>
                <w:szCs w:val="14"/>
                <w:color w:val="auto"/>
              </w:rPr>
              <w:t>2.5</w:t>
            </w:r>
          </w:p>
        </w:tc>
      </w:tr>
      <w:tr>
        <w:trPr>
          <w:trHeight w:val="187"/>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Non-U.S. income</w:t>
            </w: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(1.0)</w:t>
            </w:r>
          </w:p>
        </w:tc>
      </w:tr>
      <w:tr>
        <w:trPr>
          <w:trHeight w:val="182"/>
        </w:trPr>
        <w:tc>
          <w:tcPr>
            <w:tcW w:w="6700" w:type="dxa"/>
            <w:vAlign w:val="bottom"/>
            <w:gridSpan w:val="2"/>
          </w:tcPr>
          <w:p>
            <w:pPr>
              <w:ind w:left="20"/>
              <w:spacing w:after="0"/>
              <w:rPr>
                <w:sz w:val="20"/>
                <w:szCs w:val="20"/>
                <w:color w:val="auto"/>
              </w:rPr>
            </w:pPr>
            <w:r>
              <w:rPr>
                <w:rFonts w:ascii="Arial" w:cs="Arial" w:eastAsia="Arial" w:hAnsi="Arial"/>
                <w:sz w:val="14"/>
                <w:szCs w:val="14"/>
                <w:color w:val="auto"/>
              </w:rPr>
              <w:t>Change in valuation allowance</w:t>
            </w: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jc w:val="right"/>
              <w:ind w:right="110"/>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5"/>
                <w:szCs w:val="15"/>
                <w:color w:val="auto"/>
              </w:rPr>
            </w:pPr>
          </w:p>
        </w:tc>
        <w:tc>
          <w:tcPr>
            <w:tcW w:w="1700" w:type="dxa"/>
            <w:vAlign w:val="bottom"/>
          </w:tcPr>
          <w:p>
            <w:pPr>
              <w:jc w:val="right"/>
              <w:ind w:right="110"/>
              <w:spacing w:after="0"/>
              <w:rPr>
                <w:sz w:val="20"/>
                <w:szCs w:val="20"/>
                <w:color w:val="auto"/>
              </w:rPr>
            </w:pPr>
            <w:r>
              <w:rPr>
                <w:rFonts w:ascii="Arial" w:cs="Arial" w:eastAsia="Arial" w:hAnsi="Arial"/>
                <w:sz w:val="14"/>
                <w:szCs w:val="14"/>
                <w:color w:val="auto"/>
              </w:rPr>
              <w:t>2.6</w:t>
            </w:r>
          </w:p>
        </w:tc>
      </w:tr>
      <w:tr>
        <w:trPr>
          <w:trHeight w:val="187"/>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Change in uncertain tax positions</w:t>
            </w: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1.0</w:t>
            </w:r>
          </w:p>
        </w:tc>
      </w:tr>
      <w:tr>
        <w:trPr>
          <w:trHeight w:val="182"/>
        </w:trPr>
        <w:tc>
          <w:tcPr>
            <w:tcW w:w="6700" w:type="dxa"/>
            <w:vAlign w:val="bottom"/>
            <w:gridSpan w:val="2"/>
          </w:tcPr>
          <w:p>
            <w:pPr>
              <w:ind w:left="20"/>
              <w:spacing w:after="0"/>
              <w:rPr>
                <w:sz w:val="20"/>
                <w:szCs w:val="20"/>
                <w:color w:val="auto"/>
              </w:rPr>
            </w:pPr>
            <w:r>
              <w:rPr>
                <w:rFonts w:ascii="Arial" w:cs="Arial" w:eastAsia="Arial" w:hAnsi="Arial"/>
                <w:sz w:val="14"/>
                <w:szCs w:val="14"/>
                <w:color w:val="auto"/>
              </w:rPr>
              <w:t>Change in U.S. tax rate</w:t>
            </w:r>
          </w:p>
        </w:tc>
        <w:tc>
          <w:tcPr>
            <w:tcW w:w="600" w:type="dxa"/>
            <w:vAlign w:val="bottom"/>
          </w:tcPr>
          <w:p>
            <w:pPr>
              <w:jc w:val="right"/>
              <w:ind w:right="110"/>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jc w:val="right"/>
              <w:ind w:right="110"/>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5"/>
                <w:szCs w:val="15"/>
                <w:color w:val="auto"/>
              </w:rPr>
            </w:pPr>
          </w:p>
        </w:tc>
        <w:tc>
          <w:tcPr>
            <w:tcW w:w="1700" w:type="dxa"/>
            <w:vAlign w:val="bottom"/>
          </w:tcPr>
          <w:p>
            <w:pPr>
              <w:jc w:val="right"/>
              <w:ind w:right="70"/>
              <w:spacing w:after="0"/>
              <w:rPr>
                <w:sz w:val="20"/>
                <w:szCs w:val="20"/>
                <w:color w:val="auto"/>
              </w:rPr>
            </w:pPr>
            <w:r>
              <w:rPr>
                <w:rFonts w:ascii="Arial" w:cs="Arial" w:eastAsia="Arial" w:hAnsi="Arial"/>
                <w:sz w:val="14"/>
                <w:szCs w:val="14"/>
                <w:color w:val="auto"/>
              </w:rPr>
              <w:t>(1.7)</w:t>
            </w:r>
          </w:p>
        </w:tc>
      </w:tr>
      <w:tr>
        <w:trPr>
          <w:trHeight w:val="187"/>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Permanent items</w:t>
            </w: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0.0</w:t>
            </w:r>
          </w:p>
        </w:tc>
      </w:tr>
      <w:tr>
        <w:trPr>
          <w:trHeight w:val="182"/>
        </w:trPr>
        <w:tc>
          <w:tcPr>
            <w:tcW w:w="6700" w:type="dxa"/>
            <w:vAlign w:val="bottom"/>
            <w:gridSpan w:val="2"/>
          </w:tcPr>
          <w:p>
            <w:pPr>
              <w:ind w:left="20"/>
              <w:spacing w:after="0"/>
              <w:rPr>
                <w:sz w:val="20"/>
                <w:szCs w:val="20"/>
                <w:color w:val="auto"/>
              </w:rPr>
            </w:pPr>
            <w:r>
              <w:rPr>
                <w:rFonts w:ascii="Arial" w:cs="Arial" w:eastAsia="Arial" w:hAnsi="Arial"/>
                <w:sz w:val="14"/>
                <w:szCs w:val="14"/>
                <w:color w:val="auto"/>
              </w:rPr>
              <w:t>Tax on asset dispositions</w:t>
            </w:r>
          </w:p>
        </w:tc>
        <w:tc>
          <w:tcPr>
            <w:tcW w:w="600" w:type="dxa"/>
            <w:vAlign w:val="bottom"/>
          </w:tcPr>
          <w:p>
            <w:pPr>
              <w:jc w:val="right"/>
              <w:ind w:right="110"/>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jc w:val="right"/>
              <w:ind w:right="90"/>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5"/>
                <w:szCs w:val="15"/>
                <w:color w:val="auto"/>
              </w:rPr>
            </w:pPr>
          </w:p>
        </w:tc>
        <w:tc>
          <w:tcPr>
            <w:tcW w:w="1700" w:type="dxa"/>
            <w:vAlign w:val="bottom"/>
          </w:tcPr>
          <w:p>
            <w:pPr>
              <w:jc w:val="right"/>
              <w:ind w:right="70"/>
              <w:spacing w:after="0"/>
              <w:rPr>
                <w:sz w:val="20"/>
                <w:szCs w:val="20"/>
                <w:color w:val="auto"/>
              </w:rPr>
            </w:pPr>
            <w:r>
              <w:rPr>
                <w:rFonts w:ascii="Arial" w:cs="Arial" w:eastAsia="Arial" w:hAnsi="Arial"/>
                <w:sz w:val="14"/>
                <w:szCs w:val="14"/>
                <w:color w:val="auto"/>
              </w:rPr>
              <w:t>(2.9)</w:t>
            </w:r>
          </w:p>
        </w:tc>
      </w:tr>
      <w:tr>
        <w:trPr>
          <w:trHeight w:val="187"/>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Excess tax benefits related to equity awards</w:t>
            </w: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(1.8)</w:t>
            </w:r>
          </w:p>
        </w:tc>
      </w:tr>
      <w:tr>
        <w:trPr>
          <w:trHeight w:val="182"/>
        </w:trPr>
        <w:tc>
          <w:tcPr>
            <w:tcW w:w="6700" w:type="dxa"/>
            <w:vAlign w:val="bottom"/>
            <w:gridSpan w:val="2"/>
          </w:tcPr>
          <w:p>
            <w:pPr>
              <w:ind w:left="20"/>
              <w:spacing w:after="0"/>
              <w:rPr>
                <w:sz w:val="20"/>
                <w:szCs w:val="20"/>
                <w:color w:val="auto"/>
              </w:rPr>
            </w:pPr>
            <w:r>
              <w:rPr>
                <w:rFonts w:ascii="Arial" w:cs="Arial" w:eastAsia="Arial" w:hAnsi="Arial"/>
                <w:sz w:val="14"/>
                <w:szCs w:val="14"/>
                <w:color w:val="auto"/>
              </w:rPr>
              <w:t>U.S. tax on foreign earnings</w:t>
            </w: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jc w:val="right"/>
              <w:ind w:right="11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1700" w:type="dxa"/>
            <w:vAlign w:val="bottom"/>
          </w:tcPr>
          <w:p>
            <w:pPr>
              <w:jc w:val="right"/>
              <w:ind w:right="110"/>
              <w:spacing w:after="0"/>
              <w:rPr>
                <w:sz w:val="20"/>
                <w:szCs w:val="20"/>
                <w:color w:val="auto"/>
              </w:rPr>
            </w:pPr>
            <w:r>
              <w:rPr>
                <w:rFonts w:ascii="Arial" w:cs="Arial" w:eastAsia="Arial" w:hAnsi="Arial"/>
                <w:sz w:val="14"/>
                <w:szCs w:val="14"/>
                <w:color w:val="auto"/>
              </w:rPr>
              <w:t>0.0</w:t>
            </w:r>
          </w:p>
        </w:tc>
      </w:tr>
      <w:tr>
        <w:trPr>
          <w:trHeight w:val="187"/>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net</w:t>
            </w: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(1.0)</w:t>
            </w:r>
          </w:p>
        </w:tc>
      </w:tr>
      <w:tr>
        <w:trPr>
          <w:trHeight w:val="175"/>
        </w:trPr>
        <w:tc>
          <w:tcPr>
            <w:tcW w:w="5580" w:type="dxa"/>
            <w:vAlign w:val="bottom"/>
          </w:tcPr>
          <w:p>
            <w:pPr>
              <w:ind w:left="20"/>
              <w:spacing w:after="0" w:line="159" w:lineRule="exact"/>
              <w:rPr>
                <w:sz w:val="20"/>
                <w:szCs w:val="20"/>
                <w:color w:val="auto"/>
              </w:rPr>
            </w:pPr>
            <w:r>
              <w:rPr>
                <w:rFonts w:ascii="Arial" w:cs="Arial" w:eastAsia="Arial" w:hAnsi="Arial"/>
                <w:sz w:val="14"/>
                <w:szCs w:val="14"/>
                <w:color w:val="auto"/>
              </w:rPr>
              <w:t>Effective rate</w:t>
            </w:r>
          </w:p>
        </w:tc>
        <w:tc>
          <w:tcPr>
            <w:tcW w:w="11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42.9 %</w:t>
            </w:r>
          </w:p>
        </w:tc>
        <w:tc>
          <w:tcPr>
            <w:tcW w:w="100" w:type="dxa"/>
            <w:vAlign w:val="bottom"/>
          </w:tcPr>
          <w:p>
            <w:pPr>
              <w:spacing w:after="0"/>
              <w:rPr>
                <w:sz w:val="15"/>
                <w:szCs w:val="15"/>
                <w:color w:val="auto"/>
              </w:rPr>
            </w:pPr>
          </w:p>
        </w:tc>
        <w:tc>
          <w:tcPr>
            <w:tcW w:w="114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20.4 %</w:t>
            </w:r>
          </w:p>
        </w:tc>
        <w:tc>
          <w:tcPr>
            <w:tcW w:w="100" w:type="dxa"/>
            <w:vAlign w:val="bottom"/>
          </w:tcPr>
          <w:p>
            <w:pPr>
              <w:spacing w:after="0"/>
              <w:rPr>
                <w:sz w:val="15"/>
                <w:szCs w:val="15"/>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18.7 %</w:t>
            </w:r>
          </w:p>
        </w:tc>
      </w:tr>
      <w:tr>
        <w:trPr>
          <w:trHeight w:val="22"/>
        </w:trPr>
        <w:tc>
          <w:tcPr>
            <w:tcW w:w="55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434"/>
        <w:spacing w:after="0" w:line="291" w:lineRule="auto"/>
        <w:rPr>
          <w:sz w:val="20"/>
          <w:szCs w:val="20"/>
          <w:color w:val="auto"/>
        </w:rPr>
      </w:pPr>
      <w:r>
        <w:rPr>
          <w:rFonts w:ascii="Arial" w:cs="Arial" w:eastAsia="Arial" w:hAnsi="Arial"/>
          <w:sz w:val="16"/>
          <w:szCs w:val="16"/>
          <w:color w:val="auto"/>
        </w:rPr>
        <w:t>The non-U.S. income tax benefit presented in the table above includes tax-exempt income in Hong Kong and Singapore, and a deemed interest deduction in Switzerland, which collectively represented 12.9% in 2020, 8.8% in 2019, and 4.0% in 2018. We included the impact of these items in the non-U.S. income line above because we consider them to be equivalent to a reduction of the statutory tax rates in these jurisdictions. Pre-tax income in Switzerland, Singapore, and Hong Kong totaled $314 million in 2020, $709 million in 2019, and $513 million in 2018.</w:t>
      </w:r>
    </w:p>
    <w:p>
      <w:pPr>
        <w:spacing w:after="0" w:line="108" w:lineRule="exact"/>
        <w:rPr>
          <w:sz w:val="20"/>
          <w:szCs w:val="20"/>
          <w:color w:val="auto"/>
        </w:rPr>
      </w:pPr>
    </w:p>
    <w:p>
      <w:pPr>
        <w:ind w:right="100" w:firstLine="395"/>
        <w:spacing w:after="0" w:line="324" w:lineRule="auto"/>
        <w:rPr>
          <w:sz w:val="20"/>
          <w:szCs w:val="20"/>
          <w:color w:val="auto"/>
        </w:rPr>
      </w:pPr>
      <w:r>
        <w:rPr>
          <w:rFonts w:ascii="Arial" w:cs="Arial" w:eastAsia="Arial" w:hAnsi="Arial"/>
          <w:sz w:val="16"/>
          <w:szCs w:val="16"/>
          <w:color w:val="auto"/>
        </w:rPr>
        <w:t>The non-U.S. income tax benefit also includes U.S. income tax expense on non-U.S. operations, which represents 0.8% in 2020, 2.0% in 2019, and 1.4% in 2018. We included the impact of this tax in the non-U.S. income line above because we consider this tax to be an integral part of the foreign taxes.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Information</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paid cash for income taxes, net of refunds, of $279 million in 2020, $526 million in 2019, and $678 million in 2018.</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61"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We issue guarantees to certain lenders and hotel owners, chiefly to obtain long-term management and franchise contracts. The guarantees generally have a stated maximum funding amount and a term of three to ten years. The terms of guarantees to lenders generally require us to fund if cash flows from hotel operations are inadequate to cover annual debt service or to repay the loan at maturity. The terms of the guarantees to hotel owners generally require us to fund if the hotels do not attain specified levels of operating profit. Guarantee fundings to lenders and hotel owners are generally recoverable out of future hotel cash flows and/or proceeds from the sale or refinancing of hotels.</w:t>
      </w:r>
    </w:p>
    <w:p>
      <w:pPr>
        <w:spacing w:after="0" w:line="111" w:lineRule="exact"/>
        <w:rPr>
          <w:sz w:val="20"/>
          <w:szCs w:val="20"/>
          <w:color w:val="auto"/>
        </w:rPr>
      </w:pPr>
    </w:p>
    <w:p>
      <w:pPr>
        <w:ind w:right="60" w:firstLine="395"/>
        <w:spacing w:after="0" w:line="324" w:lineRule="auto"/>
        <w:rPr>
          <w:sz w:val="20"/>
          <w:szCs w:val="20"/>
          <w:color w:val="auto"/>
        </w:rPr>
      </w:pPr>
      <w:r>
        <w:rPr>
          <w:rFonts w:ascii="Arial" w:cs="Arial" w:eastAsia="Arial" w:hAnsi="Arial"/>
          <w:sz w:val="16"/>
          <w:szCs w:val="16"/>
          <w:color w:val="auto"/>
        </w:rPr>
        <w:t>We present the maximum potential amount of our future guarantee fundings and the carrying amount of our liability for our debt service, operating profit, and other guarantees (excluding contingent purchase obligations) for which we are the primary obligor at year-end 2020 in the following table:</w:t>
      </w:r>
    </w:p>
    <w:p>
      <w:pPr>
        <w:spacing w:after="0" w:line="9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5860" w:type="dxa"/>
            <w:vAlign w:val="bottom"/>
            <w:vMerge w:val="restart"/>
          </w:tcPr>
          <w:p>
            <w:pPr>
              <w:ind w:left="400"/>
              <w:spacing w:after="0"/>
              <w:rPr>
                <w:sz w:val="20"/>
                <w:szCs w:val="20"/>
                <w:color w:val="auto"/>
              </w:rPr>
            </w:pPr>
            <w:r>
              <w:rPr>
                <w:rFonts w:ascii="Arial" w:cs="Arial" w:eastAsia="Arial" w:hAnsi="Arial"/>
                <w:sz w:val="14"/>
                <w:szCs w:val="14"/>
                <w:i w:val="1"/>
                <w:iCs w:val="1"/>
                <w:color w:val="auto"/>
              </w:rPr>
              <w:t>($ in millions)</w:t>
            </w:r>
          </w:p>
        </w:tc>
        <w:tc>
          <w:tcPr>
            <w:tcW w:w="560" w:type="dxa"/>
            <w:vAlign w:val="bottom"/>
          </w:tcPr>
          <w:p>
            <w:pPr>
              <w:spacing w:after="0"/>
              <w:rPr>
                <w:sz w:val="14"/>
                <w:szCs w:val="14"/>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Maximum Potential</w:t>
            </w:r>
          </w:p>
        </w:tc>
        <w:tc>
          <w:tcPr>
            <w:tcW w:w="480" w:type="dxa"/>
            <w:vAlign w:val="bottom"/>
          </w:tcPr>
          <w:p>
            <w:pPr>
              <w:spacing w:after="0"/>
              <w:rPr>
                <w:sz w:val="14"/>
                <w:szCs w:val="14"/>
                <w:color w:val="auto"/>
              </w:rPr>
            </w:pPr>
          </w:p>
        </w:tc>
        <w:tc>
          <w:tcPr>
            <w:tcW w:w="150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93"/>
              </w:rPr>
              <w:t>Recorded Liability for</w:t>
            </w:r>
          </w:p>
        </w:tc>
        <w:tc>
          <w:tcPr>
            <w:tcW w:w="0" w:type="dxa"/>
            <w:vAlign w:val="bottom"/>
          </w:tcPr>
          <w:p>
            <w:pPr>
              <w:spacing w:after="0"/>
              <w:rPr>
                <w:sz w:val="1"/>
                <w:szCs w:val="1"/>
                <w:color w:val="auto"/>
              </w:rPr>
            </w:pPr>
          </w:p>
        </w:tc>
      </w:tr>
      <w:tr>
        <w:trPr>
          <w:trHeight w:val="132"/>
        </w:trPr>
        <w:tc>
          <w:tcPr>
            <w:tcW w:w="586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660" w:type="dxa"/>
            <w:vAlign w:val="bottom"/>
            <w:gridSpan w:val="2"/>
          </w:tcPr>
          <w:p>
            <w:pPr>
              <w:jc w:val="center"/>
              <w:ind w:right="680"/>
              <w:spacing w:after="0" w:line="132" w:lineRule="exact"/>
              <w:rPr>
                <w:sz w:val="20"/>
                <w:szCs w:val="20"/>
                <w:color w:val="auto"/>
              </w:rPr>
            </w:pPr>
            <w:r>
              <w:rPr>
                <w:rFonts w:ascii="Arial" w:cs="Arial" w:eastAsia="Arial" w:hAnsi="Arial"/>
                <w:sz w:val="14"/>
                <w:szCs w:val="14"/>
                <w:b w:val="1"/>
                <w:bCs w:val="1"/>
                <w:color w:val="auto"/>
                <w:w w:val="94"/>
              </w:rPr>
              <w:t>Amount</w:t>
            </w:r>
          </w:p>
        </w:tc>
        <w:tc>
          <w:tcPr>
            <w:tcW w:w="48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5860" w:type="dxa"/>
            <w:vAlign w:val="bottom"/>
          </w:tcPr>
          <w:p>
            <w:pPr>
              <w:ind w:left="400"/>
              <w:spacing w:after="0"/>
              <w:rPr>
                <w:sz w:val="20"/>
                <w:szCs w:val="20"/>
                <w:color w:val="auto"/>
              </w:rPr>
            </w:pPr>
            <w:r>
              <w:rPr>
                <w:rFonts w:ascii="Arial" w:cs="Arial" w:eastAsia="Arial" w:hAnsi="Arial"/>
                <w:sz w:val="14"/>
                <w:szCs w:val="14"/>
                <w:b w:val="1"/>
                <w:bCs w:val="1"/>
                <w:color w:val="auto"/>
              </w:rPr>
              <w:t>Guarantee Type</w:t>
            </w:r>
          </w:p>
        </w:tc>
        <w:tc>
          <w:tcPr>
            <w:tcW w:w="2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of Future Fundings</w:t>
            </w:r>
          </w:p>
        </w:tc>
        <w:tc>
          <w:tcPr>
            <w:tcW w:w="480" w:type="dxa"/>
            <w:vAlign w:val="bottom"/>
          </w:tcPr>
          <w:p>
            <w:pPr>
              <w:spacing w:after="0"/>
              <w:rPr>
                <w:sz w:val="15"/>
                <w:szCs w:val="15"/>
                <w:color w:val="auto"/>
              </w:rPr>
            </w:pPr>
          </w:p>
        </w:tc>
        <w:tc>
          <w:tcPr>
            <w:tcW w:w="1500" w:type="dxa"/>
            <w:vAlign w:val="bottom"/>
          </w:tcPr>
          <w:p>
            <w:pPr>
              <w:jc w:val="right"/>
              <w:ind w:right="590"/>
              <w:spacing w:after="0"/>
              <w:rPr>
                <w:sz w:val="20"/>
                <w:szCs w:val="20"/>
                <w:color w:val="auto"/>
              </w:rPr>
            </w:pPr>
            <w:r>
              <w:rPr>
                <w:rFonts w:ascii="Arial" w:cs="Arial" w:eastAsia="Arial" w:hAnsi="Arial"/>
                <w:sz w:val="14"/>
                <w:szCs w:val="14"/>
                <w:b w:val="1"/>
                <w:bCs w:val="1"/>
                <w:color w:val="auto"/>
              </w:rPr>
              <w:t>Guarantees</w:t>
            </w:r>
          </w:p>
        </w:tc>
        <w:tc>
          <w:tcPr>
            <w:tcW w:w="0" w:type="dxa"/>
            <w:vAlign w:val="bottom"/>
          </w:tcPr>
          <w:p>
            <w:pPr>
              <w:spacing w:after="0"/>
              <w:rPr>
                <w:sz w:val="1"/>
                <w:szCs w:val="1"/>
                <w:color w:val="auto"/>
              </w:rPr>
            </w:pPr>
          </w:p>
        </w:tc>
      </w:tr>
      <w:tr>
        <w:trPr>
          <w:trHeight w:val="178"/>
        </w:trPr>
        <w:tc>
          <w:tcPr>
            <w:tcW w:w="58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Debt service</w:t>
            </w:r>
          </w:p>
        </w:tc>
        <w:tc>
          <w:tcPr>
            <w:tcW w:w="5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2"/>
        </w:trPr>
        <w:tc>
          <w:tcPr>
            <w:tcW w:w="5860" w:type="dxa"/>
            <w:vAlign w:val="bottom"/>
          </w:tcPr>
          <w:p>
            <w:pPr>
              <w:ind w:left="400"/>
              <w:spacing w:after="0"/>
              <w:rPr>
                <w:sz w:val="20"/>
                <w:szCs w:val="20"/>
                <w:color w:val="auto"/>
              </w:rPr>
            </w:pPr>
            <w:r>
              <w:rPr>
                <w:rFonts w:ascii="Arial" w:cs="Arial" w:eastAsia="Arial" w:hAnsi="Arial"/>
                <w:sz w:val="14"/>
                <w:szCs w:val="14"/>
                <w:color w:val="auto"/>
              </w:rPr>
              <w:t>Operating profit</w:t>
            </w:r>
          </w:p>
        </w:tc>
        <w:tc>
          <w:tcPr>
            <w:tcW w:w="5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84"/>
        </w:trPr>
        <w:tc>
          <w:tcPr>
            <w:tcW w:w="58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Other</w:t>
            </w:r>
          </w:p>
        </w:tc>
        <w:tc>
          <w:tcPr>
            <w:tcW w:w="56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7"/>
        </w:trPr>
        <w:tc>
          <w:tcPr>
            <w:tcW w:w="5860" w:type="dxa"/>
            <w:vAlign w:val="bottom"/>
          </w:tcPr>
          <w:p>
            <w:pPr>
              <w:spacing w:after="0"/>
              <w:rPr>
                <w:sz w:val="15"/>
                <w:szCs w:val="15"/>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2"/>
        </w:trPr>
        <w:tc>
          <w:tcPr>
            <w:tcW w:w="58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right="60" w:firstLine="395"/>
        <w:spacing w:after="0" w:line="261" w:lineRule="auto"/>
        <w:rPr>
          <w:sz w:val="20"/>
          <w:szCs w:val="20"/>
          <w:color w:val="auto"/>
        </w:rPr>
      </w:pPr>
      <w:r>
        <w:rPr>
          <w:rFonts w:ascii="Arial" w:cs="Arial" w:eastAsia="Arial" w:hAnsi="Arial"/>
          <w:sz w:val="18"/>
          <w:szCs w:val="18"/>
          <w:color w:val="auto"/>
        </w:rPr>
        <w:t>Our liability at year-end 2020 for guarantees for which we are the primary obligor is reflected in our Balance Sheets as $16 million of “Accrued expenses and other” and $122 million of “Other noncurrent liabilities.”</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395"/>
        <w:spacing w:after="0" w:line="324" w:lineRule="auto"/>
        <w:rPr>
          <w:sz w:val="20"/>
          <w:szCs w:val="20"/>
          <w:color w:val="auto"/>
        </w:rPr>
      </w:pPr>
      <w:r>
        <w:rPr>
          <w:rFonts w:ascii="Arial" w:cs="Arial" w:eastAsia="Arial" w:hAnsi="Arial"/>
          <w:sz w:val="16"/>
          <w:szCs w:val="16"/>
          <w:color w:val="auto"/>
        </w:rPr>
        <w:t>Our maximum potential guarantees listed in the preceding table include $90 million of operating profit guarantees and $7 million of other guarantees that will not be in effect until the underlying properties open and we begin to operate the properties or certain other events occur.</w:t>
      </w:r>
    </w:p>
    <w:p>
      <w:pPr>
        <w:spacing w:after="0" w:line="82" w:lineRule="exact"/>
        <w:rPr>
          <w:sz w:val="20"/>
          <w:szCs w:val="20"/>
          <w:color w:val="auto"/>
        </w:rPr>
      </w:pPr>
    </w:p>
    <w:p>
      <w:pPr>
        <w:ind w:right="460" w:firstLine="434"/>
        <w:spacing w:after="0" w:line="324" w:lineRule="auto"/>
        <w:rPr>
          <w:sz w:val="20"/>
          <w:szCs w:val="20"/>
          <w:color w:val="auto"/>
        </w:rPr>
      </w:pPr>
      <w:r>
        <w:rPr>
          <w:rFonts w:ascii="Arial" w:cs="Arial" w:eastAsia="Arial" w:hAnsi="Arial"/>
          <w:sz w:val="16"/>
          <w:szCs w:val="16"/>
          <w:color w:val="auto"/>
        </w:rPr>
        <w:t>In conjunction with financing obtained for specific projects or properties owned by us or entities in which we have an investment, we may provide industry standard indemnifications to the lender for loss, liability, or damage occurring as a result of the actions of the entity or our own actions.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Purchase Obligation</w:t>
      </w:r>
    </w:p>
    <w:p>
      <w:pPr>
        <w:spacing w:after="0" w:line="161" w:lineRule="exact"/>
        <w:rPr>
          <w:sz w:val="20"/>
          <w:szCs w:val="20"/>
          <w:color w:val="auto"/>
        </w:rPr>
      </w:pPr>
    </w:p>
    <w:p>
      <w:pPr>
        <w:ind w:right="80" w:firstLine="395"/>
        <w:spacing w:after="0" w:line="247" w:lineRule="auto"/>
        <w:rPr>
          <w:sz w:val="20"/>
          <w:szCs w:val="20"/>
          <w:color w:val="auto"/>
        </w:rPr>
      </w:pPr>
      <w:r>
        <w:rPr>
          <w:rFonts w:ascii="Arial" w:cs="Arial" w:eastAsia="Arial" w:hAnsi="Arial"/>
          <w:sz w:val="18"/>
          <w:szCs w:val="18"/>
          <w:u w:val="single" w:color="auto"/>
          <w:color w:val="auto"/>
        </w:rPr>
        <w:t>Sheraton Grand Chicago</w:t>
      </w:r>
      <w:r>
        <w:rPr>
          <w:rFonts w:ascii="Arial" w:cs="Arial" w:eastAsia="Arial" w:hAnsi="Arial"/>
          <w:sz w:val="18"/>
          <w:szCs w:val="18"/>
          <w:color w:val="auto"/>
        </w:rPr>
        <w:t>. In 2017, we granted the owner a one-time right, exercisable in 2022, to require us to purchase the leasehold interest in the land and the hotel for $300 million in cash (the “put option”). If the owner exercises the put option, we have the option to purchase, at the same time the put transaction closes, the fee simple interest in the underlying land for an additional $200 million in cash. We account for the put option as a guarantee. In the 2020 fourth quarter, we estimated that the put option is probable of being exercised under the terms of the agreement, and accordingly, we increased our recorded liability from $57 million at year-end 2019 to $300 million at year-end 2020. We recorded the related expense in the “Restructuring and merger-related charges” caption of our Income Statements.</w:t>
      </w:r>
    </w:p>
    <w:p>
      <w:pPr>
        <w:spacing w:after="0" w:line="143" w:lineRule="exact"/>
        <w:rPr>
          <w:sz w:val="20"/>
          <w:szCs w:val="20"/>
          <w:color w:val="auto"/>
        </w:rPr>
      </w:pPr>
    </w:p>
    <w:p>
      <w:pPr>
        <w:jc w:val="both"/>
        <w:ind w:right="20" w:firstLine="395"/>
        <w:spacing w:after="0" w:line="250" w:lineRule="auto"/>
        <w:rPr>
          <w:sz w:val="20"/>
          <w:szCs w:val="20"/>
          <w:color w:val="auto"/>
        </w:rPr>
      </w:pPr>
      <w:r>
        <w:rPr>
          <w:rFonts w:ascii="Arial" w:cs="Arial" w:eastAsia="Arial" w:hAnsi="Arial"/>
          <w:sz w:val="18"/>
          <w:szCs w:val="18"/>
          <w:color w:val="auto"/>
        </w:rPr>
        <w:t>We concluded that the entity that owns the Sheraton Grand Chicago hotel is a variable interest entity. We did not consolidate the entity because we do not have the power to direct the activities that most significantly impact the entity’s economic performance. Our maximum exposure to loss related to the entity is equal to the difference between the purchase price and the fair value of the hotel at the time that the put option is exercised, plus the maximum funding amount of an operating profit guarantee that we provided for the hotel.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161" w:lineRule="exact"/>
        <w:rPr>
          <w:sz w:val="20"/>
          <w:szCs w:val="20"/>
          <w:color w:val="auto"/>
        </w:rPr>
      </w:pPr>
    </w:p>
    <w:p>
      <w:pPr>
        <w:ind w:right="60" w:firstLine="434"/>
        <w:spacing w:after="0" w:line="252" w:lineRule="auto"/>
        <w:rPr>
          <w:sz w:val="20"/>
          <w:szCs w:val="20"/>
          <w:color w:val="auto"/>
        </w:rPr>
      </w:pPr>
      <w:r>
        <w:rPr>
          <w:rFonts w:ascii="Arial" w:cs="Arial" w:eastAsia="Arial" w:hAnsi="Arial"/>
          <w:sz w:val="18"/>
          <w:szCs w:val="18"/>
          <w:color w:val="auto"/>
        </w:rPr>
        <w:t>At year-end 2020, we had various purchase commitments for goods and services in the normal course of business, primarily for programs and services for which we are reimbursed by third-party owners, totaling $437 million. We expect to purchase goods and services subject to these commitments as follows: $186 million in 2021, $137 million in 2022, $48 million in 2023, and $66 million thereafter.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161"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At year-end 2020, we had $156 million of letters of credit outstanding (all outside the Credit Facility, as defined in Note 10), most of which were for our self-insurance programs. Surety bonds issued as of year-end 2020 totaled $163 million, most of which state governments requested in connection with our self-insurance programs.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Starwood Data Security Incident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Event</w:t>
      </w:r>
    </w:p>
    <w:p>
      <w:pPr>
        <w:spacing w:after="0" w:line="161" w:lineRule="exact"/>
        <w:rPr>
          <w:sz w:val="20"/>
          <w:szCs w:val="20"/>
          <w:color w:val="auto"/>
        </w:rPr>
      </w:pPr>
    </w:p>
    <w:p>
      <w:pPr>
        <w:ind w:right="100" w:firstLine="395"/>
        <w:spacing w:after="0" w:line="250" w:lineRule="auto"/>
        <w:rPr>
          <w:sz w:val="20"/>
          <w:szCs w:val="20"/>
          <w:color w:val="auto"/>
        </w:rPr>
      </w:pPr>
      <w:r>
        <w:rPr>
          <w:rFonts w:ascii="Arial" w:cs="Arial" w:eastAsia="Arial" w:hAnsi="Arial"/>
          <w:sz w:val="18"/>
          <w:szCs w:val="18"/>
          <w:color w:val="auto"/>
        </w:rPr>
        <w:t xml:space="preserve">On November 30, 2018, we announced a data security incident involving </w:t>
      </w:r>
      <w:r>
        <w:rPr>
          <w:rFonts w:ascii="Arial" w:cs="Arial" w:eastAsia="Arial" w:hAnsi="Arial"/>
          <w:sz w:val="18"/>
          <w:szCs w:val="18"/>
          <w:color w:val="1C1C1C"/>
        </w:rPr>
        <w:t>unauthorized access to</w:t>
      </w:r>
      <w:r>
        <w:rPr>
          <w:rFonts w:ascii="Arial" w:cs="Arial" w:eastAsia="Arial" w:hAnsi="Arial"/>
          <w:sz w:val="18"/>
          <w:szCs w:val="18"/>
          <w:color w:val="auto"/>
        </w:rPr>
        <w:t xml:space="preserve"> the Starwood reservations database </w:t>
      </w:r>
      <w:r>
        <w:rPr>
          <w:rFonts w:ascii="Arial" w:cs="Arial" w:eastAsia="Arial" w:hAnsi="Arial"/>
          <w:sz w:val="18"/>
          <w:szCs w:val="18"/>
          <w:color w:val="1C1C1C"/>
        </w:rPr>
        <w:t>(the “Data Security</w:t>
      </w:r>
      <w:r>
        <w:rPr>
          <w:rFonts w:ascii="Arial" w:cs="Arial" w:eastAsia="Arial" w:hAnsi="Arial"/>
          <w:sz w:val="18"/>
          <w:szCs w:val="18"/>
          <w:color w:val="auto"/>
        </w:rPr>
        <w:t xml:space="preserve"> </w:t>
      </w:r>
      <w:r>
        <w:rPr>
          <w:rFonts w:ascii="Arial" w:cs="Arial" w:eastAsia="Arial" w:hAnsi="Arial"/>
          <w:sz w:val="18"/>
          <w:szCs w:val="18"/>
          <w:color w:val="1C1C1C"/>
        </w:rPr>
        <w:t xml:space="preserve">Incident”). Working with leading security experts, we </w:t>
      </w:r>
      <w:r>
        <w:rPr>
          <w:rFonts w:ascii="Arial" w:cs="Arial" w:eastAsia="Arial" w:hAnsi="Arial"/>
          <w:sz w:val="18"/>
          <w:szCs w:val="18"/>
          <w:color w:val="000000"/>
        </w:rPr>
        <w:t>determined that there was unauthorized access to the</w:t>
      </w:r>
      <w:r>
        <w:rPr>
          <w:rFonts w:ascii="Arial" w:cs="Arial" w:eastAsia="Arial" w:hAnsi="Arial"/>
          <w:sz w:val="18"/>
          <w:szCs w:val="18"/>
          <w:color w:val="1C1C1C"/>
        </w:rPr>
        <w:t xml:space="preserve"> Starwood network since 2014 and that an unauthorized party had copied information from the Starwood reservations database and taken steps towards removing it. </w:t>
      </w:r>
      <w:r>
        <w:rPr>
          <w:rFonts w:ascii="Arial" w:cs="Arial" w:eastAsia="Arial" w:hAnsi="Arial"/>
          <w:sz w:val="18"/>
          <w:szCs w:val="18"/>
          <w:color w:val="000000"/>
        </w:rPr>
        <w:t>The</w:t>
      </w:r>
      <w:r>
        <w:rPr>
          <w:rFonts w:ascii="Arial" w:cs="Arial" w:eastAsia="Arial" w:hAnsi="Arial"/>
          <w:sz w:val="18"/>
          <w:szCs w:val="18"/>
          <w:color w:val="1C1C1C"/>
        </w:rPr>
        <w:t xml:space="preserve"> Starwood reservations database is no longer used for business operations</w:t>
      </w:r>
      <w:r>
        <w:rPr>
          <w:rFonts w:ascii="Arial" w:cs="Arial" w:eastAsia="Arial" w:hAnsi="Arial"/>
          <w:sz w:val="18"/>
          <w:szCs w:val="18"/>
          <w:color w:val="000000"/>
        </w:rPr>
        <w: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Expenses and Insurance Recoveries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2020, we recorded an $11 million net reversal of expenses and $29 million of accrued insurance recoveries related to the Data Security Incident;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2019, we recorded $148 million of expenses and $84 million of accrued insurance recoveries related to the Data Security Incident; and in 2018, we recorded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$28 million of expenses and $25 million of accrued insurance recoveries related to the Data Security Incident. We received insurance recoveries of $47 million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in 2020 and $58 million in 2019. The net reversal of expenses for 2020 is primarily due to the reduction of the accrual for the ICO fine to reflect the amount of</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the final ICO fine, as further described below. We recognize insurance recoveries when they are probable of receipt and present them in our Income Statements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 the same caption as the related expense, up to the amount of total expense incurred in prior and current periods. We present expenses and insurance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recoveries related to the Data Security Incident in either the “Reimbursed expenses” or “Restructuring and merger-related charges” captions of our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Statements.</w:t>
      </w: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Claims, and Government Investigations</w:t>
      </w:r>
    </w:p>
    <w:p>
      <w:pPr>
        <w:spacing w:after="0" w:line="161" w:lineRule="exact"/>
        <w:rPr>
          <w:sz w:val="20"/>
          <w:szCs w:val="20"/>
          <w:color w:val="auto"/>
        </w:rPr>
      </w:pPr>
    </w:p>
    <w:p>
      <w:pPr>
        <w:ind w:firstLine="395"/>
        <w:spacing w:after="0" w:line="276" w:lineRule="auto"/>
        <w:rPr>
          <w:sz w:val="20"/>
          <w:szCs w:val="20"/>
          <w:color w:val="auto"/>
        </w:rPr>
      </w:pPr>
      <w:r>
        <w:rPr>
          <w:rFonts w:ascii="Arial" w:cs="Arial" w:eastAsia="Arial" w:hAnsi="Arial"/>
          <w:sz w:val="16"/>
          <w:szCs w:val="16"/>
          <w:color w:val="auto"/>
        </w:rPr>
        <w:t xml:space="preserve">Following our announcement of the Data Security Incident, approximately 100 lawsuits were filed by consumers and others against us in U.S. federal, U.S. state and Canadian courts related to the incident. All but one of the U.S. cases were consolidated and transferred to the U.S. District Court for the District of Maryland, pursuant to orders of the U.S. Judicial Panel on Multidistrict Litigation (the “MDL”). The plaintiffs </w:t>
      </w:r>
      <w:r>
        <w:rPr>
          <w:rFonts w:ascii="Arial" w:cs="Arial" w:eastAsia="Arial" w:hAnsi="Arial"/>
          <w:sz w:val="17"/>
          <w:szCs w:val="17"/>
          <w:color w:val="auto"/>
        </w:rPr>
        <w:t>in th</w:t>
      </w:r>
      <w:r>
        <w:rPr>
          <w:rFonts w:ascii="Arial" w:cs="Arial" w:eastAsia="Arial" w:hAnsi="Arial"/>
          <w:sz w:val="16"/>
          <w:szCs w:val="16"/>
          <w:color w:val="auto"/>
        </w:rPr>
        <w:t>e U.S. and Canadian cases, who generally purport to represent various classes of consumers, generally claim to have been harmed by alleged actions and/or omissions by the Company in connection with the Data Security Incident and assert a variety of common law and statutory claims seeking monetary damages, injunctive relief, costs and attorneys’ fees, and other related relief. Among the U.S. cases consolidated in the MDL proceeding is a putative class action lawsuit that was filed against us and certain of our current officers and directors on December 1, 2018, alleging violations of the federal securities laws in connection with statements regarding our cybersecurity systems and controls, and seeking certification of a class of affected persons, unspecified monetary damages, costs and attorneys’ fees, and other related relief. The MDL proceeding also includes two shareholder derivative complaints that were filed on February 26, 2019 and March 15, 2019, respectively, against the Company, certain of its officers and certain current and former members of our Board of Directors, alleging, among other claims, breach of fiduciary duty, corporate waste, unjust enrichment, mismanagement and violations of the federal securities laws, and seeking unspecified monetary damages and restitution, changes to the Company’s corporate governance and internal procedures, costs and attorneys’ fees, and other related relief. A separate shareholder derivative complaint was filed in the Delaware Court of Chancery on December 3, 2019 against the Company and certain of its officers and certain current and former members of our Board of Directors, alleging claims and seeking relief generally similar to the claims made and relief sought in the other two derivative cases. This case will not be consolidated with the MDL proceeding. We dispute the allegations in the lawsuits described above and are vigorously defending against such claims. We have filed motions to dismiss in each of these cases, some of which have been denied, but the cases generally remain at an early stage. The Canadian cases have effectively been consolidated into a single case in the province of Ontario. In April 2019, we received a letter purportedly on behalf of a stockholder of the Company (also one of the named plaintiffs in the putative securities class action described above) demanding that our Board of Directors take action against the Company’s current and certain former officers and directors to recover damages for alleged breaches of fiduciary duties and related claims arising from the Data Security Incident. The Board of Directors has constituted a demand review committee to investigate the claims made in the demand letter, and the committee has retained independent counsel to assist with the investigation. The committee’s investigation is ongoing. In addition, on August 18, 2020, a purported representative action was brought against us in the High Court of Justice for England and Wales on behalf of an alleged claimant class of English and Welsh residents alleging breaches of the General Data Protection Regulation and/or the U.K. Data Protection Act 2018 (the “U.K. DPA”) in connection with the Data Security Incident. We dispute all of the allegations in this purported action and will vigorously defend against any such claims. On November 5, 2020, the court issued an order with the consent of all parties staying this action pending resolution of another case raising similar issues, but not involving the Company, that is pending before the U.K. Supreme Court.</w:t>
      </w:r>
    </w:p>
    <w:p>
      <w:pPr>
        <w:spacing w:after="0" w:line="131" w:lineRule="exact"/>
        <w:rPr>
          <w:sz w:val="20"/>
          <w:szCs w:val="20"/>
          <w:color w:val="auto"/>
        </w:rPr>
      </w:pPr>
    </w:p>
    <w:p>
      <w:pPr>
        <w:ind w:firstLine="395"/>
        <w:spacing w:after="0" w:line="278" w:lineRule="auto"/>
        <w:rPr>
          <w:sz w:val="20"/>
          <w:szCs w:val="20"/>
          <w:color w:val="auto"/>
        </w:rPr>
      </w:pPr>
      <w:r>
        <w:rPr>
          <w:rFonts w:ascii="Arial" w:cs="Arial" w:eastAsia="Arial" w:hAnsi="Arial"/>
          <w:sz w:val="16"/>
          <w:szCs w:val="16"/>
          <w:color w:val="auto"/>
        </w:rPr>
        <w:t>In addition, numerous U.S. federal, U.S. state and foreign governmental authorities made inquiries, opened investigations, or requested information and/or documents related to the Data Security Incident and related matters, including Attorneys General offices from all 50 states and the District of Columbia, the Federal Trade Commission, the Securities and Exchange Commission, certain committees of the U.S. Senate and House of Representatives, the Information Commissioner’s Office in the United Kingdom (the “ICO”) as lead supervisory authority in the European Economic Area, and regulatory authorities in various other jurisdictions. With the exception of the ICO proceeding, these matters generally remain open. In July 2019, the ICO issued a formal notice of intent under the U.K. DPA proposing a fine in the amount of £99 million against the Company in relation to the Data Security Incident. We submitted written responses to the ICO vigorously defending our position and engaged with the ICO regarding the Data Security Incident and proposed fine. In October 2020, the ICO issued a final decision under the U.K. DPA, which includes a fine of £18.4 million. The Company did not appeal the ICO’s decision, but has made no admission of liability in relation to the decision or the underlying allegations. In 2019, we expensed $65 million for this loss contingency, in the “Restructuring and merger-related charges” caption of our Income Statements, based on the fine initially proposed by the ICO in July 2019 and the ongoing proceeding. In 2020, we recorded a $39 million reversal of expense, based on the ICO’s issuance of the final decision. We paid a portion of the ICO fine in the 2020 fourth quarter, and the remainder is payable over the next two years. Our accrual for this loss contingency, which we present in the “Accrued expenses and other” and “Other noncurrent liabilities” captions of our Balance Sheets, was $65 million at year-end 2019 and $17 million at year-end 2020. Our production of information and/or documents to the state Attorneys General and the Federal Trade Commission is now complete, and we are in the early stages of discussions with those authorities to resolve their investigations and requests.</w:t>
      </w:r>
    </w:p>
    <w:p>
      <w:pPr>
        <w:spacing w:after="0" w:line="119" w:lineRule="exact"/>
        <w:rPr>
          <w:sz w:val="20"/>
          <w:szCs w:val="20"/>
          <w:color w:val="auto"/>
        </w:rPr>
      </w:pPr>
    </w:p>
    <w:p>
      <w:pPr>
        <w:jc w:val="both"/>
        <w:ind w:right="40" w:firstLine="395"/>
        <w:spacing w:after="0" w:line="250" w:lineRule="auto"/>
        <w:rPr>
          <w:sz w:val="20"/>
          <w:szCs w:val="20"/>
          <w:color w:val="auto"/>
        </w:rPr>
      </w:pPr>
      <w:r>
        <w:rPr>
          <w:rFonts w:ascii="Arial" w:cs="Arial" w:eastAsia="Arial" w:hAnsi="Arial"/>
          <w:sz w:val="18"/>
          <w:szCs w:val="18"/>
          <w:color w:val="auto"/>
        </w:rPr>
        <w:t>While we believe it is reasonably possible that we may incur additional losses associated with the above described proceedings and investigations related to the Data Security Incident, it is not possible to estimate the amount of loss or range of loss, if any, in excess of the amounts already incurred that might result from adverse judgments, settlements, fines, penalties or other resolution of these proceedings and investigations based on the current stage of these proceedings and investigations, the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absence of specific allegations as to alleged damages, the uncertainty as to the certification of a class or classes and the size of any certified class, if applicable, and/or the lack of resolution of significant factual and legal issues.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167" w:lineRule="exact"/>
        <w:rPr>
          <w:sz w:val="20"/>
          <w:szCs w:val="20"/>
          <w:color w:val="auto"/>
        </w:rPr>
      </w:pPr>
    </w:p>
    <w:p>
      <w:pPr>
        <w:ind w:right="280" w:firstLine="395"/>
        <w:spacing w:after="0" w:line="252" w:lineRule="auto"/>
        <w:rPr>
          <w:sz w:val="20"/>
          <w:szCs w:val="20"/>
          <w:color w:val="auto"/>
        </w:rPr>
      </w:pPr>
      <w:r>
        <w:rPr>
          <w:rFonts w:ascii="Arial" w:cs="Arial" w:eastAsia="Arial" w:hAnsi="Arial"/>
          <w:sz w:val="18"/>
          <w:szCs w:val="18"/>
          <w:color w:val="auto"/>
        </w:rPr>
        <w:t>We enter into operating and finance leases primarily for hotels, offices, and equipment. Most leases have initial terms of up to 20 years, and contain one or more renewals at our option, generally for five- or 10-year periods. We have generally not included these renewal periods in the lease term as it is not reasonably certain that we will exercise the renewal option.</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details the composition of lease expense for 2020 and 2019:</w:t>
      </w:r>
    </w:p>
    <w:p>
      <w:pPr>
        <w:spacing w:after="0" w:line="180" w:lineRule="exact"/>
        <w:rPr>
          <w:sz w:val="20"/>
          <w:szCs w:val="20"/>
          <w:color w:val="auto"/>
        </w:rPr>
      </w:pPr>
    </w:p>
    <w:tbl>
      <w:tblPr>
        <w:tblLayout w:type="fixed"/>
        <w:tblInd w:w="400" w:type="dxa"/>
        <w:tblCellMar>
          <w:top w:w="0" w:type="dxa"/>
          <w:left w:w="0" w:type="dxa"/>
          <w:bottom w:w="0" w:type="dxa"/>
          <w:right w:w="0" w:type="dxa"/>
        </w:tblCellMar>
      </w:tblPr>
      <w:tr>
        <w:trPr>
          <w:trHeight w:val="197"/>
        </w:trPr>
        <w:tc>
          <w:tcPr>
            <w:tcW w:w="7340" w:type="dxa"/>
            <w:vAlign w:val="bottom"/>
            <w:tcBorders>
              <w:bottom w:val="single" w:sz="8" w:color="CCEEFF"/>
            </w:tcBorders>
          </w:tcPr>
          <w:p>
            <w:pPr>
              <w:ind w:left="420"/>
              <w:spacing w:after="0"/>
              <w:rPr>
                <w:sz w:val="20"/>
                <w:szCs w:val="20"/>
                <w:color w:val="auto"/>
              </w:rPr>
            </w:pPr>
            <w:r>
              <w:rPr>
                <w:rFonts w:ascii="Arial" w:cs="Arial" w:eastAsia="Arial" w:hAnsi="Arial"/>
                <w:sz w:val="14"/>
                <w:szCs w:val="14"/>
                <w:i w:val="1"/>
                <w:iCs w:val="1"/>
                <w:color w:val="auto"/>
              </w:rPr>
              <w:t>($ in millions)</w:t>
            </w:r>
          </w:p>
        </w:tc>
        <w:tc>
          <w:tcPr>
            <w:tcW w:w="15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2019</w:t>
            </w:r>
          </w:p>
        </w:tc>
      </w:tr>
      <w:tr>
        <w:trPr>
          <w:trHeight w:val="178"/>
        </w:trPr>
        <w:tc>
          <w:tcPr>
            <w:tcW w:w="73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Operating lease cost</w:t>
            </w:r>
          </w:p>
        </w:tc>
        <w:tc>
          <w:tcPr>
            <w:tcW w:w="1500" w:type="dxa"/>
            <w:vAlign w:val="bottom"/>
            <w:shd w:val="clear" w:color="auto" w:fill="CCEEFF"/>
          </w:tcPr>
          <w:p>
            <w:pPr>
              <w:jc w:val="right"/>
              <w:ind w:right="95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157</w:t>
            </w:r>
          </w:p>
        </w:tc>
        <w:tc>
          <w:tcPr>
            <w:tcW w:w="1480" w:type="dxa"/>
            <w:vAlign w:val="bottom"/>
            <w:shd w:val="clear" w:color="auto" w:fill="CCEEFF"/>
          </w:tcPr>
          <w:p>
            <w:pPr>
              <w:jc w:val="right"/>
              <w:ind w:right="1090"/>
              <w:spacing w:after="0"/>
              <w:rPr>
                <w:sz w:val="20"/>
                <w:szCs w:val="20"/>
                <w:color w:val="auto"/>
              </w:rPr>
            </w:pPr>
            <w:r>
              <w:rPr>
                <w:rFonts w:ascii="Arial" w:cs="Arial" w:eastAsia="Arial" w:hAnsi="Arial"/>
                <w:sz w:val="14"/>
                <w:szCs w:val="14"/>
                <w:color w:val="auto"/>
              </w:rPr>
              <w:t>$</w:t>
            </w:r>
          </w:p>
        </w:tc>
      </w:tr>
      <w:tr>
        <w:trPr>
          <w:trHeight w:val="179"/>
        </w:trPr>
        <w:tc>
          <w:tcPr>
            <w:tcW w:w="7340" w:type="dxa"/>
            <w:vAlign w:val="bottom"/>
          </w:tcPr>
          <w:p>
            <w:pPr>
              <w:ind w:left="420"/>
              <w:spacing w:after="0"/>
              <w:rPr>
                <w:sz w:val="20"/>
                <w:szCs w:val="20"/>
                <w:color w:val="auto"/>
              </w:rPr>
            </w:pPr>
            <w:r>
              <w:rPr>
                <w:rFonts w:ascii="Arial" w:cs="Arial" w:eastAsia="Arial" w:hAnsi="Arial"/>
                <w:sz w:val="14"/>
                <w:szCs w:val="14"/>
                <w:color w:val="auto"/>
              </w:rPr>
              <w:t>Variable lease cost</w:t>
            </w:r>
          </w:p>
        </w:tc>
        <w:tc>
          <w:tcPr>
            <w:tcW w:w="1500" w:type="dxa"/>
            <w:vAlign w:val="bottom"/>
          </w:tcPr>
          <w:p>
            <w:pPr>
              <w:spacing w:after="0"/>
              <w:rPr>
                <w:sz w:val="15"/>
                <w:szCs w:val="15"/>
                <w:color w:val="auto"/>
              </w:rPr>
            </w:pPr>
          </w:p>
        </w:tc>
        <w:tc>
          <w:tcPr>
            <w:tcW w:w="620" w:type="dxa"/>
            <w:vAlign w:val="bottom"/>
          </w:tcPr>
          <w:p>
            <w:pPr>
              <w:jc w:val="right"/>
              <w:ind w:right="170"/>
              <w:spacing w:after="0"/>
              <w:rPr>
                <w:sz w:val="20"/>
                <w:szCs w:val="20"/>
                <w:color w:val="auto"/>
              </w:rPr>
            </w:pPr>
            <w:r>
              <w:rPr>
                <w:rFonts w:ascii="Arial" w:cs="Arial" w:eastAsia="Arial" w:hAnsi="Arial"/>
                <w:sz w:val="14"/>
                <w:szCs w:val="14"/>
                <w:color w:val="auto"/>
              </w:rPr>
              <w:t>60</w:t>
            </w:r>
          </w:p>
        </w:tc>
        <w:tc>
          <w:tcPr>
            <w:tcW w:w="1480" w:type="dxa"/>
            <w:vAlign w:val="bottom"/>
          </w:tcPr>
          <w:p>
            <w:pPr>
              <w:spacing w:after="0"/>
              <w:rPr>
                <w:sz w:val="15"/>
                <w:szCs w:val="15"/>
                <w:color w:val="auto"/>
              </w:rPr>
            </w:pPr>
          </w:p>
        </w:tc>
      </w:tr>
    </w:tbl>
    <w:p>
      <w:pPr>
        <w:spacing w:after="0" w:line="151" w:lineRule="exact"/>
        <w:rPr>
          <w:sz w:val="20"/>
          <w:szCs w:val="20"/>
          <w:color w:val="auto"/>
        </w:rPr>
      </w:pPr>
    </w:p>
    <w:p>
      <w:pPr>
        <w:ind w:right="120" w:firstLine="395"/>
        <w:spacing w:after="0" w:line="263" w:lineRule="auto"/>
        <w:rPr>
          <w:sz w:val="20"/>
          <w:szCs w:val="20"/>
          <w:color w:val="auto"/>
        </w:rPr>
      </w:pPr>
      <w:r>
        <w:rPr>
          <w:rFonts w:ascii="Arial" w:cs="Arial" w:eastAsia="Arial" w:hAnsi="Arial"/>
          <w:sz w:val="17"/>
          <w:szCs w:val="17"/>
          <w:color w:val="auto"/>
        </w:rPr>
        <w:t xml:space="preserve">We recorded impairment charges of $116 million in 2020 and $99 million in 2019 in the “Depreciation, amortization, and other” caption of our Income Statements to reduce the carrying amount of certain U.S. &amp; Canada hotel leases right-of-use assets and property and equipment, including leasehold improvements. The impairment charges recorded in 2020 were due to the impact of </w:t>
      </w:r>
      <w:r>
        <w:rPr>
          <w:rFonts w:ascii="Arial" w:cs="Arial" w:eastAsia="Arial" w:hAnsi="Arial"/>
          <w:sz w:val="18"/>
          <w:szCs w:val="18"/>
          <w:color w:val="auto"/>
        </w:rPr>
        <w:t>COVID-19</w:t>
      </w:r>
      <w:r>
        <w:rPr>
          <w:rFonts w:ascii="Arial" w:cs="Arial" w:eastAsia="Arial" w:hAnsi="Arial"/>
          <w:sz w:val="17"/>
          <w:szCs w:val="17"/>
          <w:color w:val="auto"/>
        </w:rPr>
        <w:t>. We determined that we may not be able to fully recover the carrying amount of these U.S. &amp; Canada hotel leases after evaluating the assets for recovery due to declines in market performance and future cash flow projections. We estimated the fair value using an income approach reflecting internally developed Level 3 discounted cash flows that included, among other things, our expectations of future cash flows based on historical experience and projected growth rates, usage estimates and demand trends. Additionally, during the year ended 2019, we recorded expense of $34 million in the “Restructuring and merger-related charges” caption of our Income Statements due to the impairment of a legacy-Starwood office building accounted for as a finance lease.</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our future minimum lease payments at year-end 2020:</w:t>
      </w:r>
    </w:p>
    <w:p>
      <w:pPr>
        <w:spacing w:after="0" w:line="191" w:lineRule="exact"/>
        <w:rPr>
          <w:sz w:val="20"/>
          <w:szCs w:val="20"/>
          <w:color w:val="auto"/>
        </w:rPr>
      </w:pPr>
    </w:p>
    <w:tbl>
      <w:tblPr>
        <w:tblLayout w:type="fixed"/>
        <w:tblInd w:w="400" w:type="dxa"/>
        <w:tblCellMar>
          <w:top w:w="0" w:type="dxa"/>
          <w:left w:w="0" w:type="dxa"/>
          <w:bottom w:w="0" w:type="dxa"/>
          <w:right w:w="0" w:type="dxa"/>
        </w:tblCellMar>
      </w:tblPr>
      <w:tr>
        <w:trPr>
          <w:trHeight w:val="188"/>
        </w:trPr>
        <w:tc>
          <w:tcPr>
            <w:tcW w:w="7180" w:type="dxa"/>
            <w:vAlign w:val="bottom"/>
          </w:tcPr>
          <w:p>
            <w:pPr>
              <w:ind w:left="420"/>
              <w:spacing w:after="0"/>
              <w:rPr>
                <w:sz w:val="20"/>
                <w:szCs w:val="20"/>
                <w:color w:val="auto"/>
              </w:rPr>
            </w:pPr>
            <w:r>
              <w:rPr>
                <w:rFonts w:ascii="Arial" w:cs="Arial" w:eastAsia="Arial" w:hAnsi="Arial"/>
                <w:sz w:val="14"/>
                <w:szCs w:val="14"/>
                <w:i w:val="1"/>
                <w:iCs w:val="1"/>
                <w:color w:val="auto"/>
              </w:rPr>
              <w:t>($ in millions)</w:t>
            </w:r>
          </w:p>
        </w:tc>
        <w:tc>
          <w:tcPr>
            <w:tcW w:w="58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 Leases</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Finance Leases</w:t>
            </w:r>
          </w:p>
        </w:tc>
      </w:tr>
      <w:tr>
        <w:trPr>
          <w:trHeight w:val="183"/>
        </w:trPr>
        <w:tc>
          <w:tcPr>
            <w:tcW w:w="718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2021</w:t>
            </w:r>
          </w:p>
        </w:tc>
        <w:tc>
          <w:tcPr>
            <w:tcW w:w="5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right"/>
              <w:ind w:right="1130"/>
              <w:spacing w:after="0"/>
              <w:rPr>
                <w:sz w:val="20"/>
                <w:szCs w:val="20"/>
                <w:color w:val="auto"/>
              </w:rPr>
            </w:pPr>
            <w:r>
              <w:rPr>
                <w:rFonts w:ascii="Arial" w:cs="Arial" w:eastAsia="Arial" w:hAnsi="Arial"/>
                <w:sz w:val="14"/>
                <w:szCs w:val="14"/>
                <w:color w:val="auto"/>
              </w:rPr>
              <w:t>$</w:t>
            </w:r>
          </w:p>
        </w:tc>
      </w:tr>
      <w:tr>
        <w:trPr>
          <w:trHeight w:val="182"/>
        </w:trPr>
        <w:tc>
          <w:tcPr>
            <w:tcW w:w="7180" w:type="dxa"/>
            <w:vAlign w:val="bottom"/>
          </w:tcPr>
          <w:p>
            <w:pPr>
              <w:ind w:left="420"/>
              <w:spacing w:after="0"/>
              <w:rPr>
                <w:sz w:val="20"/>
                <w:szCs w:val="20"/>
                <w:color w:val="auto"/>
              </w:rPr>
            </w:pPr>
            <w:r>
              <w:rPr>
                <w:rFonts w:ascii="Arial" w:cs="Arial" w:eastAsia="Arial" w:hAnsi="Arial"/>
                <w:sz w:val="14"/>
                <w:szCs w:val="14"/>
                <w:color w:val="auto"/>
              </w:rPr>
              <w:t>2022</w:t>
            </w:r>
          </w:p>
        </w:tc>
        <w:tc>
          <w:tcPr>
            <w:tcW w:w="5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7"/>
        </w:trPr>
        <w:tc>
          <w:tcPr>
            <w:tcW w:w="71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2023</w:t>
            </w:r>
          </w:p>
        </w:tc>
        <w:tc>
          <w:tcPr>
            <w:tcW w:w="5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r>
        <w:trPr>
          <w:trHeight w:val="182"/>
        </w:trPr>
        <w:tc>
          <w:tcPr>
            <w:tcW w:w="7180" w:type="dxa"/>
            <w:vAlign w:val="bottom"/>
          </w:tcPr>
          <w:p>
            <w:pPr>
              <w:ind w:left="420"/>
              <w:spacing w:after="0"/>
              <w:rPr>
                <w:sz w:val="20"/>
                <w:szCs w:val="20"/>
                <w:color w:val="auto"/>
              </w:rPr>
            </w:pPr>
            <w:r>
              <w:rPr>
                <w:rFonts w:ascii="Arial" w:cs="Arial" w:eastAsia="Arial" w:hAnsi="Arial"/>
                <w:sz w:val="14"/>
                <w:szCs w:val="14"/>
                <w:color w:val="auto"/>
              </w:rPr>
              <w:t>2024</w:t>
            </w:r>
          </w:p>
        </w:tc>
        <w:tc>
          <w:tcPr>
            <w:tcW w:w="5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7"/>
        </w:trPr>
        <w:tc>
          <w:tcPr>
            <w:tcW w:w="71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2025</w:t>
            </w:r>
          </w:p>
        </w:tc>
        <w:tc>
          <w:tcPr>
            <w:tcW w:w="5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r>
        <w:trPr>
          <w:trHeight w:val="182"/>
        </w:trPr>
        <w:tc>
          <w:tcPr>
            <w:tcW w:w="7180" w:type="dxa"/>
            <w:vAlign w:val="bottom"/>
            <w:tcBorders>
              <w:bottom w:val="single" w:sz="8" w:color="CCEEFF"/>
            </w:tcBorders>
          </w:tcPr>
          <w:p>
            <w:pPr>
              <w:ind w:left="420"/>
              <w:spacing w:after="0"/>
              <w:rPr>
                <w:sz w:val="20"/>
                <w:szCs w:val="20"/>
                <w:color w:val="auto"/>
              </w:rPr>
            </w:pPr>
            <w:r>
              <w:rPr>
                <w:rFonts w:ascii="Arial" w:cs="Arial" w:eastAsia="Arial" w:hAnsi="Arial"/>
                <w:sz w:val="14"/>
                <w:szCs w:val="14"/>
                <w:color w:val="auto"/>
              </w:rPr>
              <w:t>Thereafter</w:t>
            </w:r>
          </w:p>
        </w:tc>
        <w:tc>
          <w:tcPr>
            <w:tcW w:w="5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w:t>
            </w:r>
          </w:p>
        </w:tc>
        <w:tc>
          <w:tcPr>
            <w:tcW w:w="120" w:type="dxa"/>
            <w:vAlign w:val="bottom"/>
            <w:tcBorders>
              <w:bottom w:val="single" w:sz="8" w:color="CCEEFF"/>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r>
      <w:tr>
        <w:trPr>
          <w:trHeight w:val="180"/>
        </w:trPr>
        <w:tc>
          <w:tcPr>
            <w:tcW w:w="71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Total minimum lease payments</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w:t>
            </w: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1130"/>
              <w:spacing w:after="0"/>
              <w:rPr>
                <w:sz w:val="20"/>
                <w:szCs w:val="20"/>
                <w:color w:val="auto"/>
              </w:rPr>
            </w:pPr>
            <w:r>
              <w:rPr>
                <w:rFonts w:ascii="Arial" w:cs="Arial" w:eastAsia="Arial" w:hAnsi="Arial"/>
                <w:sz w:val="14"/>
                <w:szCs w:val="14"/>
                <w:color w:val="auto"/>
              </w:rPr>
              <w:t>$</w:t>
            </w:r>
          </w:p>
        </w:tc>
      </w:tr>
      <w:tr>
        <w:trPr>
          <w:trHeight w:val="182"/>
        </w:trPr>
        <w:tc>
          <w:tcPr>
            <w:tcW w:w="718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Less: Amount representing interest</w:t>
            </w:r>
          </w:p>
        </w:tc>
        <w:tc>
          <w:tcPr>
            <w:tcW w:w="5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w:t>
            </w:r>
          </w:p>
        </w:tc>
        <w:tc>
          <w:tcPr>
            <w:tcW w:w="120" w:type="dxa"/>
            <w:vAlign w:val="bottom"/>
            <w:tcBorders>
              <w:bottom w:val="single" w:sz="8" w:color="CCEEFF"/>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r>
      <w:tr>
        <w:trPr>
          <w:trHeight w:val="202"/>
        </w:trPr>
        <w:tc>
          <w:tcPr>
            <w:tcW w:w="71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Present value of minimum lease payments</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w:t>
            </w:r>
          </w:p>
        </w:tc>
        <w:tc>
          <w:tcPr>
            <w:tcW w:w="1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4"/>
                <w:szCs w:val="14"/>
                <w:color w:val="auto"/>
              </w:rPr>
              <w:t>$</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the composition of our current and noncurrent lease liability at year-end 2020 and 2019:</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200" w:type="dxa"/>
            <w:vAlign w:val="bottom"/>
            <w:tcBorders>
              <w:top w:val="single" w:sz="8" w:color="auto"/>
              <w:bottom w:val="single" w:sz="8" w:color="auto"/>
            </w:tcBorders>
          </w:tcPr>
          <w:p>
            <w:pPr>
              <w:spacing w:after="0"/>
              <w:rPr>
                <w:sz w:val="17"/>
                <w:szCs w:val="17"/>
                <w:color w:val="auto"/>
              </w:rPr>
            </w:pPr>
          </w:p>
        </w:tc>
        <w:tc>
          <w:tcPr>
            <w:tcW w:w="2860" w:type="dxa"/>
            <w:vAlign w:val="bottom"/>
            <w:tcBorders>
              <w:top w:val="single" w:sz="8" w:color="auto"/>
              <w:bottom w:val="single" w:sz="8" w:color="auto"/>
            </w:tcBorders>
            <w:gridSpan w:val="3"/>
          </w:tcPr>
          <w:p>
            <w:pPr>
              <w:jc w:val="right"/>
              <w:ind w:right="730"/>
              <w:spacing w:after="0"/>
              <w:rPr>
                <w:sz w:val="20"/>
                <w:szCs w:val="20"/>
                <w:color w:val="auto"/>
              </w:rPr>
            </w:pPr>
            <w:r>
              <w:rPr>
                <w:rFonts w:ascii="Arial" w:cs="Arial" w:eastAsia="Arial" w:hAnsi="Arial"/>
                <w:sz w:val="14"/>
                <w:szCs w:val="14"/>
                <w:b w:val="1"/>
                <w:bCs w:val="1"/>
                <w:color w:val="auto"/>
              </w:rPr>
              <w:t>December 31, 2020</w:t>
            </w:r>
          </w:p>
        </w:tc>
        <w:tc>
          <w:tcPr>
            <w:tcW w:w="32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3200" w:type="dxa"/>
            <w:vAlign w:val="bottom"/>
            <w:tcBorders>
              <w:top w:val="single" w:sz="8" w:color="auto"/>
              <w:bottom w:val="single" w:sz="8" w:color="auto"/>
            </w:tcBorders>
            <w:gridSpan w:val="4"/>
          </w:tcPr>
          <w:p>
            <w:pPr>
              <w:jc w:val="right"/>
              <w:ind w:right="1050"/>
              <w:spacing w:after="0"/>
              <w:rPr>
                <w:sz w:val="20"/>
                <w:szCs w:val="20"/>
                <w:color w:val="auto"/>
              </w:rPr>
            </w:pPr>
            <w:r>
              <w:rPr>
                <w:rFonts w:ascii="Arial" w:cs="Arial" w:eastAsia="Arial" w:hAnsi="Arial"/>
                <w:sz w:val="14"/>
                <w:szCs w:val="14"/>
                <w:b w:val="1"/>
                <w:bCs w:val="1"/>
                <w:color w:val="auto"/>
              </w:rPr>
              <w:t>December 31, 2019</w:t>
            </w:r>
          </w:p>
        </w:tc>
      </w:tr>
      <w:tr>
        <w:trPr>
          <w:trHeight w:val="177"/>
        </w:trPr>
        <w:tc>
          <w:tcPr>
            <w:tcW w:w="4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Operating Leases</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Finance Leases</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Operating Leases</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290"/>
              <w:spacing w:after="0"/>
              <w:rPr>
                <w:sz w:val="20"/>
                <w:szCs w:val="20"/>
                <w:color w:val="auto"/>
              </w:rPr>
            </w:pPr>
            <w:r>
              <w:rPr>
                <w:rFonts w:ascii="Arial" w:cs="Arial" w:eastAsia="Arial" w:hAnsi="Arial"/>
                <w:sz w:val="14"/>
                <w:szCs w:val="14"/>
                <w:b w:val="1"/>
                <w:bCs w:val="1"/>
                <w:color w:val="auto"/>
                <w:w w:val="99"/>
              </w:rPr>
              <w:t>Finance Leases</w:t>
            </w:r>
          </w:p>
        </w:tc>
      </w:tr>
      <w:tr>
        <w:trPr>
          <w:trHeight w:val="177"/>
        </w:trPr>
        <w:tc>
          <w:tcPr>
            <w:tcW w:w="4360" w:type="dxa"/>
            <w:vAlign w:val="bottom"/>
          </w:tcPr>
          <w:p>
            <w:pPr>
              <w:ind w:left="20"/>
              <w:spacing w:after="0" w:line="177" w:lineRule="exact"/>
              <w:rPr>
                <w:sz w:val="20"/>
                <w:szCs w:val="20"/>
                <w:color w:val="auto"/>
              </w:rPr>
            </w:pPr>
            <w:r>
              <w:rPr>
                <w:rFonts w:ascii="Arial" w:cs="Arial" w:eastAsia="Arial" w:hAnsi="Arial"/>
                <w:sz w:val="14"/>
                <w:szCs w:val="14"/>
                <w:color w:val="auto"/>
              </w:rPr>
              <w:t xml:space="preserve">Current </w:t>
            </w:r>
            <w:r>
              <w:rPr>
                <w:rFonts w:ascii="Arial" w:cs="Arial" w:eastAsia="Arial" w:hAnsi="Arial"/>
                <w:sz w:val="18"/>
                <w:szCs w:val="18"/>
                <w:color w:val="auto"/>
                <w:vertAlign w:val="superscript"/>
              </w:rPr>
              <w:t>(1)</w:t>
            </w:r>
          </w:p>
        </w:tc>
        <w:tc>
          <w:tcPr>
            <w:tcW w:w="2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15"/>
                <w:szCs w:val="15"/>
                <w:color w:val="auto"/>
              </w:rPr>
            </w:pPr>
          </w:p>
        </w:tc>
        <w:tc>
          <w:tcPr>
            <w:tcW w:w="1300" w:type="dxa"/>
            <w:vAlign w:val="bottom"/>
            <w:tcBorders>
              <w:top w:val="single" w:sz="8" w:color="auto"/>
            </w:tcBorders>
          </w:tcPr>
          <w:p>
            <w:pPr>
              <w:jc w:val="right"/>
              <w:ind w:right="1150"/>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w:t>
            </w:r>
          </w:p>
        </w:tc>
      </w:tr>
      <w:tr>
        <w:trPr>
          <w:trHeight w:val="184"/>
        </w:trPr>
        <w:tc>
          <w:tcPr>
            <w:tcW w:w="4360" w:type="dxa"/>
            <w:vAlign w:val="bottom"/>
            <w:shd w:val="clear" w:color="auto" w:fill="CCEEFF"/>
          </w:tcPr>
          <w:p>
            <w:pPr>
              <w:ind w:left="20"/>
              <w:spacing w:after="0" w:line="184" w:lineRule="exact"/>
              <w:rPr>
                <w:sz w:val="20"/>
                <w:szCs w:val="20"/>
                <w:color w:val="auto"/>
              </w:rPr>
            </w:pPr>
            <w:r>
              <w:rPr>
                <w:rFonts w:ascii="Arial" w:cs="Arial" w:eastAsia="Arial" w:hAnsi="Arial"/>
                <w:sz w:val="14"/>
                <w:szCs w:val="14"/>
                <w:color w:val="auto"/>
              </w:rPr>
              <w:t xml:space="preserve">Noncurrent </w:t>
            </w:r>
            <w:r>
              <w:rPr>
                <w:rFonts w:ascii="Arial" w:cs="Arial" w:eastAsia="Arial" w:hAnsi="Arial"/>
                <w:sz w:val="18"/>
                <w:szCs w:val="18"/>
                <w:color w:val="auto"/>
                <w:vertAlign w:val="superscript"/>
              </w:rPr>
              <w:t>(2)</w:t>
            </w:r>
          </w:p>
        </w:tc>
        <w:tc>
          <w:tcPr>
            <w:tcW w:w="20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823</w:t>
            </w:r>
          </w:p>
        </w:tc>
        <w:tc>
          <w:tcPr>
            <w:tcW w:w="120" w:type="dxa"/>
            <w:vAlign w:val="bottom"/>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w:t>
            </w:r>
          </w:p>
        </w:tc>
      </w:tr>
      <w:tr>
        <w:trPr>
          <w:trHeight w:val="175"/>
        </w:trPr>
        <w:tc>
          <w:tcPr>
            <w:tcW w:w="4360" w:type="dxa"/>
            <w:vAlign w:val="bottom"/>
          </w:tcPr>
          <w:p>
            <w:pPr>
              <w:spacing w:after="0"/>
              <w:rPr>
                <w:sz w:val="15"/>
                <w:szCs w:val="15"/>
                <w:color w:val="auto"/>
              </w:rPr>
            </w:pP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970</w:t>
            </w: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right"/>
              <w:ind w:right="1150"/>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1,012</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r>
      <w:tr>
        <w:trPr>
          <w:trHeight w:val="22"/>
        </w:trPr>
        <w:tc>
          <w:tcPr>
            <w:tcW w:w="4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620" w:hanging="299"/>
        <w:spacing w:after="0"/>
        <w:tabs>
          <w:tab w:leader="none" w:pos="620" w:val="left"/>
        </w:tabs>
        <w:numPr>
          <w:ilvl w:val="0"/>
          <w:numId w:val="23"/>
        </w:numPr>
        <w:rPr>
          <w:rFonts w:ascii="Arial" w:cs="Arial" w:eastAsia="Arial" w:hAnsi="Arial"/>
          <w:sz w:val="17"/>
          <w:szCs w:val="17"/>
          <w:color w:val="auto"/>
          <w:vertAlign w:val="superscript"/>
        </w:rPr>
      </w:pPr>
      <w:r>
        <w:rPr>
          <w:rFonts w:ascii="Arial" w:cs="Arial" w:eastAsia="Arial" w:hAnsi="Arial"/>
          <w:sz w:val="13"/>
          <w:szCs w:val="13"/>
          <w:color w:val="auto"/>
        </w:rPr>
        <w:t>Operating leases are recorded in the “Accrued expenses and other” and finance leases are recorded in the “Current portion of long-term debt” captions of our Balance Sheets.</w:t>
      </w:r>
    </w:p>
    <w:p>
      <w:pPr>
        <w:spacing w:after="0" w:line="43" w:lineRule="exact"/>
        <w:rPr>
          <w:rFonts w:ascii="Arial" w:cs="Arial" w:eastAsia="Arial" w:hAnsi="Arial"/>
          <w:sz w:val="17"/>
          <w:szCs w:val="17"/>
          <w:color w:val="auto"/>
          <w:vertAlign w:val="superscript"/>
        </w:rPr>
      </w:pPr>
    </w:p>
    <w:p>
      <w:pPr>
        <w:ind w:left="620" w:hanging="299"/>
        <w:spacing w:after="0" w:line="193" w:lineRule="auto"/>
        <w:tabs>
          <w:tab w:leader="none" w:pos="62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Operating leases are recorded in the “Operating lease liabilities” and finance leases are recorded in the “Long-term debt” captions of our Balance Sheets.</w:t>
      </w:r>
    </w:p>
    <w:p>
      <w:pPr>
        <w:spacing w:after="0" w:line="144" w:lineRule="exact"/>
        <w:rPr>
          <w:sz w:val="20"/>
          <w:szCs w:val="20"/>
          <w:color w:val="auto"/>
        </w:rPr>
      </w:pPr>
    </w:p>
    <w:p>
      <w:pPr>
        <w:ind w:right="460" w:firstLine="395"/>
        <w:spacing w:after="0" w:line="261" w:lineRule="auto"/>
        <w:rPr>
          <w:sz w:val="20"/>
          <w:szCs w:val="20"/>
          <w:color w:val="auto"/>
        </w:rPr>
      </w:pPr>
      <w:r>
        <w:rPr>
          <w:rFonts w:ascii="Arial" w:cs="Arial" w:eastAsia="Arial" w:hAnsi="Arial"/>
          <w:sz w:val="18"/>
          <w:szCs w:val="18"/>
          <w:color w:val="auto"/>
        </w:rPr>
        <w:t>At year-end 2020, we had entered into an agreement that we expect to account for as an operating lease with a 20-year term for our new headquarters office, which is not reflected in our Balance Sheets or in the table above as the lease has not commenced.</w:t>
      </w:r>
    </w:p>
    <w:p>
      <w:pPr>
        <w:spacing w:after="0" w:line="200" w:lineRule="exact"/>
        <w:rPr>
          <w:sz w:val="20"/>
          <w:szCs w:val="20"/>
          <w:color w:val="auto"/>
        </w:rPr>
      </w:pPr>
    </w:p>
    <w:p>
      <w:pPr>
        <w:spacing w:after="0" w:line="31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additional information about our lease obligations at year-end 2020 and 2019:</w:t>
      </w:r>
    </w:p>
    <w:p>
      <w:pPr>
        <w:spacing w:after="0" w:line="180" w:lineRule="exact"/>
        <w:rPr>
          <w:sz w:val="20"/>
          <w:szCs w:val="20"/>
          <w:color w:val="auto"/>
        </w:rPr>
      </w:pPr>
    </w:p>
    <w:tbl>
      <w:tblPr>
        <w:tblLayout w:type="fixed"/>
        <w:tblInd w:w="400" w:type="dxa"/>
        <w:tblCellMar>
          <w:top w:w="0" w:type="dxa"/>
          <w:left w:w="0" w:type="dxa"/>
          <w:bottom w:w="0" w:type="dxa"/>
          <w:right w:w="0" w:type="dxa"/>
        </w:tblCellMar>
      </w:tblPr>
      <w:tr>
        <w:trPr>
          <w:trHeight w:val="197"/>
        </w:trPr>
        <w:tc>
          <w:tcPr>
            <w:tcW w:w="3540" w:type="dxa"/>
            <w:vAlign w:val="bottom"/>
            <w:tcBorders>
              <w:bottom w:val="single" w:sz="8" w:color="CCEEFF"/>
            </w:tcBorders>
          </w:tcPr>
          <w:p>
            <w:pPr>
              <w:spacing w:after="0"/>
              <w:rPr>
                <w:sz w:val="17"/>
                <w:szCs w:val="17"/>
                <w:color w:val="auto"/>
              </w:rPr>
            </w:pPr>
          </w:p>
        </w:tc>
        <w:tc>
          <w:tcPr>
            <w:tcW w:w="164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1250"/>
              <w:spacing w:after="0"/>
              <w:rPr>
                <w:sz w:val="20"/>
                <w:szCs w:val="20"/>
                <w:color w:val="auto"/>
              </w:rPr>
            </w:pPr>
            <w:r>
              <w:rPr>
                <w:rFonts w:ascii="Arial" w:cs="Arial" w:eastAsia="Arial" w:hAnsi="Arial"/>
                <w:sz w:val="14"/>
                <w:szCs w:val="14"/>
                <w:b w:val="1"/>
                <w:bCs w:val="1"/>
                <w:color w:val="auto"/>
                <w:w w:val="83"/>
              </w:rPr>
              <w:t>2020</w:t>
            </w:r>
          </w:p>
        </w:tc>
        <w:tc>
          <w:tcPr>
            <w:tcW w:w="24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6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1210"/>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78"/>
        </w:trPr>
        <w:tc>
          <w:tcPr>
            <w:tcW w:w="3540" w:type="dxa"/>
            <w:vAlign w:val="bottom"/>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Operating leases</w:t>
            </w:r>
          </w:p>
        </w:tc>
        <w:tc>
          <w:tcPr>
            <w:tcW w:w="1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Finance leases</w:t>
            </w:r>
          </w:p>
        </w:tc>
        <w:tc>
          <w:tcPr>
            <w:tcW w:w="2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Operating leases</w:t>
            </w:r>
          </w:p>
        </w:tc>
        <w:tc>
          <w:tcPr>
            <w:tcW w:w="1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Finance leases</w:t>
            </w:r>
          </w:p>
        </w:tc>
        <w:tc>
          <w:tcPr>
            <w:tcW w:w="0" w:type="dxa"/>
            <w:vAlign w:val="bottom"/>
          </w:tcPr>
          <w:p>
            <w:pPr>
              <w:spacing w:after="0"/>
              <w:rPr>
                <w:sz w:val="1"/>
                <w:szCs w:val="1"/>
                <w:color w:val="auto"/>
              </w:rPr>
            </w:pPr>
          </w:p>
        </w:tc>
      </w:tr>
      <w:tr>
        <w:trPr>
          <w:trHeight w:val="112"/>
        </w:trPr>
        <w:tc>
          <w:tcPr>
            <w:tcW w:w="3540" w:type="dxa"/>
            <w:vAlign w:val="bottom"/>
          </w:tcPr>
          <w:p>
            <w:pPr>
              <w:jc w:val="center"/>
              <w:ind w:left="233"/>
              <w:spacing w:after="0" w:line="112" w:lineRule="exact"/>
              <w:rPr>
                <w:sz w:val="20"/>
                <w:szCs w:val="20"/>
                <w:color w:val="auto"/>
              </w:rPr>
            </w:pPr>
            <w:r>
              <w:rPr>
                <w:rFonts w:ascii="Arial" w:cs="Arial" w:eastAsia="Arial" w:hAnsi="Arial"/>
                <w:sz w:val="12"/>
                <w:szCs w:val="12"/>
                <w:b w:val="1"/>
                <w:bCs w:val="1"/>
                <w:color w:val="auto"/>
              </w:rPr>
              <w:t>Weighted Average Remaining Lease Term (in</w:t>
            </w:r>
          </w:p>
        </w:tc>
        <w:tc>
          <w:tcPr>
            <w:tcW w:w="1640" w:type="dxa"/>
            <w:vAlign w:val="bottom"/>
          </w:tcPr>
          <w:p>
            <w:pPr>
              <w:spacing w:after="0"/>
              <w:rPr>
                <w:sz w:val="9"/>
                <w:szCs w:val="9"/>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w w:val="89"/>
              </w:rPr>
              <w:t>11</w:t>
            </w:r>
          </w:p>
        </w:tc>
        <w:tc>
          <w:tcPr>
            <w:tcW w:w="1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3540" w:type="dxa"/>
            <w:vAlign w:val="bottom"/>
          </w:tcPr>
          <w:p>
            <w:pPr>
              <w:ind w:left="1540"/>
              <w:spacing w:after="0"/>
              <w:rPr>
                <w:sz w:val="20"/>
                <w:szCs w:val="20"/>
                <w:color w:val="auto"/>
              </w:rPr>
            </w:pPr>
            <w:r>
              <w:rPr>
                <w:rFonts w:ascii="Arial" w:cs="Arial" w:eastAsia="Arial" w:hAnsi="Arial"/>
                <w:sz w:val="14"/>
                <w:szCs w:val="14"/>
                <w:b w:val="1"/>
                <w:bCs w:val="1"/>
                <w:color w:val="auto"/>
              </w:rPr>
              <w:t>years)</w:t>
            </w:r>
          </w:p>
        </w:tc>
        <w:tc>
          <w:tcPr>
            <w:tcW w:w="164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540" w:type="dxa"/>
            <w:vAlign w:val="bottom"/>
            <w:shd w:val="clear" w:color="auto" w:fill="CCEEFF"/>
          </w:tcPr>
          <w:p>
            <w:pPr>
              <w:jc w:val="center"/>
              <w:ind w:left="213"/>
              <w:spacing w:after="0"/>
              <w:rPr>
                <w:sz w:val="20"/>
                <w:szCs w:val="20"/>
                <w:color w:val="auto"/>
              </w:rPr>
            </w:pPr>
            <w:r>
              <w:rPr>
                <w:rFonts w:ascii="Arial" w:cs="Arial" w:eastAsia="Arial" w:hAnsi="Arial"/>
                <w:sz w:val="14"/>
                <w:szCs w:val="14"/>
                <w:b w:val="1"/>
                <w:bCs w:val="1"/>
                <w:color w:val="auto"/>
                <w:w w:val="89"/>
              </w:rPr>
              <w:t>Weighted Average Discount Rate</w:t>
            </w:r>
          </w:p>
        </w:tc>
        <w:tc>
          <w:tcPr>
            <w:tcW w:w="164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4.6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rPr>
              <w:t>4.4</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330"/>
              <w:spacing w:after="0"/>
              <w:rPr>
                <w:sz w:val="20"/>
                <w:szCs w:val="20"/>
                <w:color w:val="auto"/>
              </w:rPr>
            </w:pPr>
            <w:r>
              <w:rPr>
                <w:rFonts w:ascii="Arial" w:cs="Arial" w:eastAsia="Arial" w:hAnsi="Arial"/>
                <w:sz w:val="14"/>
                <w:szCs w:val="14"/>
                <w:color w:val="auto"/>
              </w:rPr>
              <w:t>4.8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supplemental cash flow information for 2020 and 2019:</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4"/>
                <w:szCs w:val="14"/>
                <w:b w:val="1"/>
                <w:bCs w:val="1"/>
                <w:color w:val="auto"/>
              </w:rPr>
              <w:t>2019</w:t>
            </w:r>
          </w:p>
        </w:tc>
      </w:tr>
      <w:tr>
        <w:trPr>
          <w:trHeight w:val="165"/>
        </w:trPr>
        <w:tc>
          <w:tcPr>
            <w:tcW w:w="780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Cash paid for amounts included in the measurement of lease liabilities:</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82"/>
        </w:trPr>
        <w:tc>
          <w:tcPr>
            <w:tcW w:w="7800" w:type="dxa"/>
            <w:vAlign w:val="bottom"/>
          </w:tcPr>
          <w:p>
            <w:pPr>
              <w:ind w:left="140"/>
              <w:spacing w:after="0"/>
              <w:rPr>
                <w:sz w:val="20"/>
                <w:szCs w:val="20"/>
                <w:color w:val="auto"/>
              </w:rPr>
            </w:pPr>
            <w:r>
              <w:rPr>
                <w:rFonts w:ascii="Arial" w:cs="Arial" w:eastAsia="Arial" w:hAnsi="Arial"/>
                <w:sz w:val="14"/>
                <w:szCs w:val="14"/>
                <w:color w:val="auto"/>
              </w:rPr>
              <w:t>Operating cash outflows for operating leases</w:t>
            </w:r>
          </w:p>
        </w:tc>
        <w:tc>
          <w:tcPr>
            <w:tcW w:w="400" w:type="dxa"/>
            <w:vAlign w:val="bottom"/>
          </w:tcPr>
          <w:p>
            <w:pPr>
              <w:jc w:val="right"/>
              <w:ind w:right="250"/>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162</w:t>
            </w:r>
          </w:p>
        </w:tc>
        <w:tc>
          <w:tcPr>
            <w:tcW w:w="420" w:type="dxa"/>
            <w:vAlign w:val="bottom"/>
          </w:tcPr>
          <w:p>
            <w:pPr>
              <w:jc w:val="right"/>
              <w:ind w:right="25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176</w:t>
            </w:r>
          </w:p>
        </w:tc>
      </w:tr>
      <w:tr>
        <w:trPr>
          <w:trHeight w:val="187"/>
        </w:trPr>
        <w:tc>
          <w:tcPr>
            <w:tcW w:w="7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cash outflows for finance leases</w:t>
            </w: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4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82"/>
        </w:trPr>
        <w:tc>
          <w:tcPr>
            <w:tcW w:w="7800" w:type="dxa"/>
            <w:vAlign w:val="bottom"/>
          </w:tcPr>
          <w:p>
            <w:pPr>
              <w:ind w:left="140"/>
              <w:spacing w:after="0"/>
              <w:rPr>
                <w:sz w:val="20"/>
                <w:szCs w:val="20"/>
                <w:color w:val="auto"/>
              </w:rPr>
            </w:pPr>
            <w:r>
              <w:rPr>
                <w:rFonts w:ascii="Arial" w:cs="Arial" w:eastAsia="Arial" w:hAnsi="Arial"/>
                <w:sz w:val="14"/>
                <w:szCs w:val="14"/>
                <w:color w:val="auto"/>
              </w:rPr>
              <w:t>Financing cash outflows for finance leases</w:t>
            </w: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w:t>
            </w: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87"/>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assets obtained in exchange for lease obligations:</w:t>
            </w: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79"/>
        </w:trPr>
        <w:tc>
          <w:tcPr>
            <w:tcW w:w="7800" w:type="dxa"/>
            <w:vAlign w:val="bottom"/>
          </w:tcPr>
          <w:p>
            <w:pPr>
              <w:ind w:left="140"/>
              <w:spacing w:after="0"/>
              <w:rPr>
                <w:sz w:val="20"/>
                <w:szCs w:val="20"/>
                <w:color w:val="auto"/>
              </w:rPr>
            </w:pPr>
            <w:r>
              <w:rPr>
                <w:rFonts w:ascii="Arial" w:cs="Arial" w:eastAsia="Arial" w:hAnsi="Arial"/>
                <w:sz w:val="14"/>
                <w:szCs w:val="14"/>
                <w:color w:val="auto"/>
              </w:rPr>
              <w:t>Operating leases</w:t>
            </w: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35</w:t>
            </w: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89</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LONG-TERM DEBT</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provide detail on our long-term debt balances, net of discounts, premiums, and debt issuance costs, in the following table at year-end 2020 and 2019:</w:t>
      </w:r>
    </w:p>
    <w:p>
      <w:pPr>
        <w:spacing w:after="0" w:line="214" w:lineRule="exact"/>
        <w:rPr>
          <w:sz w:val="20"/>
          <w:szCs w:val="20"/>
          <w:color w:val="auto"/>
        </w:rPr>
      </w:pPr>
    </w:p>
    <w:tbl>
      <w:tblPr>
        <w:tblLayout w:type="fixed"/>
        <w:tblInd w:w="440" w:type="dxa"/>
        <w:tblCellMar>
          <w:top w:w="0" w:type="dxa"/>
          <w:left w:w="0" w:type="dxa"/>
          <w:bottom w:w="0" w:type="dxa"/>
          <w:right w:w="0" w:type="dxa"/>
        </w:tblCellMar>
      </w:tblPr>
      <w:tr>
        <w:trPr>
          <w:trHeight w:val="188"/>
        </w:trPr>
        <w:tc>
          <w:tcPr>
            <w:tcW w:w="7280" w:type="dxa"/>
            <w:vAlign w:val="bottom"/>
          </w:tcPr>
          <w:p>
            <w:pPr>
              <w:ind w:left="460"/>
              <w:spacing w:after="0"/>
              <w:rPr>
                <w:sz w:val="20"/>
                <w:szCs w:val="20"/>
                <w:color w:val="auto"/>
              </w:rPr>
            </w:pPr>
            <w:r>
              <w:rPr>
                <w:rFonts w:ascii="Arial" w:cs="Arial" w:eastAsia="Arial" w:hAnsi="Arial"/>
                <w:sz w:val="14"/>
                <w:szCs w:val="14"/>
                <w:i w:val="1"/>
                <w:iCs w:val="1"/>
                <w:color w:val="auto"/>
              </w:rPr>
              <w:t>($ in millions)</w:t>
            </w:r>
          </w:p>
        </w:tc>
        <w:tc>
          <w:tcPr>
            <w:tcW w:w="540" w:type="dxa"/>
            <w:vAlign w:val="bottom"/>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At Year-End 2020</w:t>
            </w:r>
          </w:p>
        </w:tc>
        <w:tc>
          <w:tcPr>
            <w:tcW w:w="5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w w:val="93"/>
              </w:rPr>
              <w:t>At Year-End 2019</w:t>
            </w:r>
          </w:p>
        </w:tc>
        <w:tc>
          <w:tcPr>
            <w:tcW w:w="0" w:type="dxa"/>
            <w:vAlign w:val="bottom"/>
          </w:tcPr>
          <w:p>
            <w:pPr>
              <w:spacing w:after="0"/>
              <w:rPr>
                <w:sz w:val="1"/>
                <w:szCs w:val="1"/>
                <w:color w:val="auto"/>
              </w:rPr>
            </w:pPr>
          </w:p>
        </w:tc>
      </w:tr>
      <w:tr>
        <w:trPr>
          <w:trHeight w:val="170"/>
        </w:trPr>
        <w:tc>
          <w:tcPr>
            <w:tcW w:w="728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Senior Notes:</w:t>
            </w:r>
          </w:p>
        </w:tc>
        <w:tc>
          <w:tcPr>
            <w:tcW w:w="54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280" w:type="dxa"/>
            <w:vAlign w:val="bottom"/>
          </w:tcPr>
          <w:p>
            <w:pPr>
              <w:ind w:left="760"/>
              <w:spacing w:after="0" w:line="132" w:lineRule="exact"/>
              <w:rPr>
                <w:sz w:val="20"/>
                <w:szCs w:val="20"/>
                <w:color w:val="auto"/>
              </w:rPr>
            </w:pPr>
            <w:r>
              <w:rPr>
                <w:rFonts w:ascii="Arial" w:cs="Arial" w:eastAsia="Arial" w:hAnsi="Arial"/>
                <w:sz w:val="14"/>
                <w:szCs w:val="14"/>
                <w:color w:val="auto"/>
              </w:rPr>
              <w:t>Series L Notes, interest rate of 3.3%, face amount of $173, maturing September 15, 2022</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2"/>
        </w:trPr>
        <w:tc>
          <w:tcPr>
            <w:tcW w:w="7280" w:type="dxa"/>
            <w:vAlign w:val="bottom"/>
          </w:tcPr>
          <w:p>
            <w:pPr>
              <w:ind w:left="760"/>
              <w:spacing w:after="0"/>
              <w:rPr>
                <w:sz w:val="20"/>
                <w:szCs w:val="20"/>
                <w:color w:val="auto"/>
              </w:rPr>
            </w:pPr>
            <w:r>
              <w:rPr>
                <w:rFonts w:ascii="Arial" w:cs="Arial" w:eastAsia="Arial" w:hAnsi="Arial"/>
                <w:sz w:val="14"/>
                <w:szCs w:val="14"/>
                <w:color w:val="auto"/>
              </w:rPr>
              <w:t>(effective interest rate of 3.4%)</w:t>
            </w:r>
          </w:p>
        </w:tc>
        <w:tc>
          <w:tcPr>
            <w:tcW w:w="54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7280" w:type="dxa"/>
            <w:vAlign w:val="bottom"/>
            <w:shd w:val="clear" w:color="auto" w:fill="CCEEFF"/>
          </w:tcPr>
          <w:p>
            <w:pPr>
              <w:ind w:left="760"/>
              <w:spacing w:after="0" w:line="135" w:lineRule="exact"/>
              <w:rPr>
                <w:sz w:val="20"/>
                <w:szCs w:val="20"/>
                <w:color w:val="auto"/>
              </w:rPr>
            </w:pPr>
            <w:r>
              <w:rPr>
                <w:rFonts w:ascii="Arial" w:cs="Arial" w:eastAsia="Arial" w:hAnsi="Arial"/>
                <w:sz w:val="14"/>
                <w:szCs w:val="14"/>
                <w:color w:val="auto"/>
              </w:rPr>
              <w:t>Series M Notes, interest rate of 3.4%, face amount of $350, matured October 15, 2020</w:t>
            </w:r>
          </w:p>
        </w:tc>
        <w:tc>
          <w:tcPr>
            <w:tcW w:w="540" w:type="dxa"/>
            <w:vAlign w:val="bottom"/>
            <w:shd w:val="clear" w:color="auto" w:fill="CCEEFF"/>
          </w:tcPr>
          <w:p>
            <w:pPr>
              <w:spacing w:after="0"/>
              <w:rPr>
                <w:sz w:val="11"/>
                <w:szCs w:val="11"/>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4"/>
        </w:trPr>
        <w:tc>
          <w:tcPr>
            <w:tcW w:w="72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(effective interest rate of 3.6%)</w:t>
            </w:r>
          </w:p>
        </w:tc>
        <w:tc>
          <w:tcPr>
            <w:tcW w:w="540" w:type="dxa"/>
            <w:vAlign w:val="bottom"/>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80" w:type="dxa"/>
            <w:vAlign w:val="bottom"/>
          </w:tcPr>
          <w:p>
            <w:pPr>
              <w:ind w:left="760"/>
              <w:spacing w:after="0" w:line="132" w:lineRule="exact"/>
              <w:rPr>
                <w:sz w:val="20"/>
                <w:szCs w:val="20"/>
                <w:color w:val="auto"/>
              </w:rPr>
            </w:pPr>
            <w:r>
              <w:rPr>
                <w:rFonts w:ascii="Arial" w:cs="Arial" w:eastAsia="Arial" w:hAnsi="Arial"/>
                <w:sz w:val="14"/>
                <w:szCs w:val="14"/>
                <w:color w:val="auto"/>
              </w:rPr>
              <w:t>Series N Notes, interest rate of 3.1%, face amount of $400, maturing October 15, 2021</w:t>
            </w:r>
          </w:p>
        </w:tc>
        <w:tc>
          <w:tcPr>
            <w:tcW w:w="54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2"/>
        </w:trPr>
        <w:tc>
          <w:tcPr>
            <w:tcW w:w="7280" w:type="dxa"/>
            <w:vAlign w:val="bottom"/>
          </w:tcPr>
          <w:p>
            <w:pPr>
              <w:ind w:left="760"/>
              <w:spacing w:after="0"/>
              <w:rPr>
                <w:sz w:val="20"/>
                <w:szCs w:val="20"/>
                <w:color w:val="auto"/>
              </w:rPr>
            </w:pPr>
            <w:r>
              <w:rPr>
                <w:rFonts w:ascii="Arial" w:cs="Arial" w:eastAsia="Arial" w:hAnsi="Arial"/>
                <w:sz w:val="14"/>
                <w:szCs w:val="14"/>
                <w:color w:val="auto"/>
              </w:rPr>
              <w:t>(effective interest rate of 3.4%)</w:t>
            </w:r>
          </w:p>
        </w:tc>
        <w:tc>
          <w:tcPr>
            <w:tcW w:w="5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7280" w:type="dxa"/>
            <w:vAlign w:val="bottom"/>
            <w:shd w:val="clear" w:color="auto" w:fill="CCEEFF"/>
          </w:tcPr>
          <w:p>
            <w:pPr>
              <w:ind w:left="760"/>
              <w:spacing w:after="0" w:line="135" w:lineRule="exact"/>
              <w:rPr>
                <w:sz w:val="20"/>
                <w:szCs w:val="20"/>
                <w:color w:val="auto"/>
              </w:rPr>
            </w:pPr>
            <w:r>
              <w:rPr>
                <w:rFonts w:ascii="Arial" w:cs="Arial" w:eastAsia="Arial" w:hAnsi="Arial"/>
                <w:sz w:val="14"/>
                <w:szCs w:val="14"/>
                <w:color w:val="auto"/>
              </w:rPr>
              <w:t>Series O Notes, interest rate of 2.9%, face amount of $450, maturing March 1, 2021</w:t>
            </w:r>
          </w:p>
        </w:tc>
        <w:tc>
          <w:tcPr>
            <w:tcW w:w="54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4"/>
        </w:trPr>
        <w:tc>
          <w:tcPr>
            <w:tcW w:w="72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(effective interest rate of 3.1%)</w:t>
            </w:r>
          </w:p>
        </w:tc>
        <w:tc>
          <w:tcPr>
            <w:tcW w:w="54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80" w:type="dxa"/>
            <w:vAlign w:val="bottom"/>
          </w:tcPr>
          <w:p>
            <w:pPr>
              <w:ind w:left="760"/>
              <w:spacing w:after="0" w:line="132" w:lineRule="exact"/>
              <w:rPr>
                <w:sz w:val="20"/>
                <w:szCs w:val="20"/>
                <w:color w:val="auto"/>
              </w:rPr>
            </w:pPr>
            <w:r>
              <w:rPr>
                <w:rFonts w:ascii="Arial" w:cs="Arial" w:eastAsia="Arial" w:hAnsi="Arial"/>
                <w:sz w:val="14"/>
                <w:szCs w:val="14"/>
                <w:color w:val="auto"/>
              </w:rPr>
              <w:t>Series P Notes, interest rate of 3.8%, face amount of $350, maturing October 1, 2025</w:t>
            </w:r>
          </w:p>
        </w:tc>
        <w:tc>
          <w:tcPr>
            <w:tcW w:w="54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2"/>
        </w:trPr>
        <w:tc>
          <w:tcPr>
            <w:tcW w:w="7280" w:type="dxa"/>
            <w:vAlign w:val="bottom"/>
          </w:tcPr>
          <w:p>
            <w:pPr>
              <w:ind w:left="760"/>
              <w:spacing w:after="0"/>
              <w:rPr>
                <w:sz w:val="20"/>
                <w:szCs w:val="20"/>
                <w:color w:val="auto"/>
              </w:rPr>
            </w:pPr>
            <w:r>
              <w:rPr>
                <w:rFonts w:ascii="Arial" w:cs="Arial" w:eastAsia="Arial" w:hAnsi="Arial"/>
                <w:sz w:val="14"/>
                <w:szCs w:val="14"/>
                <w:color w:val="auto"/>
              </w:rPr>
              <w:t>(effective interest rate of 4.0%)</w:t>
            </w:r>
          </w:p>
        </w:tc>
        <w:tc>
          <w:tcPr>
            <w:tcW w:w="5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7280" w:type="dxa"/>
            <w:vAlign w:val="bottom"/>
            <w:shd w:val="clear" w:color="auto" w:fill="CCEEFF"/>
          </w:tcPr>
          <w:p>
            <w:pPr>
              <w:ind w:left="760"/>
              <w:spacing w:after="0" w:line="135" w:lineRule="exact"/>
              <w:rPr>
                <w:sz w:val="20"/>
                <w:szCs w:val="20"/>
                <w:color w:val="auto"/>
              </w:rPr>
            </w:pPr>
            <w:r>
              <w:rPr>
                <w:rFonts w:ascii="Arial" w:cs="Arial" w:eastAsia="Arial" w:hAnsi="Arial"/>
                <w:sz w:val="14"/>
                <w:szCs w:val="14"/>
                <w:color w:val="auto"/>
              </w:rPr>
              <w:t>Series Q Notes, interest rate of 2.3%, face amount of $399, maturing January 15, 2022</w:t>
            </w:r>
          </w:p>
        </w:tc>
        <w:tc>
          <w:tcPr>
            <w:tcW w:w="54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84"/>
        </w:trPr>
        <w:tc>
          <w:tcPr>
            <w:tcW w:w="72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(effective interest rate of 2.5%)</w:t>
            </w:r>
          </w:p>
        </w:tc>
        <w:tc>
          <w:tcPr>
            <w:tcW w:w="54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80" w:type="dxa"/>
            <w:vAlign w:val="bottom"/>
          </w:tcPr>
          <w:p>
            <w:pPr>
              <w:ind w:left="760"/>
              <w:spacing w:after="0" w:line="132" w:lineRule="exact"/>
              <w:rPr>
                <w:sz w:val="20"/>
                <w:szCs w:val="20"/>
                <w:color w:val="auto"/>
              </w:rPr>
            </w:pPr>
            <w:r>
              <w:rPr>
                <w:rFonts w:ascii="Arial" w:cs="Arial" w:eastAsia="Arial" w:hAnsi="Arial"/>
                <w:sz w:val="14"/>
                <w:szCs w:val="14"/>
                <w:color w:val="auto"/>
              </w:rPr>
              <w:t>Series R Notes, interest rate of 3.1%, face amount of $750, maturing June 15, 2026</w:t>
            </w:r>
          </w:p>
        </w:tc>
        <w:tc>
          <w:tcPr>
            <w:tcW w:w="54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745</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82"/>
        </w:trPr>
        <w:tc>
          <w:tcPr>
            <w:tcW w:w="7280" w:type="dxa"/>
            <w:vAlign w:val="bottom"/>
          </w:tcPr>
          <w:p>
            <w:pPr>
              <w:ind w:left="760"/>
              <w:spacing w:after="0"/>
              <w:rPr>
                <w:sz w:val="20"/>
                <w:szCs w:val="20"/>
                <w:color w:val="auto"/>
              </w:rPr>
            </w:pPr>
            <w:r>
              <w:rPr>
                <w:rFonts w:ascii="Arial" w:cs="Arial" w:eastAsia="Arial" w:hAnsi="Arial"/>
                <w:sz w:val="14"/>
                <w:szCs w:val="14"/>
                <w:color w:val="auto"/>
              </w:rPr>
              <w:t>(effective interest rate of 3.3%)</w:t>
            </w:r>
          </w:p>
        </w:tc>
        <w:tc>
          <w:tcPr>
            <w:tcW w:w="5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7280" w:type="dxa"/>
            <w:vAlign w:val="bottom"/>
            <w:shd w:val="clear" w:color="auto" w:fill="CCEEFF"/>
          </w:tcPr>
          <w:p>
            <w:pPr>
              <w:ind w:left="760"/>
              <w:spacing w:after="0" w:line="135" w:lineRule="exact"/>
              <w:rPr>
                <w:sz w:val="20"/>
                <w:szCs w:val="20"/>
                <w:color w:val="auto"/>
              </w:rPr>
            </w:pPr>
            <w:r>
              <w:rPr>
                <w:rFonts w:ascii="Arial" w:cs="Arial" w:eastAsia="Arial" w:hAnsi="Arial"/>
                <w:sz w:val="14"/>
                <w:szCs w:val="14"/>
                <w:color w:val="auto"/>
              </w:rPr>
              <w:t>Series U Notes, interest rate of 3.1%, face amount of $291, maturing February 15, 2023</w:t>
            </w:r>
          </w:p>
        </w:tc>
        <w:tc>
          <w:tcPr>
            <w:tcW w:w="54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4"/>
        </w:trPr>
        <w:tc>
          <w:tcPr>
            <w:tcW w:w="72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(effective interest rate of 3.1%)</w:t>
            </w:r>
          </w:p>
        </w:tc>
        <w:tc>
          <w:tcPr>
            <w:tcW w:w="54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80" w:type="dxa"/>
            <w:vAlign w:val="bottom"/>
          </w:tcPr>
          <w:p>
            <w:pPr>
              <w:ind w:left="760"/>
              <w:spacing w:after="0" w:line="132" w:lineRule="exact"/>
              <w:rPr>
                <w:sz w:val="20"/>
                <w:szCs w:val="20"/>
                <w:color w:val="auto"/>
              </w:rPr>
            </w:pPr>
            <w:r>
              <w:rPr>
                <w:rFonts w:ascii="Arial" w:cs="Arial" w:eastAsia="Arial" w:hAnsi="Arial"/>
                <w:sz w:val="14"/>
                <w:szCs w:val="14"/>
                <w:color w:val="auto"/>
              </w:rPr>
              <w:t>Series V Notes, interest rate of 3.8%, face amount of $318, maturing March 15, 2025</w:t>
            </w:r>
          </w:p>
        </w:tc>
        <w:tc>
          <w:tcPr>
            <w:tcW w:w="54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2"/>
        </w:trPr>
        <w:tc>
          <w:tcPr>
            <w:tcW w:w="7280" w:type="dxa"/>
            <w:vAlign w:val="bottom"/>
          </w:tcPr>
          <w:p>
            <w:pPr>
              <w:ind w:left="760"/>
              <w:spacing w:after="0"/>
              <w:rPr>
                <w:sz w:val="20"/>
                <w:szCs w:val="20"/>
                <w:color w:val="auto"/>
              </w:rPr>
            </w:pPr>
            <w:r>
              <w:rPr>
                <w:rFonts w:ascii="Arial" w:cs="Arial" w:eastAsia="Arial" w:hAnsi="Arial"/>
                <w:sz w:val="14"/>
                <w:szCs w:val="14"/>
                <w:color w:val="auto"/>
              </w:rPr>
              <w:t>(effective interest rate of 2.8%)</w:t>
            </w:r>
          </w:p>
        </w:tc>
        <w:tc>
          <w:tcPr>
            <w:tcW w:w="5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7280" w:type="dxa"/>
            <w:vAlign w:val="bottom"/>
            <w:shd w:val="clear" w:color="auto" w:fill="CCEEFF"/>
          </w:tcPr>
          <w:p>
            <w:pPr>
              <w:ind w:left="760"/>
              <w:spacing w:after="0" w:line="135" w:lineRule="exact"/>
              <w:rPr>
                <w:sz w:val="20"/>
                <w:szCs w:val="20"/>
                <w:color w:val="auto"/>
              </w:rPr>
            </w:pPr>
            <w:r>
              <w:rPr>
                <w:rFonts w:ascii="Arial" w:cs="Arial" w:eastAsia="Arial" w:hAnsi="Arial"/>
                <w:sz w:val="14"/>
                <w:szCs w:val="14"/>
                <w:color w:val="auto"/>
              </w:rPr>
              <w:t>Series W Notes, interest rate of 4.5%, face amount of $278, maturing October 1, 2034</w:t>
            </w:r>
          </w:p>
        </w:tc>
        <w:tc>
          <w:tcPr>
            <w:tcW w:w="54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4"/>
        </w:trPr>
        <w:tc>
          <w:tcPr>
            <w:tcW w:w="72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(effective interest rate of 4.1%)</w:t>
            </w:r>
          </w:p>
        </w:tc>
        <w:tc>
          <w:tcPr>
            <w:tcW w:w="54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80" w:type="dxa"/>
            <w:vAlign w:val="bottom"/>
          </w:tcPr>
          <w:p>
            <w:pPr>
              <w:ind w:left="760"/>
              <w:spacing w:after="0" w:line="132" w:lineRule="exact"/>
              <w:rPr>
                <w:sz w:val="20"/>
                <w:szCs w:val="20"/>
                <w:color w:val="auto"/>
              </w:rPr>
            </w:pPr>
            <w:r>
              <w:rPr>
                <w:rFonts w:ascii="Arial" w:cs="Arial" w:eastAsia="Arial" w:hAnsi="Arial"/>
                <w:sz w:val="14"/>
                <w:szCs w:val="14"/>
                <w:color w:val="auto"/>
              </w:rPr>
              <w:t>Series X Notes, interest rate of 4.0%, face amount of $450, maturing April 15, 2028</w:t>
            </w:r>
          </w:p>
        </w:tc>
        <w:tc>
          <w:tcPr>
            <w:tcW w:w="54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2"/>
        </w:trPr>
        <w:tc>
          <w:tcPr>
            <w:tcW w:w="7280" w:type="dxa"/>
            <w:vAlign w:val="bottom"/>
          </w:tcPr>
          <w:p>
            <w:pPr>
              <w:ind w:left="760"/>
              <w:spacing w:after="0"/>
              <w:rPr>
                <w:sz w:val="20"/>
                <w:szCs w:val="20"/>
                <w:color w:val="auto"/>
              </w:rPr>
            </w:pPr>
            <w:r>
              <w:rPr>
                <w:rFonts w:ascii="Arial" w:cs="Arial" w:eastAsia="Arial" w:hAnsi="Arial"/>
                <w:sz w:val="14"/>
                <w:szCs w:val="14"/>
                <w:color w:val="auto"/>
              </w:rPr>
              <w:t>(effective interest rate of 4.2%)</w:t>
            </w:r>
          </w:p>
        </w:tc>
        <w:tc>
          <w:tcPr>
            <w:tcW w:w="5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2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Series Y Notes, floating rate, face amount of $550, matured December 1, 2020</w:t>
            </w:r>
          </w:p>
        </w:tc>
        <w:tc>
          <w:tcPr>
            <w:tcW w:w="5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32"/>
        </w:trPr>
        <w:tc>
          <w:tcPr>
            <w:tcW w:w="7280" w:type="dxa"/>
            <w:vAlign w:val="bottom"/>
          </w:tcPr>
          <w:p>
            <w:pPr>
              <w:ind w:left="760"/>
              <w:spacing w:after="0" w:line="132" w:lineRule="exact"/>
              <w:rPr>
                <w:sz w:val="20"/>
                <w:szCs w:val="20"/>
                <w:color w:val="auto"/>
              </w:rPr>
            </w:pPr>
            <w:r>
              <w:rPr>
                <w:rFonts w:ascii="Arial" w:cs="Arial" w:eastAsia="Arial" w:hAnsi="Arial"/>
                <w:sz w:val="14"/>
                <w:szCs w:val="14"/>
                <w:color w:val="auto"/>
              </w:rPr>
              <w:t>Series Z Notes, interest rate of 4.2%, face amount of $350, maturing December 1, 2023</w:t>
            </w:r>
          </w:p>
        </w:tc>
        <w:tc>
          <w:tcPr>
            <w:tcW w:w="54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2"/>
        </w:trPr>
        <w:tc>
          <w:tcPr>
            <w:tcW w:w="7280" w:type="dxa"/>
            <w:vAlign w:val="bottom"/>
          </w:tcPr>
          <w:p>
            <w:pPr>
              <w:ind w:left="760"/>
              <w:spacing w:after="0"/>
              <w:rPr>
                <w:sz w:val="20"/>
                <w:szCs w:val="20"/>
                <w:color w:val="auto"/>
              </w:rPr>
            </w:pPr>
            <w:r>
              <w:rPr>
                <w:rFonts w:ascii="Arial" w:cs="Arial" w:eastAsia="Arial" w:hAnsi="Arial"/>
                <w:sz w:val="14"/>
                <w:szCs w:val="14"/>
                <w:color w:val="auto"/>
              </w:rPr>
              <w:t>(effective interest rate of 4.4%)</w:t>
            </w:r>
          </w:p>
        </w:tc>
        <w:tc>
          <w:tcPr>
            <w:tcW w:w="5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7280" w:type="dxa"/>
            <w:vAlign w:val="bottom"/>
            <w:shd w:val="clear" w:color="auto" w:fill="CCEEFF"/>
          </w:tcPr>
          <w:p>
            <w:pPr>
              <w:ind w:left="760"/>
              <w:spacing w:after="0" w:line="135" w:lineRule="exact"/>
              <w:rPr>
                <w:sz w:val="20"/>
                <w:szCs w:val="20"/>
                <w:color w:val="auto"/>
              </w:rPr>
            </w:pPr>
            <w:r>
              <w:rPr>
                <w:rFonts w:ascii="Arial" w:cs="Arial" w:eastAsia="Arial" w:hAnsi="Arial"/>
                <w:sz w:val="14"/>
                <w:szCs w:val="14"/>
                <w:color w:val="auto"/>
              </w:rPr>
              <w:t>Series AA Notes, interest rate of 4.7%, face amount of $300, maturing December 1, 2028</w:t>
            </w:r>
          </w:p>
        </w:tc>
        <w:tc>
          <w:tcPr>
            <w:tcW w:w="54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4"/>
        </w:trPr>
        <w:tc>
          <w:tcPr>
            <w:tcW w:w="72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(effective interest rate of 4.8%)</w:t>
            </w:r>
          </w:p>
        </w:tc>
        <w:tc>
          <w:tcPr>
            <w:tcW w:w="54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80" w:type="dxa"/>
            <w:vAlign w:val="bottom"/>
          </w:tcPr>
          <w:p>
            <w:pPr>
              <w:ind w:left="760"/>
              <w:spacing w:after="0" w:line="132" w:lineRule="exact"/>
              <w:rPr>
                <w:sz w:val="20"/>
                <w:szCs w:val="20"/>
                <w:color w:val="auto"/>
              </w:rPr>
            </w:pPr>
            <w:r>
              <w:rPr>
                <w:rFonts w:ascii="Arial" w:cs="Arial" w:eastAsia="Arial" w:hAnsi="Arial"/>
                <w:sz w:val="14"/>
                <w:szCs w:val="14"/>
                <w:color w:val="auto"/>
              </w:rPr>
              <w:t>Series BB Notes, floating rate, face amount of $300, maturing March 8, 2021</w:t>
            </w:r>
          </w:p>
        </w:tc>
        <w:tc>
          <w:tcPr>
            <w:tcW w:w="54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2"/>
        </w:trPr>
        <w:tc>
          <w:tcPr>
            <w:tcW w:w="7280" w:type="dxa"/>
            <w:vAlign w:val="bottom"/>
          </w:tcPr>
          <w:p>
            <w:pPr>
              <w:ind w:left="760"/>
              <w:spacing w:after="0"/>
              <w:rPr>
                <w:sz w:val="20"/>
                <w:szCs w:val="20"/>
                <w:color w:val="auto"/>
              </w:rPr>
            </w:pPr>
            <w:r>
              <w:rPr>
                <w:rFonts w:ascii="Arial" w:cs="Arial" w:eastAsia="Arial" w:hAnsi="Arial"/>
                <w:sz w:val="14"/>
                <w:szCs w:val="14"/>
                <w:color w:val="auto"/>
              </w:rPr>
              <w:t>(effective interest rate of 0.9% at December 31, 2020)</w:t>
            </w:r>
          </w:p>
        </w:tc>
        <w:tc>
          <w:tcPr>
            <w:tcW w:w="5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7280" w:type="dxa"/>
            <w:vAlign w:val="bottom"/>
            <w:shd w:val="clear" w:color="auto" w:fill="CCEEFF"/>
          </w:tcPr>
          <w:p>
            <w:pPr>
              <w:ind w:left="760"/>
              <w:spacing w:after="0" w:line="135" w:lineRule="exact"/>
              <w:rPr>
                <w:sz w:val="20"/>
                <w:szCs w:val="20"/>
                <w:color w:val="auto"/>
              </w:rPr>
            </w:pPr>
            <w:r>
              <w:rPr>
                <w:rFonts w:ascii="Arial" w:cs="Arial" w:eastAsia="Arial" w:hAnsi="Arial"/>
                <w:sz w:val="14"/>
                <w:szCs w:val="14"/>
                <w:color w:val="auto"/>
              </w:rPr>
              <w:t>Series CC Notes, interest rate of 3.6%, face amount of $550, maturing April 15, 2024</w:t>
            </w:r>
          </w:p>
        </w:tc>
        <w:tc>
          <w:tcPr>
            <w:tcW w:w="54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586</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4"/>
        </w:trPr>
        <w:tc>
          <w:tcPr>
            <w:tcW w:w="72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(effective interest rate of 3.9%)</w:t>
            </w:r>
          </w:p>
        </w:tc>
        <w:tc>
          <w:tcPr>
            <w:tcW w:w="54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80" w:type="dxa"/>
            <w:vAlign w:val="bottom"/>
          </w:tcPr>
          <w:p>
            <w:pPr>
              <w:ind w:left="760"/>
              <w:spacing w:after="0" w:line="132" w:lineRule="exact"/>
              <w:rPr>
                <w:sz w:val="20"/>
                <w:szCs w:val="20"/>
                <w:color w:val="auto"/>
              </w:rPr>
            </w:pPr>
            <w:r>
              <w:rPr>
                <w:rFonts w:ascii="Arial" w:cs="Arial" w:eastAsia="Arial" w:hAnsi="Arial"/>
                <w:sz w:val="14"/>
                <w:szCs w:val="14"/>
                <w:color w:val="auto"/>
              </w:rPr>
              <w:t>Series DD Notes, interest rate of 2.1%, face amount of $224, maturing October 3, 2022</w:t>
            </w:r>
          </w:p>
        </w:tc>
        <w:tc>
          <w:tcPr>
            <w:tcW w:w="54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2"/>
        </w:trPr>
        <w:tc>
          <w:tcPr>
            <w:tcW w:w="7280" w:type="dxa"/>
            <w:vAlign w:val="bottom"/>
          </w:tcPr>
          <w:p>
            <w:pPr>
              <w:ind w:left="760"/>
              <w:spacing w:after="0"/>
              <w:rPr>
                <w:sz w:val="20"/>
                <w:szCs w:val="20"/>
                <w:color w:val="auto"/>
              </w:rPr>
            </w:pPr>
            <w:r>
              <w:rPr>
                <w:rFonts w:ascii="Arial" w:cs="Arial" w:eastAsia="Arial" w:hAnsi="Arial"/>
                <w:sz w:val="14"/>
                <w:szCs w:val="14"/>
                <w:color w:val="auto"/>
              </w:rPr>
              <w:t>(effective interest rate of 1.2%)</w:t>
            </w:r>
          </w:p>
        </w:tc>
        <w:tc>
          <w:tcPr>
            <w:tcW w:w="5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7280" w:type="dxa"/>
            <w:vAlign w:val="bottom"/>
            <w:shd w:val="clear" w:color="auto" w:fill="CCEEFF"/>
          </w:tcPr>
          <w:p>
            <w:pPr>
              <w:ind w:left="760"/>
              <w:spacing w:after="0" w:line="135" w:lineRule="exact"/>
              <w:rPr>
                <w:sz w:val="20"/>
                <w:szCs w:val="20"/>
                <w:color w:val="auto"/>
              </w:rPr>
            </w:pPr>
            <w:r>
              <w:rPr>
                <w:rFonts w:ascii="Arial" w:cs="Arial" w:eastAsia="Arial" w:hAnsi="Arial"/>
                <w:sz w:val="14"/>
                <w:szCs w:val="14"/>
                <w:color w:val="auto"/>
              </w:rPr>
              <w:t>Series EE Notes, interest rate of 5.8%, face amount of $1,600, maturing May 1, 2025</w:t>
            </w:r>
          </w:p>
        </w:tc>
        <w:tc>
          <w:tcPr>
            <w:tcW w:w="54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1,583</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72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(effective interest rate of 6.0%)</w:t>
            </w:r>
          </w:p>
        </w:tc>
        <w:tc>
          <w:tcPr>
            <w:tcW w:w="54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80" w:type="dxa"/>
            <w:vAlign w:val="bottom"/>
          </w:tcPr>
          <w:p>
            <w:pPr>
              <w:ind w:left="760"/>
              <w:spacing w:after="0" w:line="132" w:lineRule="exact"/>
              <w:rPr>
                <w:sz w:val="20"/>
                <w:szCs w:val="20"/>
                <w:color w:val="auto"/>
              </w:rPr>
            </w:pPr>
            <w:r>
              <w:rPr>
                <w:rFonts w:ascii="Arial" w:cs="Arial" w:eastAsia="Arial" w:hAnsi="Arial"/>
                <w:sz w:val="14"/>
                <w:szCs w:val="14"/>
                <w:color w:val="auto"/>
              </w:rPr>
              <w:t>Series FF Notes, interest rate of 4.6%, face amount of $1,000, maturing June 15, 2030</w:t>
            </w:r>
          </w:p>
        </w:tc>
        <w:tc>
          <w:tcPr>
            <w:tcW w:w="54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986</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7280" w:type="dxa"/>
            <w:vAlign w:val="bottom"/>
          </w:tcPr>
          <w:p>
            <w:pPr>
              <w:ind w:left="760"/>
              <w:spacing w:after="0"/>
              <w:rPr>
                <w:sz w:val="20"/>
                <w:szCs w:val="20"/>
                <w:color w:val="auto"/>
              </w:rPr>
            </w:pPr>
            <w:r>
              <w:rPr>
                <w:rFonts w:ascii="Arial" w:cs="Arial" w:eastAsia="Arial" w:hAnsi="Arial"/>
                <w:sz w:val="14"/>
                <w:szCs w:val="14"/>
                <w:color w:val="auto"/>
              </w:rPr>
              <w:t>(effective interest rate of 4.8%)</w:t>
            </w:r>
          </w:p>
        </w:tc>
        <w:tc>
          <w:tcPr>
            <w:tcW w:w="5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7280" w:type="dxa"/>
            <w:vAlign w:val="bottom"/>
            <w:shd w:val="clear" w:color="auto" w:fill="CCEEFF"/>
          </w:tcPr>
          <w:p>
            <w:pPr>
              <w:ind w:left="760"/>
              <w:spacing w:after="0" w:line="135" w:lineRule="exact"/>
              <w:rPr>
                <w:sz w:val="20"/>
                <w:szCs w:val="20"/>
                <w:color w:val="auto"/>
              </w:rPr>
            </w:pPr>
            <w:r>
              <w:rPr>
                <w:rFonts w:ascii="Arial" w:cs="Arial" w:eastAsia="Arial" w:hAnsi="Arial"/>
                <w:sz w:val="14"/>
                <w:szCs w:val="14"/>
                <w:color w:val="auto"/>
              </w:rPr>
              <w:t>Series GG Notes, interest rate of 3.5%, face amount of $1,000, maturing October 15, 2032</w:t>
            </w:r>
          </w:p>
        </w:tc>
        <w:tc>
          <w:tcPr>
            <w:tcW w:w="54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985</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72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(effective interest rate of 3.7%)</w:t>
            </w:r>
          </w:p>
        </w:tc>
        <w:tc>
          <w:tcPr>
            <w:tcW w:w="54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72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Commercial paper</w:t>
            </w:r>
          </w:p>
        </w:tc>
        <w:tc>
          <w:tcPr>
            <w:tcW w:w="5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82"/>
        </w:trPr>
        <w:tc>
          <w:tcPr>
            <w:tcW w:w="7280" w:type="dxa"/>
            <w:vAlign w:val="bottom"/>
          </w:tcPr>
          <w:p>
            <w:pPr>
              <w:ind w:left="460"/>
              <w:spacing w:after="0"/>
              <w:rPr>
                <w:sz w:val="20"/>
                <w:szCs w:val="20"/>
                <w:color w:val="auto"/>
              </w:rPr>
            </w:pPr>
            <w:r>
              <w:rPr>
                <w:rFonts w:ascii="Arial" w:cs="Arial" w:eastAsia="Arial" w:hAnsi="Arial"/>
                <w:sz w:val="14"/>
                <w:szCs w:val="14"/>
                <w:color w:val="auto"/>
              </w:rPr>
              <w:t>Credit Facility</w:t>
            </w:r>
          </w:p>
        </w:tc>
        <w:tc>
          <w:tcPr>
            <w:tcW w:w="5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900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72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Finance lease obligations</w:t>
            </w:r>
          </w:p>
        </w:tc>
        <w:tc>
          <w:tcPr>
            <w:tcW w:w="5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2"/>
        </w:trPr>
        <w:tc>
          <w:tcPr>
            <w:tcW w:w="728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Other</w:t>
            </w:r>
          </w:p>
        </w:tc>
        <w:tc>
          <w:tcPr>
            <w:tcW w:w="5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0"/>
        </w:trPr>
        <w:tc>
          <w:tcPr>
            <w:tcW w:w="72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10,376</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10,94</w:t>
            </w:r>
          </w:p>
        </w:tc>
        <w:tc>
          <w:tcPr>
            <w:tcW w:w="0" w:type="dxa"/>
            <w:vAlign w:val="bottom"/>
          </w:tcPr>
          <w:p>
            <w:pPr>
              <w:spacing w:after="0"/>
              <w:rPr>
                <w:sz w:val="1"/>
                <w:szCs w:val="1"/>
                <w:color w:val="auto"/>
              </w:rPr>
            </w:pPr>
          </w:p>
        </w:tc>
      </w:tr>
      <w:tr>
        <w:trPr>
          <w:trHeight w:val="175"/>
        </w:trPr>
        <w:tc>
          <w:tcPr>
            <w:tcW w:w="728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Less current portion</w:t>
            </w:r>
          </w:p>
        </w:tc>
        <w:tc>
          <w:tcPr>
            <w:tcW w:w="5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(1,173)</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(977</w:t>
            </w:r>
          </w:p>
        </w:tc>
        <w:tc>
          <w:tcPr>
            <w:tcW w:w="0" w:type="dxa"/>
            <w:vAlign w:val="bottom"/>
          </w:tcPr>
          <w:p>
            <w:pPr>
              <w:spacing w:after="0"/>
              <w:rPr>
                <w:sz w:val="1"/>
                <w:szCs w:val="1"/>
                <w:color w:val="auto"/>
              </w:rPr>
            </w:pPr>
          </w:p>
        </w:tc>
      </w:tr>
      <w:tr>
        <w:trPr>
          <w:trHeight w:val="202"/>
        </w:trPr>
        <w:tc>
          <w:tcPr>
            <w:tcW w:w="72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9,203</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9,96</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right="200" w:firstLine="395"/>
        <w:spacing w:after="0" w:line="247" w:lineRule="auto"/>
        <w:rPr>
          <w:sz w:val="20"/>
          <w:szCs w:val="20"/>
          <w:color w:val="auto"/>
        </w:rPr>
      </w:pPr>
      <w:r>
        <w:rPr>
          <w:rFonts w:ascii="Arial" w:cs="Arial" w:eastAsia="Arial" w:hAnsi="Arial"/>
          <w:sz w:val="18"/>
          <w:szCs w:val="18"/>
          <w:color w:val="auto"/>
        </w:rPr>
        <w:t>All our long-term debt is recourse to us but unsecured, other than debt assumed in our acquisition of Elegant which we paid off in January 2020 and debt associated with one of our owned properties. All the Senior Notes shown in the table above are our unsecured and unsubordinated obligations, which rank equally with our other Senior Notes and all other unsecured and unsubordinated indebtedness that we have issued or will issue from time to time, and are governed by the terms of an indenture, dated as of November 16, 1998, between us and The Bank of New York Mellon (formerly The Bank of New York), as trustee. With the exception of the floating rate Series BB Notes, we may redeem some or all of each series of the Senior Notes before maturity under the terms provided in the applicable form of Senior Note.</w:t>
      </w:r>
    </w:p>
    <w:p>
      <w:pPr>
        <w:spacing w:after="0" w:line="200" w:lineRule="exact"/>
        <w:rPr>
          <w:sz w:val="20"/>
          <w:szCs w:val="20"/>
          <w:color w:val="auto"/>
        </w:rPr>
      </w:pPr>
    </w:p>
    <w:p>
      <w:pPr>
        <w:spacing w:after="0" w:line="3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firstLine="395"/>
        <w:spacing w:after="0" w:line="282" w:lineRule="auto"/>
        <w:rPr>
          <w:sz w:val="20"/>
          <w:szCs w:val="20"/>
          <w:color w:val="auto"/>
        </w:rPr>
      </w:pPr>
      <w:r>
        <w:rPr>
          <w:rFonts w:ascii="Arial" w:cs="Arial" w:eastAsia="Arial" w:hAnsi="Arial"/>
          <w:sz w:val="16"/>
          <w:szCs w:val="16"/>
          <w:color w:val="auto"/>
        </w:rPr>
        <w:t>We are party to a multicurrency revolving credit agreement (as amended, the “Credit Facility”) that provides for up to $4.5 billion of aggregate effective borrowings for general corporate needs, including working capital, capital expenditures, letters of credit, acquisitions and to support our commercial paper program if and when we resume issuing commercial paper. Borrowings under the Credit Facility generally bear interest at LIBOR (the London Interbank Offered Rate) plus a spread based on our public debt rating. We also pay quarterly fees on the Credit Facility at a rate based on our public debt rating. We classify outstanding borrowings under the Credit Facility and outstanding commercial paper borrowings (if any) as long-term based on our ability and intent to refinance the outstanding borrowings on a long-term basis. The Credit Facility expires on June 28, 2024. In 2020, we made borrowings of $4.5 billion and repayments of $3.6 billion, resulting in total outstanding borrowings under the Credit Facility of $0.9 billion as of December 31, 2020.</w:t>
      </w:r>
    </w:p>
    <w:p>
      <w:pPr>
        <w:spacing w:after="0" w:line="118" w:lineRule="exact"/>
        <w:rPr>
          <w:sz w:val="20"/>
          <w:szCs w:val="20"/>
          <w:color w:val="auto"/>
        </w:rPr>
      </w:pPr>
    </w:p>
    <w:p>
      <w:pPr>
        <w:ind w:firstLine="395"/>
        <w:spacing w:after="0" w:line="281" w:lineRule="auto"/>
        <w:rPr>
          <w:sz w:val="20"/>
          <w:szCs w:val="20"/>
          <w:color w:val="auto"/>
        </w:rPr>
      </w:pPr>
      <w:r>
        <w:rPr>
          <w:rFonts w:ascii="Arial" w:cs="Arial" w:eastAsia="Arial" w:hAnsi="Arial"/>
          <w:sz w:val="16"/>
          <w:szCs w:val="16"/>
          <w:color w:val="auto"/>
        </w:rPr>
        <w:t>In April 2020, we entered into an amendment to the Credit Facility (the “First Credit Facility Amendment”). The First Credit Facility Amendment waives the quarterly-tested leverage covenant in the Credit Facility through and including the first quarter of 2021 (the “Covenant Waiver Period”), which waiver period may end sooner at our election, adjusts the required leverage levels for the covenant when it is re-imposed at the end of the Covenant Waiver Period, and imposes a new monthly-tested liquidity covenant for the duration of the Covenant Waiver Period. The First Credit Facility Amendment also makes certain other amendments to the terms of the Credit Facility, including increasing the interest and fees payable on the Credit Facility for the duration of the Covenant Waiver Period, tightening certain existing covenants, and imposing additional covenants for the duration of the Covenant Waiver Period. These covenant changes include tightening the lien covenant and the covenant on dividends, share repurchases and distributions, and imposing new covenants limiting asset sales, investments and discretionary capital expenditures.</w:t>
      </w:r>
    </w:p>
    <w:p>
      <w:pPr>
        <w:spacing w:after="0" w:line="119" w:lineRule="exact"/>
        <w:rPr>
          <w:sz w:val="20"/>
          <w:szCs w:val="20"/>
          <w:color w:val="auto"/>
        </w:rPr>
      </w:pPr>
    </w:p>
    <w:p>
      <w:pPr>
        <w:ind w:right="20" w:firstLine="395"/>
        <w:spacing w:after="0" w:line="282" w:lineRule="auto"/>
        <w:rPr>
          <w:sz w:val="20"/>
          <w:szCs w:val="20"/>
          <w:color w:val="auto"/>
        </w:rPr>
      </w:pPr>
      <w:r>
        <w:rPr>
          <w:rFonts w:ascii="Arial" w:cs="Arial" w:eastAsia="Arial" w:hAnsi="Arial"/>
          <w:sz w:val="16"/>
          <w:szCs w:val="16"/>
          <w:color w:val="auto"/>
        </w:rPr>
        <w:t>In January 2021, we entered into two more amendments to the Credit Facility (the “New Credit Facility Amendments,” and together with the First Credit Facility Amendment, the “Credit Facility Amendments”), which extend the Covenant Waiver Period through and including the fourth quarter of 2021 (which waiver period may end sooner at our election), revise the required leverage levels for such covenant when it is re-imposed at the end of the Covenant Waiver Period (starting at 5.50 to 1.00 when the leverage test is first re-imposed and gradually stepping down to 4.00 to 1.00 over the succeeding five fiscal quarters, as further described in the Credit Facility), and increase the minimum liquidity amount under the liquidity covenant that is tested monthly for the duration of the Covenant Waiver Period. The New Credit Facility Amendments also make certain other amendments to the terms of the Credit Facility, including reducing the rate floor for the LIBOR Daily Floating Rate and the Eurocurrency Rate.</w:t>
      </w:r>
    </w:p>
    <w:p>
      <w:pPr>
        <w:spacing w:after="0" w:line="118" w:lineRule="exact"/>
        <w:rPr>
          <w:sz w:val="20"/>
          <w:szCs w:val="20"/>
          <w:color w:val="auto"/>
        </w:rPr>
      </w:pPr>
    </w:p>
    <w:p>
      <w:pPr>
        <w:ind w:right="40" w:firstLine="395"/>
        <w:spacing w:after="0" w:line="250" w:lineRule="auto"/>
        <w:rPr>
          <w:sz w:val="20"/>
          <w:szCs w:val="20"/>
          <w:color w:val="auto"/>
        </w:rPr>
      </w:pPr>
      <w:r>
        <w:rPr>
          <w:rFonts w:ascii="Arial" w:cs="Arial" w:eastAsia="Arial" w:hAnsi="Arial"/>
          <w:sz w:val="18"/>
          <w:szCs w:val="18"/>
          <w:color w:val="auto"/>
        </w:rPr>
        <w:t>In April 2020, we issued $1.6 billion aggregate principal amount of 5.750 percent Series EE Notes due May 1, 2025 (the “Series EE Notes”). We pay interest on the Series EE Notes in May and November of each year, commencing in November 2020. We received net proceeds of approximately $1.581 billion from the offering of the Series EE Notes, after deducting the underwriting discount and estimated expenses, which were made available for general corporate purposes.</w:t>
      </w:r>
    </w:p>
    <w:p>
      <w:pPr>
        <w:spacing w:after="0" w:line="138" w:lineRule="exact"/>
        <w:rPr>
          <w:sz w:val="20"/>
          <w:szCs w:val="20"/>
          <w:color w:val="auto"/>
        </w:rPr>
      </w:pPr>
    </w:p>
    <w:p>
      <w:pPr>
        <w:ind w:right="180" w:firstLine="395"/>
        <w:spacing w:after="0" w:line="250" w:lineRule="auto"/>
        <w:rPr>
          <w:sz w:val="20"/>
          <w:szCs w:val="20"/>
          <w:color w:val="auto"/>
        </w:rPr>
      </w:pPr>
      <w:r>
        <w:rPr>
          <w:rFonts w:ascii="Arial" w:cs="Arial" w:eastAsia="Arial" w:hAnsi="Arial"/>
          <w:sz w:val="18"/>
          <w:szCs w:val="18"/>
          <w:color w:val="auto"/>
        </w:rPr>
        <w:t>In June 2020, we issued $1.0 billion aggregate principal amount of 4.625 percent Series FF Notes due June 15, 2030 (the “Series FF Notes”). We pay interest on the Series FF Notes in June and December of each year, commencing in December 2020. We received net proceeds of approximately $985 million from the offering of the Series FF Notes, after deducting the underwriting discount and estimated expenses. We used the majority of these proceeds to repurchase Senior Notes with near term maturities, as further described below.</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June 2020, we completed a tender offer (the “Tender Offer”) and retired $853 million aggregate principal amount of our Senior Notes consisting of:</w:t>
      </w:r>
    </w:p>
    <w:p>
      <w:pPr>
        <w:spacing w:after="0" w:line="184" w:lineRule="exact"/>
        <w:rPr>
          <w:sz w:val="20"/>
          <w:szCs w:val="20"/>
          <w:color w:val="auto"/>
        </w:rPr>
      </w:pPr>
    </w:p>
    <w:p>
      <w:pPr>
        <w:ind w:left="640" w:hanging="319"/>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$351 million of our 2.3% Series Q Notes maturing January 15, 2022;</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$176 million of our 3.3% Series L Notes maturing September 15, 2022; and</w:t>
      </w:r>
    </w:p>
    <w:p>
      <w:pPr>
        <w:spacing w:after="0" w:line="161" w:lineRule="exact"/>
        <w:rPr>
          <w:rFonts w:ascii="Arial" w:cs="Arial" w:eastAsia="Arial" w:hAnsi="Arial"/>
          <w:sz w:val="18"/>
          <w:szCs w:val="18"/>
          <w:color w:val="auto"/>
        </w:rPr>
      </w:pPr>
    </w:p>
    <w:p>
      <w:pPr>
        <w:ind w:left="640" w:hanging="319"/>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$326 million of our 2.1% Series DD Notes maturing October 3, 2022.</w:t>
      </w:r>
    </w:p>
    <w:p>
      <w:pPr>
        <w:spacing w:after="0" w:line="161"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We used proceeds from our Series FF Notes offering to complete the repurchase of such notes, including the payment of accrued interest and other costs incurred.</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July 2020, we redeemed all $350 million aggregate principal amount of our Series M Notes due in October 2020.</w:t>
      </w:r>
    </w:p>
    <w:p>
      <w:pPr>
        <w:spacing w:after="0" w:line="161" w:lineRule="exact"/>
        <w:rPr>
          <w:sz w:val="20"/>
          <w:szCs w:val="20"/>
          <w:color w:val="auto"/>
        </w:rPr>
      </w:pPr>
    </w:p>
    <w:p>
      <w:pPr>
        <w:ind w:right="120" w:firstLine="395"/>
        <w:spacing w:after="0" w:line="291" w:lineRule="auto"/>
        <w:rPr>
          <w:sz w:val="20"/>
          <w:szCs w:val="20"/>
          <w:color w:val="auto"/>
        </w:rPr>
      </w:pPr>
      <w:r>
        <w:rPr>
          <w:rFonts w:ascii="Arial" w:cs="Arial" w:eastAsia="Arial" w:hAnsi="Arial"/>
          <w:sz w:val="16"/>
          <w:szCs w:val="16"/>
          <w:color w:val="auto"/>
        </w:rPr>
        <w:t>In August 2020, we issued $1.0 billion aggregate principal amount of 3.500 percent Series GG Notes due October 15, 2032 (the “Series GG Notes”). We will pay interest on the Series GG Notes in April and October of each year, commencing in April 2021. We received net proceeds of approximately $984 million from the offering of the Series GG Notes, after deducting the underwriting discount and estimated expenses, which were made available for general corporate purposes, including the repayment of a portion of our outstanding borrowings under the Credit Facility.</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presents future principal payments, net of discounts, premiums, and debt issuance costs, for our debt at year-end 2020:</w:t>
      </w:r>
    </w:p>
    <w:p>
      <w:pPr>
        <w:spacing w:after="0" w:line="214" w:lineRule="exact"/>
        <w:rPr>
          <w:sz w:val="20"/>
          <w:szCs w:val="20"/>
          <w:color w:val="auto"/>
        </w:rPr>
      </w:pPr>
    </w:p>
    <w:tbl>
      <w:tblPr>
        <w:tblLayout w:type="fixed"/>
        <w:tblInd w:w="2100" w:type="dxa"/>
        <w:tblCellMar>
          <w:top w:w="0" w:type="dxa"/>
          <w:left w:w="0" w:type="dxa"/>
          <w:bottom w:w="0" w:type="dxa"/>
          <w:right w:w="0" w:type="dxa"/>
        </w:tblCellMar>
      </w:tblPr>
      <w:tr>
        <w:trPr>
          <w:trHeight w:val="188"/>
        </w:trPr>
        <w:tc>
          <w:tcPr>
            <w:tcW w:w="5620" w:type="dxa"/>
            <w:vAlign w:val="bottom"/>
            <w:tcBorders>
              <w:bottom w:val="single" w:sz="8" w:color="CCEEFF"/>
            </w:tcBorders>
          </w:tcPr>
          <w:p>
            <w:pPr>
              <w:ind w:left="400"/>
              <w:spacing w:after="0"/>
              <w:rPr>
                <w:sz w:val="20"/>
                <w:szCs w:val="20"/>
                <w:color w:val="auto"/>
              </w:rPr>
            </w:pPr>
            <w:r>
              <w:rPr>
                <w:rFonts w:ascii="Arial" w:cs="Arial" w:eastAsia="Arial" w:hAnsi="Arial"/>
                <w:sz w:val="14"/>
                <w:szCs w:val="14"/>
                <w:color w:val="auto"/>
              </w:rPr>
              <w:t xml:space="preserve">Debt Principal Payments </w:t>
            </w:r>
            <w:r>
              <w:rPr>
                <w:rFonts w:ascii="Arial" w:cs="Arial" w:eastAsia="Arial" w:hAnsi="Arial"/>
                <w:sz w:val="14"/>
                <w:szCs w:val="14"/>
                <w:i w:val="1"/>
                <w:iCs w:val="1"/>
                <w:color w:val="auto"/>
              </w:rPr>
              <w:t>($ in millions)</w:t>
            </w:r>
          </w:p>
        </w:tc>
        <w:tc>
          <w:tcPr>
            <w:tcW w:w="6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Amount</w:t>
            </w:r>
          </w:p>
        </w:tc>
      </w:tr>
      <w:tr>
        <w:trPr>
          <w:trHeight w:val="183"/>
        </w:trPr>
        <w:tc>
          <w:tcPr>
            <w:tcW w:w="56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2021</w:t>
            </w: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1,173</w:t>
            </w:r>
          </w:p>
        </w:tc>
      </w:tr>
      <w:tr>
        <w:trPr>
          <w:trHeight w:val="182"/>
        </w:trPr>
        <w:tc>
          <w:tcPr>
            <w:tcW w:w="5620" w:type="dxa"/>
            <w:vAlign w:val="bottom"/>
          </w:tcPr>
          <w:p>
            <w:pPr>
              <w:ind w:left="400"/>
              <w:spacing w:after="0"/>
              <w:rPr>
                <w:sz w:val="20"/>
                <w:szCs w:val="20"/>
                <w:color w:val="auto"/>
              </w:rPr>
            </w:pPr>
            <w:r>
              <w:rPr>
                <w:rFonts w:ascii="Arial" w:cs="Arial" w:eastAsia="Arial" w:hAnsi="Arial"/>
                <w:sz w:val="14"/>
                <w:szCs w:val="14"/>
                <w:color w:val="auto"/>
              </w:rPr>
              <w:t>2022</w:t>
            </w:r>
          </w:p>
        </w:tc>
        <w:tc>
          <w:tcPr>
            <w:tcW w:w="6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807</w:t>
            </w:r>
          </w:p>
        </w:tc>
      </w:tr>
      <w:tr>
        <w:trPr>
          <w:trHeight w:val="187"/>
        </w:trPr>
        <w:tc>
          <w:tcPr>
            <w:tcW w:w="56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2023</w:t>
            </w:r>
          </w:p>
        </w:tc>
        <w:tc>
          <w:tcPr>
            <w:tcW w:w="6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w:t>
            </w:r>
          </w:p>
        </w:tc>
      </w:tr>
      <w:tr>
        <w:trPr>
          <w:trHeight w:val="182"/>
        </w:trPr>
        <w:tc>
          <w:tcPr>
            <w:tcW w:w="5620" w:type="dxa"/>
            <w:vAlign w:val="bottom"/>
          </w:tcPr>
          <w:p>
            <w:pPr>
              <w:ind w:left="400"/>
              <w:spacing w:after="0"/>
              <w:rPr>
                <w:sz w:val="20"/>
                <w:szCs w:val="20"/>
                <w:color w:val="auto"/>
              </w:rPr>
            </w:pPr>
            <w:r>
              <w:rPr>
                <w:rFonts w:ascii="Arial" w:cs="Arial" w:eastAsia="Arial" w:hAnsi="Arial"/>
                <w:sz w:val="14"/>
                <w:szCs w:val="14"/>
                <w:color w:val="auto"/>
              </w:rPr>
              <w:t>2024</w:t>
            </w:r>
          </w:p>
        </w:tc>
        <w:tc>
          <w:tcPr>
            <w:tcW w:w="6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1,494</w:t>
            </w:r>
          </w:p>
        </w:tc>
      </w:tr>
      <w:tr>
        <w:trPr>
          <w:trHeight w:val="187"/>
        </w:trPr>
        <w:tc>
          <w:tcPr>
            <w:tcW w:w="56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2025</w:t>
            </w:r>
          </w:p>
        </w:tc>
        <w:tc>
          <w:tcPr>
            <w:tcW w:w="6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2,302</w:t>
            </w:r>
          </w:p>
        </w:tc>
      </w:tr>
      <w:tr>
        <w:trPr>
          <w:trHeight w:val="182"/>
        </w:trPr>
        <w:tc>
          <w:tcPr>
            <w:tcW w:w="5620" w:type="dxa"/>
            <w:vAlign w:val="bottom"/>
            <w:tcBorders>
              <w:bottom w:val="single" w:sz="8" w:color="CCEEFF"/>
            </w:tcBorders>
          </w:tcPr>
          <w:p>
            <w:pPr>
              <w:ind w:left="400"/>
              <w:spacing w:after="0"/>
              <w:rPr>
                <w:sz w:val="20"/>
                <w:szCs w:val="20"/>
                <w:color w:val="auto"/>
              </w:rPr>
            </w:pPr>
            <w:r>
              <w:rPr>
                <w:rFonts w:ascii="Arial" w:cs="Arial" w:eastAsia="Arial" w:hAnsi="Arial"/>
                <w:sz w:val="14"/>
                <w:szCs w:val="14"/>
                <w:color w:val="auto"/>
              </w:rPr>
              <w:t>Thereafter</w:t>
            </w:r>
          </w:p>
        </w:tc>
        <w:tc>
          <w:tcPr>
            <w:tcW w:w="6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3,918</w:t>
            </w:r>
          </w:p>
        </w:tc>
      </w:tr>
      <w:tr>
        <w:trPr>
          <w:trHeight w:val="205"/>
        </w:trPr>
        <w:tc>
          <w:tcPr>
            <w:tcW w:w="5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Balance at year-end 2020</w:t>
            </w:r>
          </w:p>
        </w:tc>
        <w:tc>
          <w:tcPr>
            <w:tcW w:w="6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10,376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paid cash for interest, net of amounts capitalized, of $377 million in 2020, $348 million in 2019, and $290 million in 2018.</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INTANGIBLE ASSETS AND GOODWILL</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details the composition of our intangible assets at year-end 2020 and 2019:</w:t>
      </w:r>
    </w:p>
    <w:p>
      <w:pPr>
        <w:spacing w:after="0" w:line="33" w:lineRule="exact"/>
        <w:rPr>
          <w:sz w:val="20"/>
          <w:szCs w:val="20"/>
          <w:color w:val="auto"/>
        </w:rPr>
      </w:pPr>
    </w:p>
    <w:tbl>
      <w:tblPr>
        <w:tblLayout w:type="fixed"/>
        <w:tblInd w:w="400" w:type="dxa"/>
        <w:tblCellMar>
          <w:top w:w="0" w:type="dxa"/>
          <w:left w:w="0" w:type="dxa"/>
          <w:bottom w:w="0" w:type="dxa"/>
          <w:right w:w="0" w:type="dxa"/>
        </w:tblCellMar>
      </w:tblPr>
      <w:tr>
        <w:trPr>
          <w:trHeight w:val="188"/>
        </w:trPr>
        <w:tc>
          <w:tcPr>
            <w:tcW w:w="6780" w:type="dxa"/>
            <w:vAlign w:val="bottom"/>
          </w:tcPr>
          <w:p>
            <w:pPr>
              <w:ind w:left="420"/>
              <w:spacing w:after="0"/>
              <w:rPr>
                <w:sz w:val="20"/>
                <w:szCs w:val="20"/>
                <w:color w:val="auto"/>
              </w:rPr>
            </w:pPr>
            <w:r>
              <w:rPr>
                <w:rFonts w:ascii="Arial" w:cs="Arial" w:eastAsia="Arial" w:hAnsi="Arial"/>
                <w:sz w:val="14"/>
                <w:szCs w:val="14"/>
                <w:i w:val="1"/>
                <w:iCs w:val="1"/>
                <w:color w:val="auto"/>
              </w:rPr>
              <w:t>($ in millions)</w:t>
            </w:r>
          </w:p>
        </w:tc>
        <w:tc>
          <w:tcPr>
            <w:tcW w:w="54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At Year-End 2020</w:t>
            </w:r>
          </w:p>
        </w:tc>
        <w:tc>
          <w:tcPr>
            <w:tcW w:w="560" w:type="dxa"/>
            <w:vAlign w:val="bottom"/>
          </w:tcPr>
          <w:p>
            <w:pPr>
              <w:spacing w:after="0"/>
              <w:rPr>
                <w:sz w:val="16"/>
                <w:szCs w:val="16"/>
                <w:color w:val="auto"/>
              </w:rPr>
            </w:pPr>
          </w:p>
        </w:tc>
        <w:tc>
          <w:tcPr>
            <w:tcW w:w="1340" w:type="dxa"/>
            <w:vAlign w:val="bottom"/>
          </w:tcPr>
          <w:p>
            <w:pPr>
              <w:jc w:val="right"/>
              <w:ind w:right="150"/>
              <w:spacing w:after="0"/>
              <w:rPr>
                <w:sz w:val="20"/>
                <w:szCs w:val="20"/>
                <w:color w:val="auto"/>
              </w:rPr>
            </w:pPr>
            <w:r>
              <w:rPr>
                <w:rFonts w:ascii="Arial" w:cs="Arial" w:eastAsia="Arial" w:hAnsi="Arial"/>
                <w:sz w:val="14"/>
                <w:szCs w:val="14"/>
                <w:b w:val="1"/>
                <w:bCs w:val="1"/>
                <w:color w:val="auto"/>
                <w:w w:val="95"/>
              </w:rPr>
              <w:t>At Year-End 2019</w:t>
            </w:r>
          </w:p>
        </w:tc>
      </w:tr>
      <w:tr>
        <w:trPr>
          <w:trHeight w:val="170"/>
        </w:trPr>
        <w:tc>
          <w:tcPr>
            <w:tcW w:w="678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Definite-lived Intangible Assets</w:t>
            </w:r>
          </w:p>
        </w:tc>
        <w:tc>
          <w:tcPr>
            <w:tcW w:w="54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r>
      <w:tr>
        <w:trPr>
          <w:trHeight w:val="182"/>
        </w:trPr>
        <w:tc>
          <w:tcPr>
            <w:tcW w:w="6780" w:type="dxa"/>
            <w:vAlign w:val="bottom"/>
          </w:tcPr>
          <w:p>
            <w:pPr>
              <w:ind w:left="720"/>
              <w:spacing w:after="0"/>
              <w:rPr>
                <w:sz w:val="20"/>
                <w:szCs w:val="20"/>
                <w:color w:val="auto"/>
              </w:rPr>
            </w:pPr>
            <w:r>
              <w:rPr>
                <w:rFonts w:ascii="Arial" w:cs="Arial" w:eastAsia="Arial" w:hAnsi="Arial"/>
                <w:sz w:val="14"/>
                <w:szCs w:val="14"/>
                <w:color w:val="auto"/>
              </w:rPr>
              <w:t>Costs incurred to obtain contracts with customers</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1,674</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1,588</w:t>
            </w:r>
          </w:p>
        </w:tc>
      </w:tr>
      <w:tr>
        <w:trPr>
          <w:trHeight w:val="184"/>
        </w:trPr>
        <w:tc>
          <w:tcPr>
            <w:tcW w:w="6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Contracts acquired in business combinations and other</w:t>
            </w:r>
          </w:p>
        </w:tc>
        <w:tc>
          <w:tcPr>
            <w:tcW w:w="5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2,257</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1,972</w:t>
            </w:r>
          </w:p>
        </w:tc>
      </w:tr>
      <w:tr>
        <w:trPr>
          <w:trHeight w:val="177"/>
        </w:trPr>
        <w:tc>
          <w:tcPr>
            <w:tcW w:w="6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3,931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3,560</w:t>
            </w:r>
          </w:p>
        </w:tc>
      </w:tr>
      <w:tr>
        <w:trPr>
          <w:trHeight w:val="184"/>
        </w:trPr>
        <w:tc>
          <w:tcPr>
            <w:tcW w:w="6780" w:type="dxa"/>
            <w:vAlign w:val="bottom"/>
            <w:shd w:val="clear" w:color="auto" w:fill="CCEEFF"/>
          </w:tcPr>
          <w:p>
            <w:pPr>
              <w:ind w:left="540"/>
              <w:spacing w:after="0"/>
              <w:rPr>
                <w:sz w:val="20"/>
                <w:szCs w:val="20"/>
                <w:color w:val="auto"/>
              </w:rPr>
            </w:pPr>
            <w:r>
              <w:rPr>
                <w:rFonts w:ascii="Arial" w:cs="Arial" w:eastAsia="Arial" w:hAnsi="Arial"/>
                <w:sz w:val="14"/>
                <w:szCs w:val="14"/>
                <w:color w:val="auto"/>
              </w:rPr>
              <w:t>Accumulated amortization</w:t>
            </w:r>
          </w:p>
        </w:tc>
        <w:tc>
          <w:tcPr>
            <w:tcW w:w="5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(937)</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(808)</w:t>
            </w:r>
          </w:p>
        </w:tc>
      </w:tr>
      <w:tr>
        <w:trPr>
          <w:trHeight w:val="177"/>
        </w:trPr>
        <w:tc>
          <w:tcPr>
            <w:tcW w:w="6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2,994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2,752</w:t>
            </w:r>
          </w:p>
        </w:tc>
      </w:tr>
      <w:tr>
        <w:trPr>
          <w:trHeight w:val="184"/>
        </w:trPr>
        <w:tc>
          <w:tcPr>
            <w:tcW w:w="67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Indefinite-lived Intangible Brand Assets</w:t>
            </w:r>
          </w:p>
        </w:tc>
        <w:tc>
          <w:tcPr>
            <w:tcW w:w="5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5,995</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5,889</w:t>
            </w:r>
          </w:p>
        </w:tc>
      </w:tr>
      <w:tr>
        <w:trPr>
          <w:trHeight w:val="177"/>
        </w:trPr>
        <w:tc>
          <w:tcPr>
            <w:tcW w:w="6780" w:type="dxa"/>
            <w:vAlign w:val="bottom"/>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8,989</w:t>
            </w:r>
          </w:p>
        </w:tc>
        <w:tc>
          <w:tcPr>
            <w:tcW w:w="10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8,641</w:t>
            </w:r>
          </w:p>
        </w:tc>
      </w:tr>
      <w:tr>
        <w:trPr>
          <w:trHeight w:val="22"/>
        </w:trPr>
        <w:tc>
          <w:tcPr>
            <w:tcW w:w="67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firstLine="395"/>
        <w:spacing w:after="0" w:line="271" w:lineRule="auto"/>
        <w:rPr>
          <w:sz w:val="20"/>
          <w:szCs w:val="20"/>
          <w:color w:val="auto"/>
        </w:rPr>
      </w:pPr>
      <w:r>
        <w:rPr>
          <w:rFonts w:ascii="Arial" w:cs="Arial" w:eastAsia="Arial" w:hAnsi="Arial"/>
          <w:sz w:val="17"/>
          <w:szCs w:val="17"/>
          <w:color w:val="auto"/>
        </w:rPr>
        <w:t xml:space="preserve">We capitalize direct costs that we incur to obtain management, franchise, and license agreements. We amortize these costs on a straight-line basis over the initial term of the agreements, ranging from 15 to 30 years. In 2020, we recorded impairment charges totaling $64 million in the “Contract investment amortization” caption of our Income Statements to reduce the carrying amount of certain capitalized costs incurred to obtain contracts with customers, primarily due to the impact of </w:t>
      </w:r>
      <w:r>
        <w:rPr>
          <w:rFonts w:ascii="Arial" w:cs="Arial" w:eastAsia="Arial" w:hAnsi="Arial"/>
          <w:sz w:val="18"/>
          <w:szCs w:val="18"/>
          <w:color w:val="auto"/>
        </w:rPr>
        <w:t>COVID-19</w:t>
      </w:r>
      <w:r>
        <w:rPr>
          <w:rFonts w:ascii="Arial" w:cs="Arial" w:eastAsia="Arial" w:hAnsi="Arial"/>
          <w:sz w:val="17"/>
          <w:szCs w:val="17"/>
          <w:color w:val="auto"/>
        </w:rPr>
        <w:t>, most of which we recorded in our U.S. &amp; Canada business segment.</w:t>
      </w:r>
    </w:p>
    <w:p>
      <w:pPr>
        <w:spacing w:after="0" w:line="117" w:lineRule="exact"/>
        <w:rPr>
          <w:sz w:val="20"/>
          <w:szCs w:val="20"/>
          <w:color w:val="auto"/>
        </w:rPr>
      </w:pPr>
    </w:p>
    <w:p>
      <w:pPr>
        <w:ind w:right="20" w:firstLine="395"/>
        <w:spacing w:after="0" w:line="252" w:lineRule="auto"/>
        <w:rPr>
          <w:sz w:val="20"/>
          <w:szCs w:val="20"/>
          <w:color w:val="auto"/>
        </w:rPr>
      </w:pPr>
      <w:r>
        <w:rPr>
          <w:rFonts w:ascii="Arial" w:cs="Arial" w:eastAsia="Arial" w:hAnsi="Arial"/>
          <w:sz w:val="18"/>
          <w:szCs w:val="18"/>
          <w:color w:val="auto"/>
        </w:rPr>
        <w:t>For acquired definite-lived intangible assets, we recorded amortization expense of $97 million in 2020, $105 million in 2019, and $111 million in 2018 in the “Depreciation, amortization, and other” caption of our Income Statements. For these assets, we estimate that our aggregate amortization expense will be $95 million for each of the next five fiscal years.</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details the carrying amount of our goodwill at year-end 2020 and 2019:</w:t>
      </w:r>
    </w:p>
    <w:p>
      <w:pPr>
        <w:spacing w:after="0" w:line="263"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440" w:type="dxa"/>
            <w:vAlign w:val="bottom"/>
            <w:vMerge w:val="restart"/>
          </w:tcPr>
          <w:p>
            <w:pPr>
              <w:ind w:left="420"/>
              <w:spacing w:after="0"/>
              <w:rPr>
                <w:sz w:val="20"/>
                <w:szCs w:val="20"/>
                <w:color w:val="auto"/>
              </w:rPr>
            </w:pPr>
            <w:r>
              <w:rPr>
                <w:rFonts w:ascii="Arial" w:cs="Arial" w:eastAsia="Arial" w:hAnsi="Arial"/>
                <w:sz w:val="14"/>
                <w:szCs w:val="14"/>
                <w:i w:val="1"/>
                <w:iCs w:val="1"/>
                <w:color w:val="auto"/>
              </w:rPr>
              <w:t>($ in millions)</w:t>
            </w:r>
          </w:p>
        </w:tc>
        <w:tc>
          <w:tcPr>
            <w:tcW w:w="500" w:type="dxa"/>
            <w:vAlign w:val="bottom"/>
          </w:tcPr>
          <w:p>
            <w:pPr>
              <w:spacing w:after="0"/>
              <w:rPr>
                <w:sz w:val="14"/>
                <w:szCs w:val="14"/>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U.S. &amp; Canada</w:t>
            </w:r>
          </w:p>
        </w:tc>
        <w:tc>
          <w:tcPr>
            <w:tcW w:w="560" w:type="dxa"/>
            <w:vAlign w:val="bottom"/>
          </w:tcPr>
          <w:p>
            <w:pPr>
              <w:spacing w:after="0"/>
              <w:rPr>
                <w:sz w:val="14"/>
                <w:szCs w:val="14"/>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Asia Pacific</w:t>
            </w:r>
          </w:p>
        </w:tc>
        <w:tc>
          <w:tcPr>
            <w:tcW w:w="64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EMEA</w:t>
            </w:r>
          </w:p>
        </w:tc>
        <w:tc>
          <w:tcPr>
            <w:tcW w:w="620" w:type="dxa"/>
            <w:vAlign w:val="bottom"/>
          </w:tcPr>
          <w:p>
            <w:pPr>
              <w:spacing w:after="0"/>
              <w:rPr>
                <w:sz w:val="14"/>
                <w:szCs w:val="14"/>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CALA</w:t>
            </w:r>
          </w:p>
        </w:tc>
        <w:tc>
          <w:tcPr>
            <w:tcW w:w="500" w:type="dxa"/>
            <w:vAlign w:val="bottom"/>
          </w:tcPr>
          <w:p>
            <w:pPr>
              <w:spacing w:after="0"/>
              <w:rPr>
                <w:sz w:val="14"/>
                <w:szCs w:val="14"/>
                <w:color w:val="auto"/>
              </w:rPr>
            </w:pPr>
          </w:p>
        </w:tc>
        <w:tc>
          <w:tcPr>
            <w:tcW w:w="1080" w:type="dxa"/>
            <w:vAlign w:val="bottom"/>
          </w:tcPr>
          <w:p>
            <w:pPr>
              <w:jc w:val="right"/>
              <w:ind w:right="37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4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ind w:right="450"/>
              <w:spacing w:after="0"/>
              <w:rPr>
                <w:sz w:val="20"/>
                <w:szCs w:val="20"/>
                <w:color w:val="auto"/>
              </w:rPr>
            </w:pPr>
            <w:r>
              <w:rPr>
                <w:rFonts w:ascii="Arial" w:cs="Arial" w:eastAsia="Arial" w:hAnsi="Arial"/>
                <w:sz w:val="14"/>
                <w:szCs w:val="14"/>
                <w:b w:val="1"/>
                <w:bCs w:val="1"/>
                <w:color w:val="auto"/>
                <w:w w:val="91"/>
              </w:rPr>
              <w:t>Goodwill</w:t>
            </w:r>
          </w:p>
        </w:tc>
        <w:tc>
          <w:tcPr>
            <w:tcW w:w="0" w:type="dxa"/>
            <w:vAlign w:val="bottom"/>
          </w:tcPr>
          <w:p>
            <w:pPr>
              <w:spacing w:after="0"/>
              <w:rPr>
                <w:sz w:val="1"/>
                <w:szCs w:val="1"/>
                <w:color w:val="auto"/>
              </w:rPr>
            </w:pPr>
          </w:p>
        </w:tc>
      </w:tr>
      <w:tr>
        <w:trPr>
          <w:trHeight w:val="178"/>
        </w:trPr>
        <w:tc>
          <w:tcPr>
            <w:tcW w:w="244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Balance at year-end 2019</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5,338</w:t>
            </w: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1,864</w:t>
            </w: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1,522</w:t>
            </w: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324</w:t>
            </w:r>
          </w:p>
        </w:tc>
        <w:tc>
          <w:tcPr>
            <w:tcW w:w="1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9,048</w:t>
            </w:r>
          </w:p>
        </w:tc>
        <w:tc>
          <w:tcPr>
            <w:tcW w:w="0" w:type="dxa"/>
            <w:vAlign w:val="bottom"/>
          </w:tcPr>
          <w:p>
            <w:pPr>
              <w:spacing w:after="0"/>
              <w:rPr>
                <w:sz w:val="1"/>
                <w:szCs w:val="1"/>
                <w:color w:val="auto"/>
              </w:rPr>
            </w:pPr>
          </w:p>
        </w:tc>
      </w:tr>
      <w:tr>
        <w:trPr>
          <w:trHeight w:val="182"/>
        </w:trPr>
        <w:tc>
          <w:tcPr>
            <w:tcW w:w="244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Foreign currency translation</w:t>
            </w: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w w:val="96"/>
              </w:rPr>
              <w:t>(10)</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05"/>
        </w:trPr>
        <w:tc>
          <w:tcPr>
            <w:tcW w:w="24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Balance at year-end 2020</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5,347</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1,935</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1,579</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314</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9,175</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PROPERTY AND EQUIPMENT</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composition of our property and equipment balances at year-end 2020 and 2019:</w:t>
      </w:r>
    </w:p>
    <w:p>
      <w:pPr>
        <w:spacing w:after="0" w:line="33" w:lineRule="exact"/>
        <w:rPr>
          <w:sz w:val="20"/>
          <w:szCs w:val="20"/>
          <w:color w:val="auto"/>
        </w:rPr>
      </w:pPr>
    </w:p>
    <w:tbl>
      <w:tblPr>
        <w:tblLayout w:type="fixed"/>
        <w:tblInd w:w="780" w:type="dxa"/>
        <w:tblCellMar>
          <w:top w:w="0" w:type="dxa"/>
          <w:left w:w="0" w:type="dxa"/>
          <w:bottom w:w="0" w:type="dxa"/>
          <w:right w:w="0" w:type="dxa"/>
        </w:tblCellMar>
      </w:tblPr>
      <w:tr>
        <w:trPr>
          <w:trHeight w:val="188"/>
        </w:trPr>
        <w:tc>
          <w:tcPr>
            <w:tcW w:w="654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6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At Year-End 2020</w:t>
            </w:r>
          </w:p>
        </w:tc>
        <w:tc>
          <w:tcPr>
            <w:tcW w:w="140" w:type="dxa"/>
            <w:vAlign w:val="bottom"/>
          </w:tcPr>
          <w:p>
            <w:pPr>
              <w:spacing w:after="0"/>
              <w:rPr>
                <w:sz w:val="16"/>
                <w:szCs w:val="16"/>
                <w:color w:val="auto"/>
              </w:rPr>
            </w:pPr>
          </w:p>
        </w:tc>
        <w:tc>
          <w:tcPr>
            <w:tcW w:w="1380" w:type="dxa"/>
            <w:vAlign w:val="bottom"/>
          </w:tcPr>
          <w:p>
            <w:pPr>
              <w:jc w:val="right"/>
              <w:ind w:right="170"/>
              <w:spacing w:after="0"/>
              <w:rPr>
                <w:sz w:val="20"/>
                <w:szCs w:val="20"/>
                <w:color w:val="auto"/>
              </w:rPr>
            </w:pPr>
            <w:r>
              <w:rPr>
                <w:rFonts w:ascii="Arial" w:cs="Arial" w:eastAsia="Arial" w:hAnsi="Arial"/>
                <w:sz w:val="14"/>
                <w:szCs w:val="14"/>
                <w:b w:val="1"/>
                <w:bCs w:val="1"/>
                <w:color w:val="auto"/>
                <w:w w:val="97"/>
              </w:rPr>
              <w:t>At Year-End 2019</w:t>
            </w:r>
          </w:p>
        </w:tc>
      </w:tr>
      <w:tr>
        <w:trPr>
          <w:trHeight w:val="183"/>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Land</w:t>
            </w: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688</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684</w:t>
            </w:r>
          </w:p>
        </w:tc>
      </w:tr>
      <w:tr>
        <w:trPr>
          <w:trHeight w:val="182"/>
        </w:trPr>
        <w:tc>
          <w:tcPr>
            <w:tcW w:w="6540" w:type="dxa"/>
            <w:vAlign w:val="bottom"/>
          </w:tcPr>
          <w:p>
            <w:pPr>
              <w:ind w:left="20"/>
              <w:spacing w:after="0"/>
              <w:rPr>
                <w:sz w:val="20"/>
                <w:szCs w:val="20"/>
                <w:color w:val="auto"/>
              </w:rPr>
            </w:pPr>
            <w:r>
              <w:rPr>
                <w:rFonts w:ascii="Arial" w:cs="Arial" w:eastAsia="Arial" w:hAnsi="Arial"/>
                <w:sz w:val="14"/>
                <w:szCs w:val="14"/>
                <w:color w:val="auto"/>
              </w:rPr>
              <w:t>Buildings and leasehold improvements</w:t>
            </w: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1,045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1,100</w:t>
            </w:r>
          </w:p>
        </w:tc>
      </w:tr>
      <w:tr>
        <w:trPr>
          <w:trHeight w:val="187"/>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and equipment</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1,225</w:t>
            </w:r>
          </w:p>
        </w:tc>
      </w:tr>
      <w:tr>
        <w:trPr>
          <w:trHeight w:val="182"/>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Construction in progress</w:t>
            </w: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w:t>
            </w:r>
          </w:p>
        </w:tc>
      </w:tr>
      <w:tr>
        <w:trPr>
          <w:trHeight w:val="180"/>
        </w:trPr>
        <w:tc>
          <w:tcPr>
            <w:tcW w:w="6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3,205</w:t>
            </w:r>
          </w:p>
        </w:tc>
      </w:tr>
      <w:tr>
        <w:trPr>
          <w:trHeight w:val="182"/>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depreciation</w:t>
            </w: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(1,301)</w:t>
            </w:r>
          </w:p>
        </w:tc>
      </w:tr>
      <w:tr>
        <w:trPr>
          <w:trHeight w:val="202"/>
        </w:trPr>
        <w:tc>
          <w:tcPr>
            <w:tcW w:w="65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1,514</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1,904</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right="120" w:firstLine="395"/>
        <w:spacing w:after="0" w:line="282" w:lineRule="auto"/>
        <w:rPr>
          <w:sz w:val="20"/>
          <w:szCs w:val="20"/>
          <w:color w:val="auto"/>
        </w:rPr>
      </w:pPr>
      <w:r>
        <w:rPr>
          <w:rFonts w:ascii="Arial" w:cs="Arial" w:eastAsia="Arial" w:hAnsi="Arial"/>
          <w:sz w:val="16"/>
          <w:szCs w:val="16"/>
          <w:color w:val="auto"/>
        </w:rPr>
        <w:t>We record property and equipment at cost, including interest and real estate taxes we incur during development and construction. We capitalize the cost of improvements that extend the useful life of property and equipment when we incur them. These capitalized costs may include structural costs, equipment, fixtures, floor, and wall coverings. We expense all repair and maintenance costs when we incur them. We compute depreciation using the straight-line method over the estimated useful lives of the assets (generally three to 40 years), and we amortize leasehold improvements over the shorter of the asset life or lease term. Our gross depreciation expense totaled $322 million in 2020, $346 million in 2019, and $256 million in 2018 (of which $109 million in 2020, $121 million in 2019, and $147 million in 2018 was included in the “Reimbursed expenses” caption of our Income Statements). Fixed assets attributed to operations located outside the U.S. were $679 million at year-end 2020 and $695 million at year-end 2019.</w:t>
      </w:r>
    </w:p>
    <w:p>
      <w:pPr>
        <w:spacing w:after="0" w:line="118" w:lineRule="exact"/>
        <w:rPr>
          <w:sz w:val="20"/>
          <w:szCs w:val="20"/>
          <w:color w:val="auto"/>
        </w:rPr>
      </w:pPr>
    </w:p>
    <w:p>
      <w:pPr>
        <w:ind w:right="140" w:firstLine="395"/>
        <w:spacing w:after="0" w:line="261" w:lineRule="auto"/>
        <w:rPr>
          <w:sz w:val="20"/>
          <w:szCs w:val="20"/>
          <w:color w:val="auto"/>
        </w:rPr>
      </w:pPr>
      <w:r>
        <w:rPr>
          <w:rFonts w:ascii="Arial" w:cs="Arial" w:eastAsia="Arial" w:hAnsi="Arial"/>
          <w:sz w:val="18"/>
          <w:szCs w:val="18"/>
          <w:color w:val="auto"/>
        </w:rPr>
        <w:t>We recorded impairment charges for property and equipment, including leasehold improvements, and right-of-use assets on several U.S. &amp; Canada leased hotels in 2020 and 2019 as discussed in Note 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OF FINANCIAL INSTRUMENTS</w:t>
      </w:r>
    </w:p>
    <w:p>
      <w:pPr>
        <w:spacing w:after="0" w:line="167" w:lineRule="exact"/>
        <w:rPr>
          <w:sz w:val="20"/>
          <w:szCs w:val="20"/>
          <w:color w:val="auto"/>
        </w:rPr>
      </w:pPr>
    </w:p>
    <w:p>
      <w:pPr>
        <w:ind w:right="100" w:firstLine="395"/>
        <w:spacing w:after="0" w:line="252" w:lineRule="auto"/>
        <w:rPr>
          <w:sz w:val="20"/>
          <w:szCs w:val="20"/>
          <w:color w:val="auto"/>
        </w:rPr>
      </w:pPr>
      <w:r>
        <w:rPr>
          <w:rFonts w:ascii="Arial" w:cs="Arial" w:eastAsia="Arial" w:hAnsi="Arial"/>
          <w:sz w:val="18"/>
          <w:szCs w:val="18"/>
          <w:color w:val="auto"/>
        </w:rPr>
        <w:t>We believe that the fair values of our current assets and current liabilities approximate their reported carrying amounts. We present the carrying values and the fair values of noncurrent financial assets and liabilities that qualify as financial instruments, determined under current guidance for disclosures on the fair value of financial instruments, in the following table:</w:t>
      </w:r>
    </w:p>
    <w:p>
      <w:pPr>
        <w:spacing w:after="0" w:line="167" w:lineRule="exact"/>
        <w:rPr>
          <w:sz w:val="20"/>
          <w:szCs w:val="20"/>
          <w:color w:val="auto"/>
        </w:rPr>
      </w:pPr>
    </w:p>
    <w:tbl>
      <w:tblPr>
        <w:tblLayout w:type="fixed"/>
        <w:tblInd w:w="400" w:type="dxa"/>
        <w:tblCellMar>
          <w:top w:w="0" w:type="dxa"/>
          <w:left w:w="0" w:type="dxa"/>
          <w:bottom w:w="0" w:type="dxa"/>
          <w:right w:w="0" w:type="dxa"/>
        </w:tblCellMar>
      </w:tblPr>
      <w:tr>
        <w:trPr>
          <w:trHeight w:val="188"/>
        </w:trPr>
        <w:tc>
          <w:tcPr>
            <w:tcW w:w="40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92"/>
              </w:rPr>
              <w:t>At Year-End 2020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At Year-End 2019</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080" w:type="dxa"/>
            <w:vAlign w:val="bottom"/>
            <w:vMerge w:val="restart"/>
          </w:tcPr>
          <w:p>
            <w:pPr>
              <w:ind w:left="420"/>
              <w:spacing w:after="0"/>
              <w:rPr>
                <w:sz w:val="20"/>
                <w:szCs w:val="20"/>
                <w:color w:val="auto"/>
              </w:rPr>
            </w:pPr>
            <w:r>
              <w:rPr>
                <w:rFonts w:ascii="Arial" w:cs="Arial" w:eastAsia="Arial" w:hAnsi="Arial"/>
                <w:sz w:val="14"/>
                <w:szCs w:val="14"/>
                <w:i w:val="1"/>
                <w:iCs w:val="1"/>
                <w:color w:val="auto"/>
              </w:rPr>
              <w:t>($ in millions)</w:t>
            </w:r>
          </w:p>
        </w:tc>
        <w:tc>
          <w:tcPr>
            <w:tcW w:w="540" w:type="dxa"/>
            <w:vAlign w:val="bottom"/>
          </w:tcPr>
          <w:p>
            <w:pPr>
              <w:spacing w:after="0"/>
              <w:rPr>
                <w:sz w:val="11"/>
                <w:szCs w:val="11"/>
                <w:color w:val="auto"/>
              </w:rPr>
            </w:pPr>
          </w:p>
        </w:tc>
        <w:tc>
          <w:tcPr>
            <w:tcW w:w="1240" w:type="dxa"/>
            <w:vAlign w:val="bottom"/>
            <w:gridSpan w:val="2"/>
          </w:tcPr>
          <w:p>
            <w:pPr>
              <w:ind w:left="220"/>
              <w:spacing w:after="0" w:line="130" w:lineRule="exact"/>
              <w:rPr>
                <w:sz w:val="20"/>
                <w:szCs w:val="20"/>
                <w:color w:val="auto"/>
              </w:rPr>
            </w:pPr>
            <w:r>
              <w:rPr>
                <w:rFonts w:ascii="Arial" w:cs="Arial" w:eastAsia="Arial" w:hAnsi="Arial"/>
                <w:sz w:val="14"/>
                <w:szCs w:val="14"/>
                <w:b w:val="1"/>
                <w:bCs w:val="1"/>
                <w:color w:val="auto"/>
              </w:rPr>
              <w:t>Carrying</w:t>
            </w:r>
          </w:p>
        </w:tc>
        <w:tc>
          <w:tcPr>
            <w:tcW w:w="72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560" w:type="dxa"/>
            <w:vAlign w:val="bottom"/>
          </w:tcPr>
          <w:p>
            <w:pPr>
              <w:spacing w:after="0"/>
              <w:rPr>
                <w:sz w:val="11"/>
                <w:szCs w:val="11"/>
                <w:color w:val="auto"/>
              </w:rPr>
            </w:pPr>
          </w:p>
        </w:tc>
        <w:tc>
          <w:tcPr>
            <w:tcW w:w="1260" w:type="dxa"/>
            <w:vAlign w:val="bottom"/>
            <w:gridSpan w:val="2"/>
          </w:tcPr>
          <w:p>
            <w:pPr>
              <w:ind w:left="220"/>
              <w:spacing w:after="0" w:line="130" w:lineRule="exact"/>
              <w:rPr>
                <w:sz w:val="20"/>
                <w:szCs w:val="20"/>
                <w:color w:val="auto"/>
              </w:rPr>
            </w:pPr>
            <w:r>
              <w:rPr>
                <w:rFonts w:ascii="Arial" w:cs="Arial" w:eastAsia="Arial" w:hAnsi="Arial"/>
                <w:sz w:val="14"/>
                <w:szCs w:val="14"/>
                <w:b w:val="1"/>
                <w:bCs w:val="1"/>
                <w:color w:val="auto"/>
              </w:rPr>
              <w:t>Carrying</w:t>
            </w:r>
          </w:p>
        </w:tc>
        <w:tc>
          <w:tcPr>
            <w:tcW w:w="720" w:type="dxa"/>
            <w:vAlign w:val="bottom"/>
          </w:tcPr>
          <w:p>
            <w:pPr>
              <w:spacing w:after="0"/>
              <w:rPr>
                <w:sz w:val="11"/>
                <w:szCs w:val="11"/>
                <w:color w:val="auto"/>
              </w:rPr>
            </w:pPr>
          </w:p>
        </w:tc>
        <w:tc>
          <w:tcPr>
            <w:tcW w:w="720" w:type="dxa"/>
            <w:vAlign w:val="bottom"/>
            <w:vMerge w:val="restart"/>
          </w:tcPr>
          <w:p>
            <w:pPr>
              <w:jc w:val="right"/>
              <w:ind w:right="1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84"/>
        </w:trPr>
        <w:tc>
          <w:tcPr>
            <w:tcW w:w="408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7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7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Senior, mezzanine, and other loans</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4"/>
                <w:szCs w:val="14"/>
                <w:color w:val="auto"/>
              </w:rPr>
              <w:t>159</w:t>
            </w: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80" w:type="dxa"/>
            <w:vAlign w:val="bottom"/>
          </w:tcPr>
          <w:p>
            <w:pPr>
              <w:ind w:left="420"/>
              <w:spacing w:after="0"/>
              <w:rPr>
                <w:sz w:val="20"/>
                <w:szCs w:val="20"/>
                <w:color w:val="auto"/>
              </w:rPr>
            </w:pPr>
            <w:r>
              <w:rPr>
                <w:rFonts w:ascii="Arial" w:cs="Arial" w:eastAsia="Arial" w:hAnsi="Arial"/>
                <w:sz w:val="14"/>
                <w:szCs w:val="14"/>
                <w:b w:val="1"/>
                <w:bCs w:val="1"/>
                <w:color w:val="auto"/>
              </w:rPr>
              <w:t>Total noncurrent financial assets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5"/>
                <w:szCs w:val="15"/>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5"/>
                <w:szCs w:val="15"/>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5"/>
                <w:szCs w:val="15"/>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080" w:type="dxa"/>
            <w:vAlign w:val="bottom"/>
          </w:tcPr>
          <w:p>
            <w:pPr>
              <w:ind w:left="420"/>
              <w:spacing w:after="0"/>
              <w:rPr>
                <w:sz w:val="20"/>
                <w:szCs w:val="20"/>
                <w:color w:val="auto"/>
              </w:rPr>
            </w:pPr>
            <w:r>
              <w:rPr>
                <w:rFonts w:ascii="Arial" w:cs="Arial" w:eastAsia="Arial" w:hAnsi="Arial"/>
                <w:sz w:val="14"/>
                <w:szCs w:val="14"/>
                <w:color w:val="auto"/>
              </w:rPr>
              <w:t>Senior Notes</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(8,031)</w:t>
            </w:r>
          </w:p>
        </w:tc>
        <w:tc>
          <w:tcPr>
            <w:tcW w:w="100" w:type="dxa"/>
            <w:vAlign w:val="bottom"/>
          </w:tcPr>
          <w:p>
            <w:pPr>
              <w:spacing w:after="0"/>
              <w:rPr>
                <w:sz w:val="15"/>
                <w:szCs w:val="15"/>
                <w:color w:val="auto"/>
              </w:rPr>
            </w:pPr>
          </w:p>
        </w:tc>
        <w:tc>
          <w:tcPr>
            <w:tcW w:w="7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(8,941)</w:t>
            </w:r>
          </w:p>
        </w:tc>
        <w:tc>
          <w:tcPr>
            <w:tcW w:w="100" w:type="dxa"/>
            <w:vAlign w:val="bottom"/>
          </w:tcPr>
          <w:p>
            <w:pPr>
              <w:spacing w:after="0"/>
              <w:rPr>
                <w:sz w:val="15"/>
                <w:szCs w:val="15"/>
                <w:color w:val="auto"/>
              </w:rPr>
            </w:pPr>
          </w:p>
        </w:tc>
        <w:tc>
          <w:tcPr>
            <w:tcW w:w="5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(6,441)</w:t>
            </w:r>
          </w:p>
        </w:tc>
        <w:tc>
          <w:tcPr>
            <w:tcW w:w="100" w:type="dxa"/>
            <w:vAlign w:val="bottom"/>
          </w:tcPr>
          <w:p>
            <w:pPr>
              <w:spacing w:after="0"/>
              <w:rPr>
                <w:sz w:val="15"/>
                <w:szCs w:val="15"/>
                <w:color w:val="auto"/>
              </w:rPr>
            </w:pPr>
          </w:p>
        </w:tc>
        <w:tc>
          <w:tcPr>
            <w:tcW w:w="72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7"/>
        </w:trPr>
        <w:tc>
          <w:tcPr>
            <w:tcW w:w="40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Commercial paper/Credit Facility</w:t>
            </w:r>
          </w:p>
        </w:tc>
        <w:tc>
          <w:tcPr>
            <w:tcW w:w="5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(3,197)</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2"/>
        </w:trPr>
        <w:tc>
          <w:tcPr>
            <w:tcW w:w="4080" w:type="dxa"/>
            <w:vAlign w:val="bottom"/>
          </w:tcPr>
          <w:p>
            <w:pPr>
              <w:ind w:left="420"/>
              <w:spacing w:after="0"/>
              <w:rPr>
                <w:sz w:val="20"/>
                <w:szCs w:val="20"/>
                <w:color w:val="auto"/>
              </w:rPr>
            </w:pPr>
            <w:r>
              <w:rPr>
                <w:rFonts w:ascii="Arial" w:cs="Arial" w:eastAsia="Arial" w:hAnsi="Arial"/>
                <w:sz w:val="14"/>
                <w:szCs w:val="14"/>
                <w:color w:val="auto"/>
              </w:rPr>
              <w:t>Other long-term debt</w:t>
            </w:r>
          </w:p>
        </w:tc>
        <w:tc>
          <w:tcPr>
            <w:tcW w:w="5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40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Other noncurrent liabilities</w:t>
            </w:r>
          </w:p>
        </w:tc>
        <w:tc>
          <w:tcPr>
            <w:tcW w:w="5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1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080" w:type="dxa"/>
            <w:vAlign w:val="bottom"/>
          </w:tcPr>
          <w:p>
            <w:pPr>
              <w:ind w:left="420"/>
              <w:spacing w:after="0"/>
              <w:rPr>
                <w:sz w:val="20"/>
                <w:szCs w:val="20"/>
                <w:color w:val="auto"/>
              </w:rPr>
            </w:pPr>
            <w:r>
              <w:rPr>
                <w:rFonts w:ascii="Arial" w:cs="Arial" w:eastAsia="Arial" w:hAnsi="Arial"/>
                <w:sz w:val="14"/>
                <w:szCs w:val="14"/>
                <w:b w:val="1"/>
                <w:bCs w:val="1"/>
                <w:color w:val="auto"/>
              </w:rPr>
              <w:t>Total noncurrent financial liabilities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(9,483)</w:t>
            </w:r>
          </w:p>
        </w:tc>
        <w:tc>
          <w:tcPr>
            <w:tcW w:w="100" w:type="dxa"/>
            <w:vAlign w:val="bottom"/>
          </w:tcPr>
          <w:p>
            <w:pPr>
              <w:spacing w:after="0"/>
              <w:rPr>
                <w:sz w:val="15"/>
                <w:szCs w:val="15"/>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(10,395)</w:t>
            </w:r>
          </w:p>
        </w:tc>
        <w:tc>
          <w:tcPr>
            <w:tcW w:w="100" w:type="dxa"/>
            <w:vAlign w:val="bottom"/>
          </w:tcPr>
          <w:p>
            <w:pPr>
              <w:spacing w:after="0"/>
              <w:rPr>
                <w:sz w:val="15"/>
                <w:szCs w:val="15"/>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(10,008)</w:t>
            </w:r>
          </w:p>
        </w:tc>
        <w:tc>
          <w:tcPr>
            <w:tcW w:w="100" w:type="dxa"/>
            <w:vAlign w:val="bottom"/>
          </w:tcPr>
          <w:p>
            <w:pPr>
              <w:spacing w:after="0"/>
              <w:rPr>
                <w:sz w:val="15"/>
                <w:szCs w:val="15"/>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estimate the fair value of our senior, mezzanine, and other loans by discounting cash flows using risk-adjusted rates, both of which are Level 3 inputs.</w:t>
      </w:r>
    </w:p>
    <w:p>
      <w:pPr>
        <w:spacing w:after="0" w:line="184" w:lineRule="exact"/>
        <w:rPr>
          <w:sz w:val="20"/>
          <w:szCs w:val="20"/>
          <w:color w:val="auto"/>
        </w:rPr>
      </w:pPr>
    </w:p>
    <w:p>
      <w:pPr>
        <w:ind w:right="180" w:firstLine="434"/>
        <w:spacing w:after="0" w:line="280" w:lineRule="auto"/>
        <w:rPr>
          <w:sz w:val="20"/>
          <w:szCs w:val="20"/>
          <w:color w:val="auto"/>
        </w:rPr>
      </w:pPr>
      <w:r>
        <w:rPr>
          <w:rFonts w:ascii="Arial" w:cs="Arial" w:eastAsia="Arial" w:hAnsi="Arial"/>
          <w:sz w:val="16"/>
          <w:szCs w:val="16"/>
          <w:color w:val="auto"/>
        </w:rPr>
        <w:t xml:space="preserve">We estimate the fair value of our other long-term debt, excluding leases, using expected future payments discounted at risk-adjusted rates, which are Level 3 inputs. We determine the fair value of our Senior Notes using quoted market prices, which are directly observable Level 1 inputs. As discussed in Note 10, even though our commercial paper borrowings generally have short-term maturities of 30 days or less, we classify outstanding commercial paper borrowings (if any) as long-term based on our ability and intent to refinance them on a long-term basis. As we have historically been a frequent issuer of commercial paper, we use pricing from recent transactions as Level 2 inputs in estimating fair value. At year-end 2019, we determined that the carrying value of our commercial paper approximated fair value due to the short maturity. At year-end 2020, all of our previously issued commercial paper has matured and been repaid. Due to changes to our credit ratings as a result of the impact of </w:t>
      </w:r>
      <w:r>
        <w:rPr>
          <w:rFonts w:ascii="Arial" w:cs="Arial" w:eastAsia="Arial" w:hAnsi="Arial"/>
          <w:sz w:val="17"/>
          <w:szCs w:val="17"/>
          <w:color w:val="auto"/>
        </w:rPr>
        <w:t>COVID-19</w:t>
      </w:r>
      <w:r>
        <w:rPr>
          <w:rFonts w:ascii="Arial" w:cs="Arial" w:eastAsia="Arial" w:hAnsi="Arial"/>
          <w:sz w:val="16"/>
          <w:szCs w:val="16"/>
          <w:color w:val="auto"/>
        </w:rPr>
        <w:t xml:space="preserve"> on our business, we currently are not issuing commercial paper. The carrying value of our Credit Facility borrowings approximate fair value because they bear interest at a market rate. Our other noncurrent liabilities largely consist of guarantees. As we note in the “</w:t>
      </w:r>
      <w:r>
        <w:rPr>
          <w:rFonts w:ascii="Arial" w:cs="Arial" w:eastAsia="Arial" w:hAnsi="Arial"/>
          <w:sz w:val="16"/>
          <w:szCs w:val="16"/>
          <w:i w:val="1"/>
          <w:iCs w:val="1"/>
          <w:color w:val="auto"/>
        </w:rPr>
        <w:t>Guarantees</w:t>
      </w:r>
      <w:r>
        <w:rPr>
          <w:rFonts w:ascii="Arial" w:cs="Arial" w:eastAsia="Arial" w:hAnsi="Arial"/>
          <w:sz w:val="16"/>
          <w:szCs w:val="16"/>
          <w:color w:val="auto"/>
        </w:rPr>
        <w:t>” caption of Note 2, we measure our liability for guarantees at fair value on a</w:t>
      </w:r>
    </w:p>
    <w:p>
      <w:pPr>
        <w:spacing w:after="0" w:line="200" w:lineRule="exact"/>
        <w:rPr>
          <w:sz w:val="20"/>
          <w:szCs w:val="20"/>
          <w:color w:val="auto"/>
        </w:rPr>
      </w:pPr>
    </w:p>
    <w:p>
      <w:pPr>
        <w:spacing w:after="0" w:line="30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780"/>
        <w:spacing w:after="0" w:line="324" w:lineRule="auto"/>
        <w:rPr>
          <w:sz w:val="20"/>
          <w:szCs w:val="20"/>
          <w:color w:val="auto"/>
        </w:rPr>
      </w:pPr>
      <w:r>
        <w:rPr>
          <w:rFonts w:ascii="Arial" w:cs="Arial" w:eastAsia="Arial" w:hAnsi="Arial"/>
          <w:sz w:val="16"/>
          <w:szCs w:val="16"/>
          <w:color w:val="auto"/>
        </w:rPr>
        <w:t>nonrecurring basis, which is when we issue or modify a guarantee using Level 3 internally developed inputs. At year-end 2020 and year-end 2019, we determined that the carrying values of our guarantee liabilities approximated their fair values based on Level 3 inputs.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the “</w:t>
      </w:r>
      <w:r>
        <w:rPr>
          <w:rFonts w:ascii="Arial" w:cs="Arial" w:eastAsia="Arial" w:hAnsi="Arial"/>
          <w:sz w:val="18"/>
          <w:szCs w:val="18"/>
          <w:i w:val="1"/>
          <w:iCs w:val="1"/>
          <w:color w:val="auto"/>
        </w:rPr>
        <w:t>Fair Value Measurements</w:t>
      </w:r>
      <w:r>
        <w:rPr>
          <w:rFonts w:ascii="Arial" w:cs="Arial" w:eastAsia="Arial" w:hAnsi="Arial"/>
          <w:sz w:val="18"/>
          <w:szCs w:val="18"/>
          <w:color w:val="auto"/>
        </w:rPr>
        <w:t>” caption of Note 2 for more information on the input levels we use in determining fair value.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ACCUMULATED OTHER COMPREHENSIVE LOSS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details the accumulated other comprehensive loss activity for 2020, 2019, and 2018:</w:t>
      </w:r>
    </w:p>
    <w:p>
      <w:pPr>
        <w:spacing w:after="0" w:line="171"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4360" w:type="dxa"/>
            <w:vAlign w:val="bottom"/>
            <w:vMerge w:val="restart"/>
          </w:tcPr>
          <w:p>
            <w:pPr>
              <w:ind w:left="420"/>
              <w:spacing w:after="0"/>
              <w:rPr>
                <w:sz w:val="20"/>
                <w:szCs w:val="20"/>
                <w:color w:val="auto"/>
              </w:rPr>
            </w:pPr>
            <w:r>
              <w:rPr>
                <w:rFonts w:ascii="Arial" w:cs="Arial" w:eastAsia="Arial" w:hAnsi="Arial"/>
                <w:sz w:val="14"/>
                <w:szCs w:val="14"/>
                <w:i w:val="1"/>
                <w:iCs w:val="1"/>
                <w:color w:val="auto"/>
              </w:rPr>
              <w:t>($ in millions)</w:t>
            </w:r>
          </w:p>
        </w:tc>
        <w:tc>
          <w:tcPr>
            <w:tcW w:w="600" w:type="dxa"/>
            <w:vAlign w:val="bottom"/>
          </w:tcPr>
          <w:p>
            <w:pPr>
              <w:spacing w:after="0"/>
              <w:rPr>
                <w:sz w:val="14"/>
                <w:szCs w:val="14"/>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Foreign Currency</w:t>
            </w:r>
          </w:p>
        </w:tc>
        <w:tc>
          <w:tcPr>
            <w:tcW w:w="2180" w:type="dxa"/>
            <w:vAlign w:val="bottom"/>
            <w:gridSpan w:val="3"/>
          </w:tcPr>
          <w:p>
            <w:pPr>
              <w:ind w:left="440"/>
              <w:spacing w:after="0"/>
              <w:rPr>
                <w:sz w:val="20"/>
                <w:szCs w:val="20"/>
                <w:color w:val="auto"/>
              </w:rPr>
            </w:pPr>
            <w:r>
              <w:rPr>
                <w:rFonts w:ascii="Arial" w:cs="Arial" w:eastAsia="Arial" w:hAnsi="Arial"/>
                <w:sz w:val="14"/>
                <w:szCs w:val="14"/>
                <w:b w:val="1"/>
                <w:bCs w:val="1"/>
                <w:color w:val="auto"/>
              </w:rPr>
              <w:t>Derivative Instrument and</w:t>
            </w:r>
          </w:p>
        </w:tc>
        <w:tc>
          <w:tcPr>
            <w:tcW w:w="580" w:type="dxa"/>
            <w:vAlign w:val="bottom"/>
          </w:tcPr>
          <w:p>
            <w:pPr>
              <w:spacing w:after="0"/>
              <w:rPr>
                <w:sz w:val="14"/>
                <w:szCs w:val="14"/>
                <w:color w:val="auto"/>
              </w:rPr>
            </w:pPr>
          </w:p>
        </w:tc>
        <w:tc>
          <w:tcPr>
            <w:tcW w:w="1600" w:type="dxa"/>
            <w:vAlign w:val="bottom"/>
          </w:tcPr>
          <w:p>
            <w:pPr>
              <w:jc w:val="right"/>
              <w:ind w:right="230"/>
              <w:spacing w:after="0"/>
              <w:rPr>
                <w:sz w:val="20"/>
                <w:szCs w:val="20"/>
                <w:color w:val="auto"/>
              </w:rPr>
            </w:pPr>
            <w:r>
              <w:rPr>
                <w:rFonts w:ascii="Arial" w:cs="Arial" w:eastAsia="Arial" w:hAnsi="Arial"/>
                <w:sz w:val="14"/>
                <w:szCs w:val="14"/>
                <w:b w:val="1"/>
                <w:bCs w:val="1"/>
                <w:color w:val="auto"/>
                <w:w w:val="99"/>
              </w:rPr>
              <w:t>Accumulated Other</w:t>
            </w:r>
          </w:p>
        </w:tc>
        <w:tc>
          <w:tcPr>
            <w:tcW w:w="0" w:type="dxa"/>
            <w:vAlign w:val="bottom"/>
          </w:tcPr>
          <w:p>
            <w:pPr>
              <w:spacing w:after="0"/>
              <w:rPr>
                <w:sz w:val="1"/>
                <w:szCs w:val="1"/>
                <w:color w:val="auto"/>
              </w:rPr>
            </w:pPr>
          </w:p>
        </w:tc>
      </w:tr>
      <w:tr>
        <w:trPr>
          <w:trHeight w:val="184"/>
        </w:trPr>
        <w:tc>
          <w:tcPr>
            <w:tcW w:w="4360" w:type="dxa"/>
            <w:vAlign w:val="bottom"/>
            <w:vMerge w:val="continue"/>
          </w:tcPr>
          <w:p>
            <w:pPr>
              <w:spacing w:after="0"/>
              <w:rPr>
                <w:sz w:val="15"/>
                <w:szCs w:val="15"/>
                <w:color w:val="auto"/>
              </w:rPr>
            </w:pPr>
          </w:p>
        </w:tc>
        <w:tc>
          <w:tcPr>
            <w:tcW w:w="2200" w:type="dxa"/>
            <w:vAlign w:val="bottom"/>
            <w:gridSpan w:val="3"/>
          </w:tcPr>
          <w:p>
            <w:pPr>
              <w:ind w:left="320"/>
              <w:spacing w:after="0"/>
              <w:rPr>
                <w:sz w:val="20"/>
                <w:szCs w:val="20"/>
                <w:color w:val="auto"/>
              </w:rPr>
            </w:pPr>
            <w:r>
              <w:rPr>
                <w:rFonts w:ascii="Arial" w:cs="Arial" w:eastAsia="Arial" w:hAnsi="Arial"/>
                <w:sz w:val="14"/>
                <w:szCs w:val="14"/>
                <w:b w:val="1"/>
                <w:bCs w:val="1"/>
                <w:color w:val="auto"/>
              </w:rPr>
              <w:t>Translation Adjustments</w:t>
            </w:r>
          </w:p>
        </w:tc>
        <w:tc>
          <w:tcPr>
            <w:tcW w:w="1720" w:type="dxa"/>
            <w:vAlign w:val="bottom"/>
          </w:tcPr>
          <w:p>
            <w:pPr>
              <w:jc w:val="right"/>
              <w:ind w:right="30"/>
              <w:spacing w:after="0"/>
              <w:rPr>
                <w:sz w:val="20"/>
                <w:szCs w:val="20"/>
                <w:color w:val="auto"/>
              </w:rPr>
            </w:pPr>
            <w:r>
              <w:rPr>
                <w:rFonts w:ascii="Arial" w:cs="Arial" w:eastAsia="Arial" w:hAnsi="Arial"/>
                <w:sz w:val="14"/>
                <w:szCs w:val="14"/>
                <w:b w:val="1"/>
                <w:bCs w:val="1"/>
                <w:color w:val="auto"/>
              </w:rPr>
              <w:t>Other Adjustments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78"/>
        </w:trPr>
        <w:tc>
          <w:tcPr>
            <w:tcW w:w="436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Balance at year-end 2017</w:t>
            </w:r>
          </w:p>
        </w:tc>
        <w:tc>
          <w:tcPr>
            <w:tcW w:w="6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jc w:val="right"/>
              <w:ind w:right="1170"/>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4"/>
        </w:trPr>
        <w:tc>
          <w:tcPr>
            <w:tcW w:w="4360" w:type="dxa"/>
            <w:vAlign w:val="bottom"/>
          </w:tcPr>
          <w:p>
            <w:pPr>
              <w:ind w:left="600"/>
              <w:spacing w:after="0" w:line="184" w:lineRule="exact"/>
              <w:rPr>
                <w:sz w:val="20"/>
                <w:szCs w:val="20"/>
                <w:color w:val="auto"/>
              </w:rPr>
            </w:pPr>
            <w:r>
              <w:rPr>
                <w:rFonts w:ascii="Arial" w:cs="Arial" w:eastAsia="Arial" w:hAnsi="Arial"/>
                <w:sz w:val="14"/>
                <w:szCs w:val="14"/>
                <w:color w:val="auto"/>
                <w:w w:val="96"/>
              </w:rPr>
              <w:t xml:space="preserve">Other comprehensive (loss) income before reclassifications </w:t>
            </w:r>
            <w:r>
              <w:rPr>
                <w:rFonts w:ascii="Arial" w:cs="Arial" w:eastAsia="Arial" w:hAnsi="Arial"/>
                <w:sz w:val="18"/>
                <w:szCs w:val="18"/>
                <w:color w:val="auto"/>
                <w:w w:val="96"/>
                <w:vertAlign w:val="superscript"/>
              </w:rPr>
              <w:t>(1)</w:t>
            </w:r>
          </w:p>
        </w:tc>
        <w:tc>
          <w:tcPr>
            <w:tcW w:w="6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(391)</w:t>
            </w: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184"/>
        </w:trPr>
        <w:tc>
          <w:tcPr>
            <w:tcW w:w="43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Reclassification adjustments</w:t>
            </w:r>
          </w:p>
        </w:tc>
        <w:tc>
          <w:tcPr>
            <w:tcW w:w="60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75"/>
        </w:trPr>
        <w:tc>
          <w:tcPr>
            <w:tcW w:w="4360" w:type="dxa"/>
            <w:vAlign w:val="bottom"/>
          </w:tcPr>
          <w:p>
            <w:pPr>
              <w:ind w:left="420"/>
              <w:spacing w:after="0"/>
              <w:rPr>
                <w:sz w:val="20"/>
                <w:szCs w:val="20"/>
                <w:color w:val="auto"/>
              </w:rPr>
            </w:pPr>
            <w:r>
              <w:rPr>
                <w:rFonts w:ascii="Arial" w:cs="Arial" w:eastAsia="Arial" w:hAnsi="Arial"/>
                <w:sz w:val="14"/>
                <w:szCs w:val="14"/>
                <w:color w:val="auto"/>
              </w:rPr>
              <w:t>Net other comprehensive (loss) income</w:t>
            </w:r>
          </w:p>
        </w:tc>
        <w:tc>
          <w:tcPr>
            <w:tcW w:w="6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87"/>
        </w:trPr>
        <w:tc>
          <w:tcPr>
            <w:tcW w:w="43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Adoption of ASU 2016-01</w:t>
            </w:r>
          </w:p>
        </w:tc>
        <w:tc>
          <w:tcPr>
            <w:tcW w:w="6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5"/>
        </w:trPr>
        <w:tc>
          <w:tcPr>
            <w:tcW w:w="4360" w:type="dxa"/>
            <w:vAlign w:val="bottom"/>
          </w:tcPr>
          <w:p>
            <w:pPr>
              <w:ind w:left="420"/>
              <w:spacing w:after="0"/>
              <w:rPr>
                <w:sz w:val="20"/>
                <w:szCs w:val="20"/>
                <w:color w:val="auto"/>
              </w:rPr>
            </w:pPr>
            <w:r>
              <w:rPr>
                <w:rFonts w:ascii="Arial" w:cs="Arial" w:eastAsia="Arial" w:hAnsi="Arial"/>
                <w:sz w:val="14"/>
                <w:szCs w:val="14"/>
                <w:color w:val="auto"/>
              </w:rPr>
              <w:t>Balance at year-end 2018</w:t>
            </w: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15"/>
                <w:szCs w:val="15"/>
                <w:color w:val="auto"/>
              </w:rPr>
            </w:pPr>
          </w:p>
        </w:tc>
        <w:tc>
          <w:tcPr>
            <w:tcW w:w="1720" w:type="dxa"/>
            <w:vAlign w:val="bottom"/>
            <w:tcBorders>
              <w:top w:val="single" w:sz="8" w:color="auto"/>
            </w:tcBorders>
          </w:tcPr>
          <w:p>
            <w:pPr>
              <w:jc w:val="right"/>
              <w:ind w:right="1170"/>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187"/>
        </w:trPr>
        <w:tc>
          <w:tcPr>
            <w:tcW w:w="4360" w:type="dxa"/>
            <w:vAlign w:val="bottom"/>
            <w:shd w:val="clear" w:color="auto" w:fill="CCEEFF"/>
          </w:tcPr>
          <w:p>
            <w:pPr>
              <w:ind w:left="600"/>
              <w:spacing w:after="0" w:line="187" w:lineRule="exact"/>
              <w:rPr>
                <w:sz w:val="20"/>
                <w:szCs w:val="20"/>
                <w:color w:val="auto"/>
              </w:rPr>
            </w:pPr>
            <w:r>
              <w:rPr>
                <w:rFonts w:ascii="Arial" w:cs="Arial" w:eastAsia="Arial" w:hAnsi="Arial"/>
                <w:sz w:val="14"/>
                <w:szCs w:val="14"/>
                <w:color w:val="auto"/>
              </w:rPr>
              <w:t xml:space="preserve">Other comprehensive income before reclassifications </w:t>
            </w:r>
            <w:r>
              <w:rPr>
                <w:rFonts w:ascii="Arial" w:cs="Arial" w:eastAsia="Arial" w:hAnsi="Arial"/>
                <w:sz w:val="18"/>
                <w:szCs w:val="18"/>
                <w:color w:val="auto"/>
                <w:vertAlign w:val="superscript"/>
              </w:rPr>
              <w:t>(1)</w:t>
            </w:r>
          </w:p>
        </w:tc>
        <w:tc>
          <w:tcPr>
            <w:tcW w:w="6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2"/>
        </w:trPr>
        <w:tc>
          <w:tcPr>
            <w:tcW w:w="4360" w:type="dxa"/>
            <w:vAlign w:val="bottom"/>
          </w:tcPr>
          <w:p>
            <w:pPr>
              <w:ind w:left="600"/>
              <w:spacing w:after="0"/>
              <w:rPr>
                <w:sz w:val="20"/>
                <w:szCs w:val="20"/>
                <w:color w:val="auto"/>
              </w:rPr>
            </w:pPr>
            <w:r>
              <w:rPr>
                <w:rFonts w:ascii="Arial" w:cs="Arial" w:eastAsia="Arial" w:hAnsi="Arial"/>
                <w:sz w:val="14"/>
                <w:szCs w:val="14"/>
                <w:color w:val="auto"/>
              </w:rPr>
              <w:t>Reclassification adjustments</w:t>
            </w:r>
          </w:p>
        </w:tc>
        <w:tc>
          <w:tcPr>
            <w:tcW w:w="600" w:type="dxa"/>
            <w:vAlign w:val="bottom"/>
          </w:tcPr>
          <w:p>
            <w:pPr>
              <w:spacing w:after="0"/>
              <w:rPr>
                <w:sz w:val="15"/>
                <w:szCs w:val="15"/>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7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0"/>
        </w:trPr>
        <w:tc>
          <w:tcPr>
            <w:tcW w:w="436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Net other comprehensive income (loss)</w:t>
            </w:r>
          </w:p>
        </w:tc>
        <w:tc>
          <w:tcPr>
            <w:tcW w:w="600" w:type="dxa"/>
            <w:vAlign w:val="bottom"/>
            <w:tcBorders>
              <w:top w:val="single" w:sz="8" w:color="auto"/>
              <w:bottom w:val="single" w:sz="8" w:color="auto"/>
            </w:tcBorders>
            <w:shd w:val="clear" w:color="auto" w:fill="CCEEFF"/>
          </w:tcPr>
          <w:p>
            <w:pPr>
              <w:spacing w:after="0"/>
              <w:rPr>
                <w:sz w:val="15"/>
                <w:szCs w:val="15"/>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bottom w:val="single" w:sz="8" w:color="auto"/>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spacing w:after="0"/>
              <w:rPr>
                <w:sz w:val="15"/>
                <w:szCs w:val="15"/>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75"/>
        </w:trPr>
        <w:tc>
          <w:tcPr>
            <w:tcW w:w="4360" w:type="dxa"/>
            <w:vAlign w:val="bottom"/>
          </w:tcPr>
          <w:p>
            <w:pPr>
              <w:ind w:left="420"/>
              <w:spacing w:after="0"/>
              <w:rPr>
                <w:sz w:val="20"/>
                <w:szCs w:val="20"/>
                <w:color w:val="auto"/>
              </w:rPr>
            </w:pPr>
            <w:r>
              <w:rPr>
                <w:rFonts w:ascii="Arial" w:cs="Arial" w:eastAsia="Arial" w:hAnsi="Arial"/>
                <w:sz w:val="14"/>
                <w:szCs w:val="14"/>
                <w:color w:val="auto"/>
              </w:rPr>
              <w:t>Balance at year-end 2019</w:t>
            </w: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15"/>
                <w:szCs w:val="15"/>
                <w:color w:val="auto"/>
              </w:rPr>
            </w:pPr>
          </w:p>
        </w:tc>
        <w:tc>
          <w:tcPr>
            <w:tcW w:w="1720" w:type="dxa"/>
            <w:vAlign w:val="bottom"/>
          </w:tcPr>
          <w:p>
            <w:pPr>
              <w:jc w:val="right"/>
              <w:ind w:right="1170"/>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187"/>
        </w:trPr>
        <w:tc>
          <w:tcPr>
            <w:tcW w:w="4360" w:type="dxa"/>
            <w:vAlign w:val="bottom"/>
            <w:shd w:val="clear" w:color="auto" w:fill="CCEEFF"/>
          </w:tcPr>
          <w:p>
            <w:pPr>
              <w:ind w:left="600"/>
              <w:spacing w:after="0" w:line="187" w:lineRule="exact"/>
              <w:rPr>
                <w:sz w:val="20"/>
                <w:szCs w:val="20"/>
                <w:color w:val="auto"/>
              </w:rPr>
            </w:pPr>
            <w:r>
              <w:rPr>
                <w:rFonts w:ascii="Arial" w:cs="Arial" w:eastAsia="Arial" w:hAnsi="Arial"/>
                <w:sz w:val="14"/>
                <w:szCs w:val="14"/>
                <w:color w:val="auto"/>
              </w:rPr>
              <w:t xml:space="preserve">Other comprehensive income before reclassifications </w:t>
            </w:r>
            <w:r>
              <w:rPr>
                <w:rFonts w:ascii="Arial" w:cs="Arial" w:eastAsia="Arial" w:hAnsi="Arial"/>
                <w:sz w:val="18"/>
                <w:szCs w:val="18"/>
                <w:color w:val="auto"/>
                <w:vertAlign w:val="superscript"/>
              </w:rPr>
              <w:t>(1)</w:t>
            </w:r>
          </w:p>
        </w:tc>
        <w:tc>
          <w:tcPr>
            <w:tcW w:w="6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82"/>
        </w:trPr>
        <w:tc>
          <w:tcPr>
            <w:tcW w:w="4360" w:type="dxa"/>
            <w:vAlign w:val="bottom"/>
          </w:tcPr>
          <w:p>
            <w:pPr>
              <w:ind w:left="600"/>
              <w:spacing w:after="0"/>
              <w:rPr>
                <w:sz w:val="20"/>
                <w:szCs w:val="20"/>
                <w:color w:val="auto"/>
              </w:rPr>
            </w:pPr>
            <w:r>
              <w:rPr>
                <w:rFonts w:ascii="Arial" w:cs="Arial" w:eastAsia="Arial" w:hAnsi="Arial"/>
                <w:sz w:val="14"/>
                <w:szCs w:val="14"/>
                <w:color w:val="auto"/>
              </w:rPr>
              <w:t>Reclassification adjustments</w:t>
            </w:r>
          </w:p>
        </w:tc>
        <w:tc>
          <w:tcPr>
            <w:tcW w:w="600" w:type="dxa"/>
            <w:vAlign w:val="bottom"/>
          </w:tcPr>
          <w:p>
            <w:pPr>
              <w:spacing w:after="0"/>
              <w:rPr>
                <w:sz w:val="15"/>
                <w:szCs w:val="15"/>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7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7"/>
        </w:trPr>
        <w:tc>
          <w:tcPr>
            <w:tcW w:w="436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Net other comprehensive income (loss)</w:t>
            </w:r>
          </w:p>
        </w:tc>
        <w:tc>
          <w:tcPr>
            <w:tcW w:w="600" w:type="dxa"/>
            <w:vAlign w:val="bottom"/>
            <w:tcBorders>
              <w:top w:val="single" w:sz="8" w:color="auto"/>
              <w:bottom w:val="single" w:sz="8" w:color="auto"/>
            </w:tcBorders>
            <w:shd w:val="clear" w:color="auto" w:fill="CCEEFF"/>
          </w:tcPr>
          <w:p>
            <w:pPr>
              <w:spacing w:after="0"/>
              <w:rPr>
                <w:sz w:val="15"/>
                <w:szCs w:val="15"/>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bottom w:val="single" w:sz="8" w:color="auto"/>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spacing w:after="0"/>
              <w:rPr>
                <w:sz w:val="15"/>
                <w:szCs w:val="15"/>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80"/>
        </w:trPr>
        <w:tc>
          <w:tcPr>
            <w:tcW w:w="4360" w:type="dxa"/>
            <w:vAlign w:val="bottom"/>
          </w:tcPr>
          <w:p>
            <w:pPr>
              <w:ind w:left="420"/>
              <w:spacing w:after="0"/>
              <w:rPr>
                <w:sz w:val="20"/>
                <w:szCs w:val="20"/>
                <w:color w:val="auto"/>
              </w:rPr>
            </w:pPr>
            <w:r>
              <w:rPr>
                <w:rFonts w:ascii="Arial" w:cs="Arial" w:eastAsia="Arial" w:hAnsi="Arial"/>
                <w:sz w:val="14"/>
                <w:szCs w:val="14"/>
                <w:color w:val="auto"/>
              </w:rPr>
              <w:t>Balance at year-end 2020</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5"/>
                <w:szCs w:val="15"/>
                <w:color w:val="auto"/>
              </w:rPr>
            </w:pPr>
          </w:p>
        </w:tc>
        <w:tc>
          <w:tcPr>
            <w:tcW w:w="1720" w:type="dxa"/>
            <w:vAlign w:val="bottom"/>
            <w:tcBorders>
              <w:bottom w:val="single" w:sz="8" w:color="auto"/>
            </w:tcBorders>
          </w:tcPr>
          <w:p>
            <w:pPr>
              <w:jc w:val="right"/>
              <w:ind w:right="117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320" w:right="420" w:hanging="315"/>
        <w:spacing w:after="0" w:line="190" w:lineRule="auto"/>
        <w:tabs>
          <w:tab w:leader="none" w:pos="308" w:val="left"/>
        </w:tabs>
        <w:numPr>
          <w:ilvl w:val="0"/>
          <w:numId w:val="25"/>
        </w:numPr>
        <w:rPr>
          <w:rFonts w:ascii="Arial" w:cs="Arial" w:eastAsia="Arial" w:hAnsi="Arial"/>
          <w:sz w:val="23"/>
          <w:szCs w:val="23"/>
          <w:color w:val="auto"/>
          <w:vertAlign w:val="superscript"/>
        </w:rPr>
      </w:pPr>
      <w:r>
        <w:rPr>
          <w:rFonts w:ascii="Arial" w:cs="Arial" w:eastAsia="Arial" w:hAnsi="Arial"/>
          <w:sz w:val="14"/>
          <w:szCs w:val="14"/>
          <w:color w:val="auto"/>
        </w:rPr>
        <w:t>Other comprehensive (loss) income before reclassifications for foreign currency translation adjustments includes intra-entity foreign currency transactions that are of a long-term investment nature, which resulted in (losses) gains of $(44) million for 2020, $6 million for 2019, and $14 million for 2018.</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BUSINESS SEGMENTS</w:t>
      </w:r>
    </w:p>
    <w:p>
      <w:pPr>
        <w:spacing w:after="0" w:line="167" w:lineRule="exact"/>
        <w:rPr>
          <w:sz w:val="20"/>
          <w:szCs w:val="20"/>
          <w:color w:val="auto"/>
        </w:rPr>
      </w:pPr>
    </w:p>
    <w:p>
      <w:pPr>
        <w:ind w:right="100" w:firstLine="395"/>
        <w:spacing w:after="0" w:line="284" w:lineRule="auto"/>
        <w:rPr>
          <w:sz w:val="20"/>
          <w:szCs w:val="20"/>
          <w:color w:val="auto"/>
        </w:rPr>
      </w:pPr>
      <w:r>
        <w:rPr>
          <w:rFonts w:ascii="Arial" w:cs="Arial" w:eastAsia="Arial" w:hAnsi="Arial"/>
          <w:sz w:val="16"/>
          <w:szCs w:val="16"/>
          <w:color w:val="auto"/>
        </w:rPr>
        <w:t>We discuss our operations in the following three reportable business segments: United States and Canada (“U.S. &amp; Canada”); Asia Pacific; and Europe, Middle East and Africa (“EMEA”). Our Caribbean and Latin America (“CALA”) operating segment does not meet the applicable accounting criteria for separate disclosure as a reportable business segment, and we include its results in “Unallocated corporate and other.” In the 2020 fourth quarter, we changed the name of our largest segment from “North America” to “U.S. &amp; Canada.” Other than the name change, we made no other changes to the composition of this segment. In January 2021, we modified our reportable segment structure as a result of a change in the way management intends to evaluate results and allocate resources within the Company. Beginning with the 2021 first quarter, we will report the following two operating segments: U.S. &amp; Canada and International.</w:t>
      </w:r>
    </w:p>
    <w:p>
      <w:pPr>
        <w:spacing w:after="0" w:line="115" w:lineRule="exact"/>
        <w:rPr>
          <w:sz w:val="20"/>
          <w:szCs w:val="20"/>
          <w:color w:val="auto"/>
        </w:rPr>
      </w:pPr>
    </w:p>
    <w:p>
      <w:pPr>
        <w:ind w:right="120" w:firstLine="434"/>
        <w:spacing w:after="0" w:line="247" w:lineRule="auto"/>
        <w:rPr>
          <w:sz w:val="20"/>
          <w:szCs w:val="20"/>
          <w:color w:val="auto"/>
        </w:rPr>
      </w:pPr>
      <w:r>
        <w:rPr>
          <w:rFonts w:ascii="Arial" w:cs="Arial" w:eastAsia="Arial" w:hAnsi="Arial"/>
          <w:sz w:val="18"/>
          <w:szCs w:val="18"/>
          <w:color w:val="auto"/>
        </w:rPr>
        <w:t>We evaluate the performance of our operating segments using “segment profits/loss” which is based largely on the results of the segment without allocating corporate expenses, income taxes, indirect general, administrative, and other expenses, merger-related costs, or above-property restructuring charges. We assign gains and losses, equity in earnings or losses, direct general, administrative, and other expenses, and other restructuring charges to each of our segments. “Unallocated corporate and other” includes a portion of our revenues, including license fees we receive from our credit card programs, fees from vacation ownership licensing agreements, revenues and expenses for our Loyalty Program, general, administrative, and other expenses, restructuring and merger-related charges, equity in earnings or losses, and other gains or losses that we do not allocate to our segments as well as results of our CALA operating segment.</w:t>
      </w:r>
    </w:p>
    <w:p>
      <w:pPr>
        <w:spacing w:after="0" w:line="141" w:lineRule="exact"/>
        <w:rPr>
          <w:sz w:val="20"/>
          <w:szCs w:val="20"/>
          <w:color w:val="auto"/>
        </w:rPr>
      </w:pPr>
    </w:p>
    <w:p>
      <w:pPr>
        <w:ind w:right="780" w:firstLine="434"/>
        <w:spacing w:after="0" w:line="261" w:lineRule="auto"/>
        <w:rPr>
          <w:sz w:val="20"/>
          <w:szCs w:val="20"/>
          <w:color w:val="auto"/>
        </w:rPr>
      </w:pPr>
      <w:r>
        <w:rPr>
          <w:rFonts w:ascii="Arial" w:cs="Arial" w:eastAsia="Arial" w:hAnsi="Arial"/>
          <w:sz w:val="18"/>
          <w:szCs w:val="18"/>
          <w:color w:val="auto"/>
        </w:rPr>
        <w:t>Our chief operating decision maker monitors assets for the consolidated Company, but does not use assets by operating segment when assessing performance or making operating segment resource allocations.</w:t>
      </w:r>
    </w:p>
    <w:p>
      <w:pPr>
        <w:spacing w:after="0" w:line="200" w:lineRule="exact"/>
        <w:rPr>
          <w:sz w:val="20"/>
          <w:szCs w:val="20"/>
          <w:color w:val="auto"/>
        </w:rPr>
      </w:pPr>
    </w:p>
    <w:p>
      <w:pPr>
        <w:spacing w:after="0" w:line="31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20"/>
          </w:cols>
          <w:pgMar w:left="320" w:top="127" w:right="25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tables present our revenues disaggregated by segment and major revenue stream for the last three fiscal years:</w:t>
      </w:r>
    </w:p>
    <w:p>
      <w:pPr>
        <w:spacing w:after="0" w:line="125" w:lineRule="exact"/>
        <w:rPr>
          <w:sz w:val="20"/>
          <w:szCs w:val="20"/>
          <w:color w:val="auto"/>
        </w:rPr>
      </w:pPr>
    </w:p>
    <w:tbl>
      <w:tblPr>
        <w:tblLayout w:type="fixed"/>
        <w:tblInd w:w="800" w:type="dxa"/>
        <w:tblCellMar>
          <w:top w:w="0" w:type="dxa"/>
          <w:left w:w="0" w:type="dxa"/>
          <w:bottom w:w="0" w:type="dxa"/>
          <w:right w:w="0" w:type="dxa"/>
        </w:tblCellMar>
      </w:tblPr>
      <w:tr>
        <w:trPr>
          <w:trHeight w:val="187"/>
        </w:trPr>
        <w:tc>
          <w:tcPr>
            <w:tcW w:w="3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4"/>
        </w:trPr>
        <w:tc>
          <w:tcPr>
            <w:tcW w:w="378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60" w:type="dxa"/>
            <w:vAlign w:val="bottom"/>
          </w:tcPr>
          <w:p>
            <w:pPr>
              <w:spacing w:after="0"/>
              <w:rPr>
                <w:sz w:val="15"/>
                <w:szCs w:val="15"/>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U.S. &amp; Canada</w:t>
            </w:r>
          </w:p>
        </w:tc>
        <w:tc>
          <w:tcPr>
            <w:tcW w:w="20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Asia Pacific</w:t>
            </w:r>
          </w:p>
        </w:tc>
        <w:tc>
          <w:tcPr>
            <w:tcW w:w="300" w:type="dxa"/>
            <w:vAlign w:val="bottom"/>
          </w:tcPr>
          <w:p>
            <w:pPr>
              <w:spacing w:after="0"/>
              <w:rPr>
                <w:sz w:val="15"/>
                <w:szCs w:val="15"/>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EMEA</w:t>
            </w:r>
          </w:p>
        </w:tc>
        <w:tc>
          <w:tcPr>
            <w:tcW w:w="320" w:type="dxa"/>
            <w:vAlign w:val="bottom"/>
          </w:tcPr>
          <w:p>
            <w:pPr>
              <w:spacing w:after="0"/>
              <w:rPr>
                <w:sz w:val="15"/>
                <w:szCs w:val="15"/>
                <w:color w:val="auto"/>
              </w:rPr>
            </w:pPr>
          </w:p>
        </w:tc>
        <w:tc>
          <w:tcPr>
            <w:tcW w:w="1080" w:type="dxa"/>
            <w:vAlign w:val="bottom"/>
          </w:tcPr>
          <w:p>
            <w:pPr>
              <w:jc w:val="right"/>
              <w:ind w:right="470"/>
              <w:spacing w:after="0"/>
              <w:rPr>
                <w:sz w:val="20"/>
                <w:szCs w:val="20"/>
                <w:color w:val="auto"/>
              </w:rPr>
            </w:pPr>
            <w:r>
              <w:rPr>
                <w:rFonts w:ascii="Arial" w:cs="Arial" w:eastAsia="Arial" w:hAnsi="Arial"/>
                <w:sz w:val="14"/>
                <w:szCs w:val="14"/>
                <w:b w:val="1"/>
                <w:bCs w:val="1"/>
                <w:color w:val="auto"/>
              </w:rPr>
              <w:t>Total</w:t>
            </w:r>
          </w:p>
        </w:tc>
      </w:tr>
      <w:tr>
        <w:trPr>
          <w:trHeight w:val="178"/>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fee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914</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1,207</w:t>
            </w:r>
          </w:p>
        </w:tc>
      </w:tr>
      <w:tr>
        <w:trPr>
          <w:trHeight w:val="182"/>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Contract investment amortization</w:t>
            </w: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r>
      <w:tr>
        <w:trPr>
          <w:trHeight w:val="180"/>
        </w:trPr>
        <w:tc>
          <w:tcPr>
            <w:tcW w:w="3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fee revenues</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1,080</w:t>
            </w:r>
          </w:p>
        </w:tc>
      </w:tr>
      <w:tr>
        <w:trPr>
          <w:trHeight w:val="182"/>
        </w:trPr>
        <w:tc>
          <w:tcPr>
            <w:tcW w:w="3780" w:type="dxa"/>
            <w:vAlign w:val="bottom"/>
          </w:tcPr>
          <w:p>
            <w:pPr>
              <w:ind w:left="20"/>
              <w:spacing w:after="0"/>
              <w:rPr>
                <w:sz w:val="20"/>
                <w:szCs w:val="20"/>
                <w:color w:val="auto"/>
              </w:rPr>
            </w:pPr>
            <w:r>
              <w:rPr>
                <w:rFonts w:ascii="Arial" w:cs="Arial" w:eastAsia="Arial" w:hAnsi="Arial"/>
                <w:sz w:val="14"/>
                <w:szCs w:val="14"/>
                <w:color w:val="auto"/>
              </w:rPr>
              <w:t>Owned, leased, and other revenue</w:t>
            </w: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440</w:t>
            </w:r>
          </w:p>
        </w:tc>
      </w:tr>
      <w:tr>
        <w:trPr>
          <w:trHeight w:val="187"/>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reimbursement revenue</w:t>
            </w:r>
          </w:p>
        </w:tc>
        <w:tc>
          <w:tcPr>
            <w:tcW w:w="1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6,901</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7,755</w:t>
            </w:r>
          </w:p>
        </w:tc>
      </w:tr>
      <w:tr>
        <w:trPr>
          <w:trHeight w:val="175"/>
        </w:trPr>
        <w:tc>
          <w:tcPr>
            <w:tcW w:w="3780" w:type="dxa"/>
            <w:vAlign w:val="bottom"/>
          </w:tcPr>
          <w:p>
            <w:pPr>
              <w:ind w:left="20"/>
              <w:spacing w:after="0"/>
              <w:rPr>
                <w:sz w:val="20"/>
                <w:szCs w:val="20"/>
                <w:color w:val="auto"/>
              </w:rPr>
            </w:pPr>
            <w:r>
              <w:rPr>
                <w:rFonts w:ascii="Arial" w:cs="Arial" w:eastAsia="Arial" w:hAnsi="Arial"/>
                <w:sz w:val="14"/>
                <w:szCs w:val="14"/>
                <w:color w:val="auto"/>
              </w:rPr>
              <w:t>Total reportable segment 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7,905</w:t>
            </w:r>
          </w:p>
        </w:tc>
        <w:tc>
          <w:tcPr>
            <w:tcW w:w="12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612</w:t>
            </w:r>
          </w:p>
        </w:tc>
        <w:tc>
          <w:tcPr>
            <w:tcW w:w="100" w:type="dxa"/>
            <w:vAlign w:val="bottom"/>
          </w:tcPr>
          <w:p>
            <w:pPr>
              <w:spacing w:after="0"/>
              <w:rPr>
                <w:sz w:val="15"/>
                <w:szCs w:val="15"/>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758</w:t>
            </w:r>
          </w:p>
        </w:tc>
        <w:tc>
          <w:tcPr>
            <w:tcW w:w="100" w:type="dxa"/>
            <w:vAlign w:val="bottom"/>
          </w:tcPr>
          <w:p>
            <w:pPr>
              <w:spacing w:after="0"/>
              <w:rPr>
                <w:sz w:val="15"/>
                <w:szCs w:val="15"/>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9,275</w:t>
            </w:r>
          </w:p>
        </w:tc>
      </w:tr>
      <w:tr>
        <w:trPr>
          <w:trHeight w:val="184"/>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Unallocated corporate and other</w:t>
            </w: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1,296</w:t>
            </w:r>
          </w:p>
        </w:tc>
      </w:tr>
      <w:tr>
        <w:trPr>
          <w:trHeight w:val="180"/>
        </w:trPr>
        <w:tc>
          <w:tcPr>
            <w:tcW w:w="378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10,571</w:t>
            </w:r>
          </w:p>
        </w:tc>
      </w:tr>
      <w:tr>
        <w:trPr>
          <w:trHeight w:val="20"/>
        </w:trPr>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tbl>
      <w:tblPr>
        <w:tblLayout w:type="fixed"/>
        <w:tblInd w:w="800" w:type="dxa"/>
        <w:tblCellMar>
          <w:top w:w="0" w:type="dxa"/>
          <w:left w:w="0" w:type="dxa"/>
          <w:bottom w:w="0" w:type="dxa"/>
          <w:right w:w="0" w:type="dxa"/>
        </w:tblCellMar>
      </w:tblPr>
      <w:tr>
        <w:trPr>
          <w:trHeight w:val="187"/>
        </w:trPr>
        <w:tc>
          <w:tcPr>
            <w:tcW w:w="3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4"/>
        </w:trPr>
        <w:tc>
          <w:tcPr>
            <w:tcW w:w="378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60" w:type="dxa"/>
            <w:vAlign w:val="bottom"/>
          </w:tcPr>
          <w:p>
            <w:pPr>
              <w:spacing w:after="0"/>
              <w:rPr>
                <w:sz w:val="15"/>
                <w:szCs w:val="15"/>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U.S. &amp; Canada</w:t>
            </w:r>
          </w:p>
        </w:tc>
        <w:tc>
          <w:tcPr>
            <w:tcW w:w="20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Asia Pacific</w:t>
            </w:r>
          </w:p>
        </w:tc>
        <w:tc>
          <w:tcPr>
            <w:tcW w:w="300" w:type="dxa"/>
            <w:vAlign w:val="bottom"/>
          </w:tcPr>
          <w:p>
            <w:pPr>
              <w:spacing w:after="0"/>
              <w:rPr>
                <w:sz w:val="15"/>
                <w:szCs w:val="15"/>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EMEA</w:t>
            </w:r>
          </w:p>
        </w:tc>
        <w:tc>
          <w:tcPr>
            <w:tcW w:w="320" w:type="dxa"/>
            <w:vAlign w:val="bottom"/>
          </w:tcPr>
          <w:p>
            <w:pPr>
              <w:spacing w:after="0"/>
              <w:rPr>
                <w:sz w:val="15"/>
                <w:szCs w:val="15"/>
                <w:color w:val="auto"/>
              </w:rPr>
            </w:pPr>
          </w:p>
        </w:tc>
        <w:tc>
          <w:tcPr>
            <w:tcW w:w="1080" w:type="dxa"/>
            <w:vAlign w:val="bottom"/>
          </w:tcPr>
          <w:p>
            <w:pPr>
              <w:jc w:val="right"/>
              <w:ind w:right="470"/>
              <w:spacing w:after="0"/>
              <w:rPr>
                <w:sz w:val="20"/>
                <w:szCs w:val="20"/>
                <w:color w:val="auto"/>
              </w:rPr>
            </w:pPr>
            <w:r>
              <w:rPr>
                <w:rFonts w:ascii="Arial" w:cs="Arial" w:eastAsia="Arial" w:hAnsi="Arial"/>
                <w:sz w:val="14"/>
                <w:szCs w:val="14"/>
                <w:b w:val="1"/>
                <w:bCs w:val="1"/>
                <w:color w:val="auto"/>
              </w:rPr>
              <w:t>Total</w:t>
            </w:r>
          </w:p>
        </w:tc>
      </w:tr>
      <w:tr>
        <w:trPr>
          <w:trHeight w:val="178"/>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fee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2,265</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3,160</w:t>
            </w:r>
          </w:p>
        </w:tc>
      </w:tr>
      <w:tr>
        <w:trPr>
          <w:trHeight w:val="182"/>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Contract investment amortization</w:t>
            </w: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r>
      <w:tr>
        <w:trPr>
          <w:trHeight w:val="180"/>
        </w:trPr>
        <w:tc>
          <w:tcPr>
            <w:tcW w:w="3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fee revenues</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2,217</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3,102</w:t>
            </w:r>
          </w:p>
        </w:tc>
      </w:tr>
      <w:tr>
        <w:trPr>
          <w:trHeight w:val="182"/>
        </w:trPr>
        <w:tc>
          <w:tcPr>
            <w:tcW w:w="3780" w:type="dxa"/>
            <w:vAlign w:val="bottom"/>
          </w:tcPr>
          <w:p>
            <w:pPr>
              <w:ind w:left="20"/>
              <w:spacing w:after="0"/>
              <w:rPr>
                <w:sz w:val="20"/>
                <w:szCs w:val="20"/>
                <w:color w:val="auto"/>
              </w:rPr>
            </w:pPr>
            <w:r>
              <w:rPr>
                <w:rFonts w:ascii="Arial" w:cs="Arial" w:eastAsia="Arial" w:hAnsi="Arial"/>
                <w:sz w:val="14"/>
                <w:szCs w:val="14"/>
                <w:color w:val="auto"/>
              </w:rPr>
              <w:t>Owned, leased, and other revenue</w:t>
            </w: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715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1,446</w:t>
            </w:r>
          </w:p>
        </w:tc>
      </w:tr>
      <w:tr>
        <w:trPr>
          <w:trHeight w:val="187"/>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reimbursement revenue</w:t>
            </w:r>
          </w:p>
        </w:tc>
        <w:tc>
          <w:tcPr>
            <w:tcW w:w="1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13,901</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536</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969</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15,406</w:t>
            </w:r>
          </w:p>
        </w:tc>
      </w:tr>
      <w:tr>
        <w:trPr>
          <w:trHeight w:val="175"/>
        </w:trPr>
        <w:tc>
          <w:tcPr>
            <w:tcW w:w="3780" w:type="dxa"/>
            <w:vAlign w:val="bottom"/>
          </w:tcPr>
          <w:p>
            <w:pPr>
              <w:ind w:left="20"/>
              <w:spacing w:after="0"/>
              <w:rPr>
                <w:sz w:val="20"/>
                <w:szCs w:val="20"/>
                <w:color w:val="auto"/>
              </w:rPr>
            </w:pPr>
            <w:r>
              <w:rPr>
                <w:rFonts w:ascii="Arial" w:cs="Arial" w:eastAsia="Arial" w:hAnsi="Arial"/>
                <w:sz w:val="14"/>
                <w:szCs w:val="14"/>
                <w:color w:val="auto"/>
              </w:rPr>
              <w:t>Total reportable segment 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16,833</w:t>
            </w:r>
          </w:p>
        </w:tc>
        <w:tc>
          <w:tcPr>
            <w:tcW w:w="12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1,189</w:t>
            </w:r>
          </w:p>
        </w:tc>
        <w:tc>
          <w:tcPr>
            <w:tcW w:w="100" w:type="dxa"/>
            <w:vAlign w:val="bottom"/>
          </w:tcPr>
          <w:p>
            <w:pPr>
              <w:spacing w:after="0"/>
              <w:rPr>
                <w:sz w:val="15"/>
                <w:szCs w:val="15"/>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1,932</w:t>
            </w:r>
          </w:p>
        </w:tc>
        <w:tc>
          <w:tcPr>
            <w:tcW w:w="100" w:type="dxa"/>
            <w:vAlign w:val="bottom"/>
          </w:tcPr>
          <w:p>
            <w:pPr>
              <w:spacing w:after="0"/>
              <w:rPr>
                <w:sz w:val="15"/>
                <w:szCs w:val="15"/>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19,954</w:t>
            </w:r>
          </w:p>
        </w:tc>
      </w:tr>
      <w:tr>
        <w:trPr>
          <w:trHeight w:val="184"/>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Unallocated corporate and other</w:t>
            </w: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1,018</w:t>
            </w:r>
          </w:p>
        </w:tc>
      </w:tr>
      <w:tr>
        <w:trPr>
          <w:trHeight w:val="180"/>
        </w:trPr>
        <w:tc>
          <w:tcPr>
            <w:tcW w:w="378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20,972</w:t>
            </w:r>
          </w:p>
        </w:tc>
      </w:tr>
      <w:tr>
        <w:trPr>
          <w:trHeight w:val="20"/>
        </w:trPr>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tbl>
      <w:tblPr>
        <w:tblLayout w:type="fixed"/>
        <w:tblInd w:w="800" w:type="dxa"/>
        <w:tblCellMar>
          <w:top w:w="0" w:type="dxa"/>
          <w:left w:w="0" w:type="dxa"/>
          <w:bottom w:w="0" w:type="dxa"/>
          <w:right w:w="0" w:type="dxa"/>
        </w:tblCellMar>
      </w:tblPr>
      <w:tr>
        <w:trPr>
          <w:trHeight w:val="187"/>
        </w:trPr>
        <w:tc>
          <w:tcPr>
            <w:tcW w:w="3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2018</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4"/>
        </w:trPr>
        <w:tc>
          <w:tcPr>
            <w:tcW w:w="378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60" w:type="dxa"/>
            <w:vAlign w:val="bottom"/>
          </w:tcPr>
          <w:p>
            <w:pPr>
              <w:spacing w:after="0"/>
              <w:rPr>
                <w:sz w:val="15"/>
                <w:szCs w:val="15"/>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U.S. &amp; Canada</w:t>
            </w:r>
          </w:p>
        </w:tc>
        <w:tc>
          <w:tcPr>
            <w:tcW w:w="20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Asia Pacific</w:t>
            </w:r>
          </w:p>
        </w:tc>
        <w:tc>
          <w:tcPr>
            <w:tcW w:w="300" w:type="dxa"/>
            <w:vAlign w:val="bottom"/>
          </w:tcPr>
          <w:p>
            <w:pPr>
              <w:spacing w:after="0"/>
              <w:rPr>
                <w:sz w:val="15"/>
                <w:szCs w:val="15"/>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EMEA</w:t>
            </w:r>
          </w:p>
        </w:tc>
        <w:tc>
          <w:tcPr>
            <w:tcW w:w="320" w:type="dxa"/>
            <w:vAlign w:val="bottom"/>
          </w:tcPr>
          <w:p>
            <w:pPr>
              <w:spacing w:after="0"/>
              <w:rPr>
                <w:sz w:val="15"/>
                <w:szCs w:val="15"/>
                <w:color w:val="auto"/>
              </w:rPr>
            </w:pPr>
          </w:p>
        </w:tc>
        <w:tc>
          <w:tcPr>
            <w:tcW w:w="1080" w:type="dxa"/>
            <w:vAlign w:val="bottom"/>
          </w:tcPr>
          <w:p>
            <w:pPr>
              <w:jc w:val="right"/>
              <w:ind w:right="470"/>
              <w:spacing w:after="0"/>
              <w:rPr>
                <w:sz w:val="20"/>
                <w:szCs w:val="20"/>
                <w:color w:val="auto"/>
              </w:rPr>
            </w:pPr>
            <w:r>
              <w:rPr>
                <w:rFonts w:ascii="Arial" w:cs="Arial" w:eastAsia="Arial" w:hAnsi="Arial"/>
                <w:sz w:val="14"/>
                <w:szCs w:val="14"/>
                <w:b w:val="1"/>
                <w:bCs w:val="1"/>
                <w:color w:val="auto"/>
              </w:rPr>
              <w:t>Total</w:t>
            </w:r>
          </w:p>
        </w:tc>
      </w:tr>
      <w:tr>
        <w:trPr>
          <w:trHeight w:val="178"/>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fee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2,158</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3,024</w:t>
            </w:r>
          </w:p>
        </w:tc>
      </w:tr>
      <w:tr>
        <w:trPr>
          <w:trHeight w:val="182"/>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Contract investment amortization</w:t>
            </w: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r>
      <w:tr>
        <w:trPr>
          <w:trHeight w:val="180"/>
        </w:trPr>
        <w:tc>
          <w:tcPr>
            <w:tcW w:w="3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fee revenues</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2,970</w:t>
            </w:r>
          </w:p>
        </w:tc>
      </w:tr>
      <w:tr>
        <w:trPr>
          <w:trHeight w:val="182"/>
        </w:trPr>
        <w:tc>
          <w:tcPr>
            <w:tcW w:w="3780" w:type="dxa"/>
            <w:vAlign w:val="bottom"/>
          </w:tcPr>
          <w:p>
            <w:pPr>
              <w:ind w:left="20"/>
              <w:spacing w:after="0"/>
              <w:rPr>
                <w:sz w:val="20"/>
                <w:szCs w:val="20"/>
                <w:color w:val="auto"/>
              </w:rPr>
            </w:pPr>
            <w:r>
              <w:rPr>
                <w:rFonts w:ascii="Arial" w:cs="Arial" w:eastAsia="Arial" w:hAnsi="Arial"/>
                <w:sz w:val="14"/>
                <w:szCs w:val="14"/>
                <w:color w:val="auto"/>
              </w:rPr>
              <w:t>Owned, leased, and other revenue</w:t>
            </w: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721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563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1,466</w:t>
            </w:r>
          </w:p>
        </w:tc>
      </w:tr>
      <w:tr>
        <w:trPr>
          <w:trHeight w:val="187"/>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reimbursement revenue</w:t>
            </w:r>
          </w:p>
        </w:tc>
        <w:tc>
          <w:tcPr>
            <w:tcW w:w="1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13,455</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926</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14,840</w:t>
            </w:r>
          </w:p>
        </w:tc>
      </w:tr>
      <w:tr>
        <w:trPr>
          <w:trHeight w:val="175"/>
        </w:trPr>
        <w:tc>
          <w:tcPr>
            <w:tcW w:w="3780" w:type="dxa"/>
            <w:vAlign w:val="bottom"/>
          </w:tcPr>
          <w:p>
            <w:pPr>
              <w:ind w:left="20"/>
              <w:spacing w:after="0"/>
              <w:rPr>
                <w:sz w:val="20"/>
                <w:szCs w:val="20"/>
                <w:color w:val="auto"/>
              </w:rPr>
            </w:pPr>
            <w:r>
              <w:rPr>
                <w:rFonts w:ascii="Arial" w:cs="Arial" w:eastAsia="Arial" w:hAnsi="Arial"/>
                <w:sz w:val="14"/>
                <w:szCs w:val="14"/>
                <w:color w:val="auto"/>
              </w:rPr>
              <w:t>Total reportable segment 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16,289</w:t>
            </w:r>
          </w:p>
        </w:tc>
        <w:tc>
          <w:tcPr>
            <w:tcW w:w="12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1,118</w:t>
            </w:r>
          </w:p>
        </w:tc>
        <w:tc>
          <w:tcPr>
            <w:tcW w:w="100" w:type="dxa"/>
            <w:vAlign w:val="bottom"/>
          </w:tcPr>
          <w:p>
            <w:pPr>
              <w:spacing w:after="0"/>
              <w:rPr>
                <w:sz w:val="15"/>
                <w:szCs w:val="15"/>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1,869</w:t>
            </w:r>
          </w:p>
        </w:tc>
        <w:tc>
          <w:tcPr>
            <w:tcW w:w="100" w:type="dxa"/>
            <w:vAlign w:val="bottom"/>
          </w:tcPr>
          <w:p>
            <w:pPr>
              <w:spacing w:after="0"/>
              <w:rPr>
                <w:sz w:val="15"/>
                <w:szCs w:val="15"/>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19,276</w:t>
            </w:r>
          </w:p>
        </w:tc>
      </w:tr>
      <w:tr>
        <w:trPr>
          <w:trHeight w:val="184"/>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Unallocated corporate and other</w:t>
            </w: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1,482</w:t>
            </w:r>
          </w:p>
        </w:tc>
      </w:tr>
      <w:tr>
        <w:trPr>
          <w:trHeight w:val="180"/>
        </w:trPr>
        <w:tc>
          <w:tcPr>
            <w:tcW w:w="378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20,758</w:t>
            </w:r>
          </w:p>
        </w:tc>
      </w:tr>
      <w:tr>
        <w:trPr>
          <w:trHeight w:val="20"/>
        </w:trPr>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firstLine="395"/>
        <w:spacing w:after="0" w:line="324" w:lineRule="auto"/>
        <w:rPr>
          <w:sz w:val="20"/>
          <w:szCs w:val="20"/>
          <w:color w:val="auto"/>
        </w:rPr>
      </w:pPr>
      <w:r>
        <w:rPr>
          <w:rFonts w:ascii="Arial" w:cs="Arial" w:eastAsia="Arial" w:hAnsi="Arial"/>
          <w:sz w:val="16"/>
          <w:szCs w:val="16"/>
          <w:color w:val="auto"/>
        </w:rPr>
        <w:t>Revenues attributed to operations located outside the U.S. were $1,910 million in 2020, $4,400 million in 2019, and $4,246 million in 2018, including cost reimbursement revenue outside the U.S. of $1,247 million in 2020, $2,394 million in 2019, and $2,244 million in 2018.</w:t>
      </w:r>
    </w:p>
    <w:p>
      <w:pPr>
        <w:spacing w:after="0" w:line="200" w:lineRule="exact"/>
        <w:rPr>
          <w:sz w:val="20"/>
          <w:szCs w:val="20"/>
          <w:color w:val="auto"/>
        </w:rPr>
      </w:pPr>
    </w:p>
    <w:p>
      <w:pPr>
        <w:spacing w:after="0" w:line="26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40"/>
          </w:cols>
          <w:pgMar w:left="320" w:top="127" w:right="6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Profits and Losses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2018</w:t>
            </w:r>
          </w:p>
        </w:tc>
      </w:tr>
      <w:tr>
        <w:trPr>
          <w:trHeight w:val="183"/>
        </w:trPr>
        <w:tc>
          <w:tcPr>
            <w:tcW w:w="660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U.S. &amp; Canada </w:t>
            </w:r>
            <w:r>
              <w:rPr>
                <w:rFonts w:ascii="Arial" w:cs="Arial" w:eastAsia="Arial" w:hAnsi="Arial"/>
                <w:sz w:val="18"/>
                <w:szCs w:val="18"/>
                <w:color w:val="auto"/>
                <w:vertAlign w:val="superscript"/>
              </w:rPr>
              <w:t>(1)</w:t>
            </w: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1,939</w:t>
            </w:r>
          </w:p>
        </w:tc>
      </w:tr>
      <w:tr>
        <w:trPr>
          <w:trHeight w:val="184"/>
        </w:trPr>
        <w:tc>
          <w:tcPr>
            <w:tcW w:w="6600" w:type="dxa"/>
            <w:vAlign w:val="bottom"/>
          </w:tcPr>
          <w:p>
            <w:pPr>
              <w:ind w:left="20"/>
              <w:spacing w:after="0" w:line="184" w:lineRule="exact"/>
              <w:rPr>
                <w:sz w:val="20"/>
                <w:szCs w:val="20"/>
                <w:color w:val="auto"/>
              </w:rPr>
            </w:pPr>
            <w:r>
              <w:rPr>
                <w:rFonts w:ascii="Arial" w:cs="Arial" w:eastAsia="Arial" w:hAnsi="Arial"/>
                <w:sz w:val="14"/>
                <w:szCs w:val="14"/>
                <w:color w:val="auto"/>
              </w:rPr>
              <w:t xml:space="preserve">Asia Pacific </w:t>
            </w:r>
            <w:r>
              <w:rPr>
                <w:rFonts w:ascii="Arial" w:cs="Arial" w:eastAsia="Arial" w:hAnsi="Arial"/>
                <w:sz w:val="18"/>
                <w:szCs w:val="18"/>
                <w:color w:val="auto"/>
                <w:vertAlign w:val="superscript"/>
              </w:rPr>
              <w:t>(2)</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Arial" w:cs="Arial" w:eastAsia="Arial" w:hAnsi="Arial"/>
                <w:sz w:val="14"/>
                <w:szCs w:val="14"/>
                <w:color w:val="auto"/>
              </w:rPr>
              <w:t>456</w:t>
            </w:r>
          </w:p>
        </w:tc>
      </w:tr>
      <w:tr>
        <w:trPr>
          <w:trHeight w:val="184"/>
        </w:trPr>
        <w:tc>
          <w:tcPr>
            <w:tcW w:w="6600" w:type="dxa"/>
            <w:vAlign w:val="bottom"/>
            <w:shd w:val="clear" w:color="auto" w:fill="CCEEFF"/>
          </w:tcPr>
          <w:p>
            <w:pPr>
              <w:ind w:left="20"/>
              <w:spacing w:after="0" w:line="184" w:lineRule="exact"/>
              <w:rPr>
                <w:sz w:val="20"/>
                <w:szCs w:val="20"/>
                <w:color w:val="auto"/>
              </w:rPr>
            </w:pPr>
            <w:r>
              <w:rPr>
                <w:rFonts w:ascii="Arial" w:cs="Arial" w:eastAsia="Arial" w:hAnsi="Arial"/>
                <w:sz w:val="14"/>
                <w:szCs w:val="14"/>
                <w:color w:val="auto"/>
              </w:rPr>
              <w:t xml:space="preserve">EMEA </w:t>
            </w:r>
            <w:r>
              <w:rPr>
                <w:rFonts w:ascii="Arial" w:cs="Arial" w:eastAsia="Arial" w:hAnsi="Arial"/>
                <w:sz w:val="18"/>
                <w:szCs w:val="18"/>
                <w:color w:val="auto"/>
                <w:vertAlign w:val="superscript"/>
              </w:rPr>
              <w:t>(3)</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328</w:t>
            </w:r>
          </w:p>
        </w:tc>
      </w:tr>
      <w:tr>
        <w:trPr>
          <w:trHeight w:val="182"/>
        </w:trPr>
        <w:tc>
          <w:tcPr>
            <w:tcW w:w="6600" w:type="dxa"/>
            <w:vAlign w:val="bottom"/>
          </w:tcPr>
          <w:p>
            <w:pPr>
              <w:ind w:left="20"/>
              <w:spacing w:after="0"/>
              <w:rPr>
                <w:sz w:val="20"/>
                <w:szCs w:val="20"/>
                <w:color w:val="auto"/>
              </w:rPr>
            </w:pPr>
            <w:r>
              <w:rPr>
                <w:rFonts w:ascii="Arial" w:cs="Arial" w:eastAsia="Arial" w:hAnsi="Arial"/>
                <w:sz w:val="14"/>
                <w:szCs w:val="14"/>
                <w:color w:val="auto"/>
              </w:rPr>
              <w:t>Unallocated corporate and other</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87"/>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 net of interest income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r>
      <w:tr>
        <w:trPr>
          <w:trHeight w:val="182"/>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(provision) for income taxes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w:t>
            </w:r>
          </w:p>
        </w:tc>
      </w:tr>
      <w:tr>
        <w:trPr>
          <w:trHeight w:val="205"/>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income</w:t>
            </w: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1,907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ind w:left="260" w:hanging="255"/>
        <w:spacing w:after="0" w:line="220" w:lineRule="auto"/>
        <w:tabs>
          <w:tab w:leader="none" w:pos="260" w:val="left"/>
        </w:tabs>
        <w:numPr>
          <w:ilvl w:val="0"/>
          <w:numId w:val="26"/>
        </w:numPr>
        <w:rPr>
          <w:rFonts w:ascii="Arial" w:cs="Arial" w:eastAsia="Arial" w:hAnsi="Arial"/>
          <w:sz w:val="23"/>
          <w:szCs w:val="23"/>
          <w:color w:val="auto"/>
          <w:vertAlign w:val="superscript"/>
        </w:rPr>
      </w:pPr>
      <w:r>
        <w:rPr>
          <w:rFonts w:ascii="Arial" w:cs="Arial" w:eastAsia="Arial" w:hAnsi="Arial"/>
          <w:sz w:val="14"/>
          <w:szCs w:val="14"/>
          <w:color w:val="auto"/>
        </w:rPr>
        <w:t>Includes cost reimbursements, net of $(80) million in 2020, $(129) million in 2019, and $(121) million in 2018.</w:t>
      </w:r>
    </w:p>
    <w:p>
      <w:pPr>
        <w:spacing w:after="0" w:line="1" w:lineRule="exact"/>
        <w:rPr>
          <w:rFonts w:ascii="Arial" w:cs="Arial" w:eastAsia="Arial" w:hAnsi="Arial"/>
          <w:sz w:val="23"/>
          <w:szCs w:val="23"/>
          <w:color w:val="auto"/>
          <w:vertAlign w:val="superscript"/>
        </w:rPr>
      </w:pPr>
    </w:p>
    <w:p>
      <w:pPr>
        <w:ind w:left="280" w:hanging="275"/>
        <w:spacing w:after="0" w:line="183" w:lineRule="auto"/>
        <w:tabs>
          <w:tab w:leader="none" w:pos="280" w:val="left"/>
        </w:tabs>
        <w:numPr>
          <w:ilvl w:val="0"/>
          <w:numId w:val="26"/>
        </w:numPr>
        <w:rPr>
          <w:rFonts w:ascii="Arial" w:cs="Arial" w:eastAsia="Arial" w:hAnsi="Arial"/>
          <w:sz w:val="18"/>
          <w:szCs w:val="18"/>
          <w:color w:val="auto"/>
          <w:vertAlign w:val="superscript"/>
        </w:rPr>
      </w:pPr>
      <w:r>
        <w:rPr>
          <w:rFonts w:ascii="Arial" w:cs="Arial" w:eastAsia="Arial" w:hAnsi="Arial"/>
          <w:sz w:val="11"/>
          <w:szCs w:val="11"/>
          <w:color w:val="auto"/>
        </w:rPr>
        <w:t>Includes cost reimbursements, net of $(18) million in 2020, $(9) million in 2019, and zero in 2018.</w:t>
      </w:r>
    </w:p>
    <w:p>
      <w:pPr>
        <w:ind w:left="280" w:hanging="275"/>
        <w:spacing w:after="0" w:line="183" w:lineRule="auto"/>
        <w:tabs>
          <w:tab w:leader="none" w:pos="280" w:val="left"/>
        </w:tabs>
        <w:numPr>
          <w:ilvl w:val="0"/>
          <w:numId w:val="26"/>
        </w:numPr>
        <w:rPr>
          <w:rFonts w:ascii="Arial" w:cs="Arial" w:eastAsia="Arial" w:hAnsi="Arial"/>
          <w:sz w:val="19"/>
          <w:szCs w:val="19"/>
          <w:color w:val="auto"/>
          <w:vertAlign w:val="superscript"/>
        </w:rPr>
      </w:pPr>
      <w:r>
        <w:rPr>
          <w:rFonts w:ascii="Arial" w:cs="Arial" w:eastAsia="Arial" w:hAnsi="Arial"/>
          <w:sz w:val="12"/>
          <w:szCs w:val="12"/>
          <w:color w:val="auto"/>
        </w:rPr>
        <w:t>Includes cost reimbursements, net of $(33) million in 2020, $(8) million in 2019, and zero in 2018.</w:t>
      </w:r>
    </w:p>
    <w:p>
      <w:pPr>
        <w:spacing w:after="0" w:line="143" w:lineRule="exact"/>
        <w:rPr>
          <w:sz w:val="20"/>
          <w:szCs w:val="20"/>
          <w:color w:val="auto"/>
        </w:rPr>
      </w:pPr>
    </w:p>
    <w:p>
      <w:pPr>
        <w:jc w:val="both"/>
        <w:ind w:right="100" w:firstLine="395"/>
        <w:spacing w:after="0" w:line="252" w:lineRule="auto"/>
        <w:rPr>
          <w:sz w:val="20"/>
          <w:szCs w:val="20"/>
          <w:color w:val="auto"/>
        </w:rPr>
      </w:pPr>
      <w:r>
        <w:rPr>
          <w:rFonts w:ascii="Arial" w:cs="Arial" w:eastAsia="Arial" w:hAnsi="Arial"/>
          <w:sz w:val="18"/>
          <w:szCs w:val="18"/>
          <w:color w:val="auto"/>
        </w:rPr>
        <w:t>Segment (losses) profits attributed to operations located outside the U.S. were $(198) million in 2020, $982 million in 2019, and $1,155 million in 2018, including cost reimbursements, net (cost reimbursement revenue, net of reimbursed expenses) outside the U.S. of $(62) million in 2020, $(18) million in 2019, and $(14) million in 2018.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Amortization, and Other</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2018</w:t>
            </w:r>
          </w:p>
        </w:tc>
      </w:tr>
      <w:tr>
        <w:trPr>
          <w:trHeight w:val="183"/>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&amp; Canada</w:t>
            </w: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97</w:t>
            </w:r>
          </w:p>
        </w:tc>
      </w:tr>
      <w:tr>
        <w:trPr>
          <w:trHeight w:val="182"/>
        </w:trPr>
        <w:tc>
          <w:tcPr>
            <w:tcW w:w="660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10"/>
              <w:spacing w:after="0"/>
              <w:rPr>
                <w:sz w:val="20"/>
                <w:szCs w:val="20"/>
                <w:color w:val="auto"/>
              </w:rPr>
            </w:pPr>
            <w:r>
              <w:rPr>
                <w:rFonts w:ascii="Arial" w:cs="Arial" w:eastAsia="Arial" w:hAnsi="Arial"/>
                <w:sz w:val="14"/>
                <w:szCs w:val="14"/>
                <w:color w:val="auto"/>
              </w:rPr>
              <w:t>26</w:t>
            </w:r>
          </w:p>
        </w:tc>
      </w:tr>
      <w:tr>
        <w:trPr>
          <w:trHeight w:val="187"/>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EMEA</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51</w:t>
            </w:r>
          </w:p>
        </w:tc>
      </w:tr>
      <w:tr>
        <w:trPr>
          <w:trHeight w:val="182"/>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Unallocated corporate and other</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52</w:t>
            </w:r>
          </w:p>
        </w:tc>
      </w:tr>
      <w:tr>
        <w:trPr>
          <w:trHeight w:val="202"/>
        </w:trPr>
        <w:tc>
          <w:tcPr>
            <w:tcW w:w="66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226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2018</w:t>
            </w:r>
          </w:p>
        </w:tc>
      </w:tr>
      <w:tr>
        <w:trPr>
          <w:trHeight w:val="183"/>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&amp; Canada</w:t>
            </w: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305</w:t>
            </w:r>
          </w:p>
        </w:tc>
      </w:tr>
      <w:tr>
        <w:trPr>
          <w:trHeight w:val="182"/>
        </w:trPr>
        <w:tc>
          <w:tcPr>
            <w:tcW w:w="660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10"/>
              <w:spacing w:after="0"/>
              <w:rPr>
                <w:sz w:val="20"/>
                <w:szCs w:val="20"/>
                <w:color w:val="auto"/>
              </w:rPr>
            </w:pPr>
            <w:r>
              <w:rPr>
                <w:rFonts w:ascii="Arial" w:cs="Arial" w:eastAsia="Arial" w:hAnsi="Arial"/>
                <w:sz w:val="14"/>
                <w:szCs w:val="14"/>
                <w:color w:val="auto"/>
              </w:rPr>
              <w:t>6</w:t>
            </w:r>
          </w:p>
        </w:tc>
      </w:tr>
      <w:tr>
        <w:trPr>
          <w:trHeight w:val="187"/>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EMEA</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36</w:t>
            </w:r>
          </w:p>
        </w:tc>
      </w:tr>
      <w:tr>
        <w:trPr>
          <w:trHeight w:val="182"/>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Unallocated corporate and other</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209</w:t>
            </w:r>
          </w:p>
        </w:tc>
      </w:tr>
      <w:tr>
        <w:trPr>
          <w:trHeight w:val="202"/>
        </w:trPr>
        <w:tc>
          <w:tcPr>
            <w:tcW w:w="66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556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RELATED PARTY TRANSACTIONS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161"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We have equity method investments in entities that own properties for which we provide management services and receive fees. In addition, in some cases we provide loans, preferred equity, or guarantees to these entities.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20" w:firstLine="395"/>
        <w:spacing w:after="0" w:line="261" w:lineRule="auto"/>
        <w:rPr>
          <w:sz w:val="20"/>
          <w:szCs w:val="20"/>
          <w:color w:val="auto"/>
        </w:rPr>
      </w:pPr>
      <w:r>
        <w:rPr>
          <w:rFonts w:ascii="Arial" w:cs="Arial" w:eastAsia="Arial" w:hAnsi="Arial"/>
          <w:sz w:val="18"/>
          <w:szCs w:val="18"/>
          <w:color w:val="auto"/>
        </w:rPr>
        <w:t>The following table presents Income Statement data resulting from transactions with these related parties. This table does not include our Financial Statement captions with insignificant related party activity.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2018</w:t>
            </w:r>
          </w:p>
        </w:tc>
      </w:tr>
      <w:tr>
        <w:trPr>
          <w:trHeight w:val="183"/>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reimbursement revenue</w:t>
            </w: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center"/>
              <w:ind w:left="870"/>
              <w:spacing w:after="0"/>
              <w:rPr>
                <w:sz w:val="20"/>
                <w:szCs w:val="20"/>
                <w:color w:val="auto"/>
              </w:rPr>
            </w:pPr>
            <w:r>
              <w:rPr>
                <w:rFonts w:ascii="Arial" w:cs="Arial" w:eastAsia="Arial" w:hAnsi="Arial"/>
                <w:sz w:val="14"/>
                <w:szCs w:val="14"/>
                <w:color w:val="auto"/>
                <w:w w:val="85"/>
              </w:rPr>
              <w:t>107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center"/>
              <w:ind w:left="870"/>
              <w:spacing w:after="0"/>
              <w:rPr>
                <w:sz w:val="20"/>
                <w:szCs w:val="20"/>
                <w:color w:val="auto"/>
              </w:rPr>
            </w:pPr>
            <w:r>
              <w:rPr>
                <w:rFonts w:ascii="Arial" w:cs="Arial" w:eastAsia="Arial" w:hAnsi="Arial"/>
                <w:sz w:val="14"/>
                <w:szCs w:val="14"/>
                <w:color w:val="auto"/>
                <w:w w:val="85"/>
              </w:rPr>
              <w:t>332</w:t>
            </w:r>
          </w:p>
        </w:tc>
      </w:tr>
      <w:tr>
        <w:trPr>
          <w:trHeight w:val="182"/>
        </w:trPr>
        <w:tc>
          <w:tcPr>
            <w:tcW w:w="6060" w:type="dxa"/>
            <w:vAlign w:val="bottom"/>
          </w:tcPr>
          <w:p>
            <w:pPr>
              <w:ind w:left="20"/>
              <w:spacing w:after="0"/>
              <w:rPr>
                <w:sz w:val="20"/>
                <w:szCs w:val="20"/>
                <w:color w:val="auto"/>
              </w:rPr>
            </w:pPr>
            <w:r>
              <w:rPr>
                <w:rFonts w:ascii="Arial" w:cs="Arial" w:eastAsia="Arial" w:hAnsi="Arial"/>
                <w:sz w:val="14"/>
                <w:szCs w:val="14"/>
                <w:color w:val="auto"/>
              </w:rPr>
              <w:t>Reimbursed expenses</w:t>
            </w:r>
          </w:p>
        </w:tc>
        <w:tc>
          <w:tcPr>
            <w:tcW w:w="380" w:type="dxa"/>
            <w:vAlign w:val="bottom"/>
          </w:tcPr>
          <w:p>
            <w:pPr>
              <w:spacing w:after="0"/>
              <w:rPr>
                <w:sz w:val="15"/>
                <w:szCs w:val="15"/>
                <w:color w:val="auto"/>
              </w:rPr>
            </w:pPr>
          </w:p>
        </w:tc>
        <w:tc>
          <w:tcPr>
            <w:tcW w:w="1260" w:type="dxa"/>
            <w:vAlign w:val="bottom"/>
          </w:tcPr>
          <w:p>
            <w:pPr>
              <w:jc w:val="center"/>
              <w:ind w:left="850"/>
              <w:spacing w:after="0"/>
              <w:rPr>
                <w:sz w:val="20"/>
                <w:szCs w:val="20"/>
                <w:color w:val="auto"/>
              </w:rPr>
            </w:pPr>
            <w:r>
              <w:rPr>
                <w:rFonts w:ascii="Arial" w:cs="Arial" w:eastAsia="Arial" w:hAnsi="Arial"/>
                <w:sz w:val="14"/>
                <w:szCs w:val="14"/>
                <w:color w:val="auto"/>
                <w:w w:val="91"/>
              </w:rPr>
              <w:t>(110)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center"/>
              <w:ind w:left="850"/>
              <w:spacing w:after="0"/>
              <w:rPr>
                <w:sz w:val="20"/>
                <w:szCs w:val="20"/>
                <w:color w:val="auto"/>
              </w:rPr>
            </w:pPr>
            <w:r>
              <w:rPr>
                <w:rFonts w:ascii="Arial" w:cs="Arial" w:eastAsia="Arial" w:hAnsi="Arial"/>
                <w:sz w:val="14"/>
                <w:szCs w:val="14"/>
                <w:color w:val="auto"/>
                <w:w w:val="91"/>
              </w:rPr>
              <w:t>(337)</w:t>
            </w:r>
          </w:p>
        </w:tc>
      </w:tr>
      <w:tr>
        <w:trPr>
          <w:trHeight w:val="187"/>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earnings</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center"/>
              <w:ind w:left="850"/>
              <w:spacing w:after="0"/>
              <w:rPr>
                <w:sz w:val="20"/>
                <w:szCs w:val="20"/>
                <w:color w:val="auto"/>
              </w:rPr>
            </w:pPr>
            <w:r>
              <w:rPr>
                <w:rFonts w:ascii="Arial" w:cs="Arial" w:eastAsia="Arial" w:hAnsi="Arial"/>
                <w:sz w:val="14"/>
                <w:szCs w:val="14"/>
                <w:color w:val="auto"/>
                <w:w w:val="91"/>
              </w:rPr>
              <w:t>(141)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center"/>
              <w:ind w:left="870"/>
              <w:spacing w:after="0"/>
              <w:rPr>
                <w:sz w:val="20"/>
                <w:szCs w:val="20"/>
                <w:color w:val="auto"/>
              </w:rPr>
            </w:pPr>
            <w:r>
              <w:rPr>
                <w:rFonts w:ascii="Arial" w:cs="Arial" w:eastAsia="Arial" w:hAnsi="Arial"/>
                <w:sz w:val="14"/>
                <w:szCs w:val="14"/>
                <w:color w:val="auto"/>
                <w:w w:val="85"/>
              </w:rPr>
              <w:t>103</w:t>
            </w:r>
          </w:p>
        </w:tc>
      </w:tr>
    </w:tbl>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Summarized Financial Information for Investees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tables present summarized financial information for the entities in which we have equity method investments:</w:t>
      </w:r>
    </w:p>
    <w:p>
      <w:pPr>
        <w:spacing w:after="0" w:line="138" w:lineRule="exact"/>
        <w:rPr>
          <w:sz w:val="20"/>
          <w:szCs w:val="20"/>
          <w:color w:val="auto"/>
        </w:rPr>
      </w:pPr>
    </w:p>
    <w:tbl>
      <w:tblPr>
        <w:tblLayout w:type="fixed"/>
        <w:tblInd w:w="400" w:type="dxa"/>
        <w:tblCellMar>
          <w:top w:w="0" w:type="dxa"/>
          <w:left w:w="0" w:type="dxa"/>
          <w:bottom w:w="0" w:type="dxa"/>
          <w:right w:w="0" w:type="dxa"/>
        </w:tblCellMar>
      </w:tblPr>
      <w:tr>
        <w:trPr>
          <w:trHeight w:val="188"/>
        </w:trPr>
        <w:tc>
          <w:tcPr>
            <w:tcW w:w="5280" w:type="dxa"/>
            <w:vAlign w:val="bottom"/>
            <w:tcBorders>
              <w:bottom w:val="single" w:sz="8" w:color="CCEEFF"/>
            </w:tcBorders>
          </w:tcPr>
          <w:p>
            <w:pPr>
              <w:ind w:left="420"/>
              <w:spacing w:after="0"/>
              <w:rPr>
                <w:sz w:val="20"/>
                <w:szCs w:val="20"/>
                <w:color w:val="auto"/>
              </w:rPr>
            </w:pPr>
            <w:r>
              <w:rPr>
                <w:rFonts w:ascii="Arial" w:cs="Arial" w:eastAsia="Arial" w:hAnsi="Arial"/>
                <w:sz w:val="14"/>
                <w:szCs w:val="14"/>
                <w:i w:val="1"/>
                <w:iCs w:val="1"/>
                <w:color w:val="auto"/>
              </w:rPr>
              <w:t>($ in millions)</w:t>
            </w: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2018</w:t>
            </w:r>
          </w:p>
        </w:tc>
      </w:tr>
      <w:tr>
        <w:trPr>
          <w:trHeight w:val="183"/>
        </w:trPr>
        <w:tc>
          <w:tcPr>
            <w:tcW w:w="52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Sales</w:t>
            </w:r>
          </w:p>
        </w:tc>
        <w:tc>
          <w:tcPr>
            <w:tcW w:w="760" w:type="dxa"/>
            <w:vAlign w:val="bottom"/>
            <w:gridSpan w:val="2"/>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090"/>
              <w:spacing w:after="0"/>
              <w:rPr>
                <w:sz w:val="20"/>
                <w:szCs w:val="20"/>
                <w:color w:val="auto"/>
              </w:rPr>
            </w:pPr>
            <w:r>
              <w:rPr>
                <w:rFonts w:ascii="Arial" w:cs="Arial" w:eastAsia="Arial" w:hAnsi="Arial"/>
                <w:sz w:val="14"/>
                <w:szCs w:val="14"/>
                <w:color w:val="auto"/>
              </w:rPr>
              <w:t>$</w:t>
            </w:r>
          </w:p>
        </w:tc>
      </w:tr>
      <w:tr>
        <w:trPr>
          <w:trHeight w:val="179"/>
        </w:trPr>
        <w:tc>
          <w:tcPr>
            <w:tcW w:w="5280" w:type="dxa"/>
            <w:vAlign w:val="bottom"/>
          </w:tcPr>
          <w:p>
            <w:pPr>
              <w:ind w:left="420"/>
              <w:spacing w:after="0"/>
              <w:rPr>
                <w:sz w:val="20"/>
                <w:szCs w:val="20"/>
                <w:color w:val="auto"/>
              </w:rPr>
            </w:pPr>
            <w:r>
              <w:rPr>
                <w:rFonts w:ascii="Arial" w:cs="Arial" w:eastAsia="Arial" w:hAnsi="Arial"/>
                <w:sz w:val="14"/>
                <w:szCs w:val="14"/>
                <w:color w:val="auto"/>
              </w:rPr>
              <w:t>Net (loss) income</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460"/>
        </w:trPr>
        <w:tc>
          <w:tcPr>
            <w:tcW w:w="5280" w:type="dxa"/>
            <w:vAlign w:val="bottom"/>
          </w:tcPr>
          <w:p>
            <w:pPr>
              <w:ind w:left="420"/>
              <w:spacing w:after="0"/>
              <w:rPr>
                <w:sz w:val="20"/>
                <w:szCs w:val="20"/>
                <w:color w:val="auto"/>
              </w:rPr>
            </w:pPr>
            <w:r>
              <w:rPr>
                <w:rFonts w:ascii="Arial" w:cs="Arial" w:eastAsia="Arial" w:hAnsi="Arial"/>
                <w:sz w:val="14"/>
                <w:szCs w:val="14"/>
                <w:i w:val="1"/>
                <w:iCs w:val="1"/>
                <w:color w:val="auto"/>
              </w:rPr>
              <w:t>($ in millions)</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gridSpan w:val="4"/>
          </w:tcPr>
          <w:p>
            <w:pPr>
              <w:ind w:left="80"/>
              <w:spacing w:after="0"/>
              <w:rPr>
                <w:sz w:val="20"/>
                <w:szCs w:val="20"/>
                <w:color w:val="auto"/>
              </w:rPr>
            </w:pPr>
            <w:r>
              <w:rPr>
                <w:rFonts w:ascii="Arial" w:cs="Arial" w:eastAsia="Arial" w:hAnsi="Arial"/>
                <w:sz w:val="14"/>
                <w:szCs w:val="14"/>
                <w:b w:val="1"/>
                <w:bCs w:val="1"/>
                <w:color w:val="auto"/>
              </w:rPr>
              <w:t>At Year-End 2020</w:t>
            </w:r>
          </w:p>
        </w:tc>
        <w:tc>
          <w:tcPr>
            <w:tcW w:w="560" w:type="dxa"/>
            <w:vAlign w:val="bottom"/>
          </w:tcPr>
          <w:p>
            <w:pPr>
              <w:spacing w:after="0"/>
              <w:rPr>
                <w:sz w:val="24"/>
                <w:szCs w:val="24"/>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8"/>
              </w:rPr>
              <w:t>At Year-End 2019</w:t>
            </w:r>
          </w:p>
        </w:tc>
        <w:tc>
          <w:tcPr>
            <w:tcW w:w="1460" w:type="dxa"/>
            <w:vAlign w:val="bottom"/>
          </w:tcPr>
          <w:p>
            <w:pPr>
              <w:spacing w:after="0"/>
              <w:rPr>
                <w:sz w:val="24"/>
                <w:szCs w:val="24"/>
                <w:color w:val="auto"/>
              </w:rPr>
            </w:pPr>
          </w:p>
        </w:tc>
      </w:tr>
      <w:tr>
        <w:trPr>
          <w:trHeight w:val="183"/>
        </w:trPr>
        <w:tc>
          <w:tcPr>
            <w:tcW w:w="528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Assets (primarily composed of hotel real estate managed by us)</w:t>
            </w:r>
          </w:p>
        </w:tc>
        <w:tc>
          <w:tcPr>
            <w:tcW w:w="2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2,348</w:t>
            </w: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2,555</w:t>
            </w:r>
          </w:p>
        </w:tc>
        <w:tc>
          <w:tcPr>
            <w:tcW w:w="1460" w:type="dxa"/>
            <w:vAlign w:val="bottom"/>
          </w:tcPr>
          <w:p>
            <w:pPr>
              <w:spacing w:after="0"/>
              <w:rPr>
                <w:sz w:val="15"/>
                <w:szCs w:val="15"/>
                <w:color w:val="auto"/>
              </w:rPr>
            </w:pPr>
          </w:p>
        </w:tc>
      </w:tr>
      <w:tr>
        <w:trPr>
          <w:trHeight w:val="179"/>
        </w:trPr>
        <w:tc>
          <w:tcPr>
            <w:tcW w:w="5280" w:type="dxa"/>
            <w:vAlign w:val="bottom"/>
          </w:tcPr>
          <w:p>
            <w:pPr>
              <w:ind w:left="420"/>
              <w:spacing w:after="0"/>
              <w:rPr>
                <w:sz w:val="20"/>
                <w:szCs w:val="20"/>
                <w:color w:val="auto"/>
              </w:rPr>
            </w:pPr>
            <w:r>
              <w:rPr>
                <w:rFonts w:ascii="Arial" w:cs="Arial" w:eastAsia="Arial" w:hAnsi="Arial"/>
                <w:sz w:val="14"/>
                <w:szCs w:val="14"/>
                <w:color w:val="auto"/>
              </w:rPr>
              <w:t>Liabilities</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4"/>
                <w:szCs w:val="14"/>
                <w:color w:val="auto"/>
              </w:rPr>
              <w:t>1,623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4"/>
                <w:szCs w:val="14"/>
                <w:color w:val="auto"/>
              </w:rPr>
              <w:t>1,691</w:t>
            </w:r>
          </w:p>
        </w:tc>
        <w:tc>
          <w:tcPr>
            <w:tcW w:w="1460" w:type="dxa"/>
            <w:vAlign w:val="bottom"/>
          </w:tcPr>
          <w:p>
            <w:pPr>
              <w:spacing w:after="0"/>
              <w:rPr>
                <w:sz w:val="15"/>
                <w:szCs w:val="15"/>
                <w:color w:val="auto"/>
              </w:rPr>
            </w:pPr>
          </w:p>
        </w:tc>
      </w:tr>
    </w:tbl>
    <w:p>
      <w:pPr>
        <w:spacing w:after="0" w:line="151" w:lineRule="exact"/>
        <w:rPr>
          <w:sz w:val="20"/>
          <w:szCs w:val="20"/>
          <w:color w:val="auto"/>
        </w:rPr>
      </w:pPr>
    </w:p>
    <w:p>
      <w:pPr>
        <w:ind w:right="320" w:firstLine="395"/>
        <w:spacing w:after="0" w:line="252" w:lineRule="auto"/>
        <w:rPr>
          <w:sz w:val="20"/>
          <w:szCs w:val="20"/>
          <w:color w:val="auto"/>
        </w:rPr>
      </w:pPr>
      <w:r>
        <w:rPr>
          <w:rFonts w:ascii="Arial" w:cs="Arial" w:eastAsia="Arial" w:hAnsi="Arial"/>
          <w:sz w:val="18"/>
          <w:szCs w:val="18"/>
          <w:color w:val="auto"/>
        </w:rPr>
        <w:t>The carrying amount of our equity method investments was $422 million at year-end 2020 and $577 million at year-end 2019. This value exceeded our share of the book value of the investees’ net assets by $294 million at year-end 2020 and $311 million at year-end 2019, primarily due to the value that we assigned to land, contracts, and buildings owned by the investees.</w:t>
      </w:r>
    </w:p>
    <w:p>
      <w:pPr>
        <w:spacing w:after="0" w:line="138" w:lineRule="exact"/>
        <w:rPr>
          <w:sz w:val="20"/>
          <w:szCs w:val="20"/>
          <w:color w:val="auto"/>
        </w:rPr>
      </w:pPr>
    </w:p>
    <w:p>
      <w:pPr>
        <w:ind w:right="620" w:firstLine="395"/>
        <w:spacing w:after="0" w:line="329" w:lineRule="auto"/>
        <w:rPr>
          <w:sz w:val="20"/>
          <w:szCs w:val="20"/>
          <w:color w:val="auto"/>
        </w:rPr>
      </w:pPr>
      <w:r>
        <w:rPr>
          <w:rFonts w:ascii="Arial" w:cs="Arial" w:eastAsia="Arial" w:hAnsi="Arial"/>
          <w:sz w:val="16"/>
          <w:szCs w:val="16"/>
          <w:color w:val="auto"/>
        </w:rPr>
        <w:t xml:space="preserve">In 2020, we recorded impairment charges totaling $77 million in the “Equity in (losses) earnings” caption of our Income Statements to reduce the carrying amount of certain investments, primarily due to the impact of </w:t>
      </w:r>
      <w:r>
        <w:rPr>
          <w:rFonts w:ascii="Arial" w:cs="Arial" w:eastAsia="Arial" w:hAnsi="Arial"/>
          <w:sz w:val="17"/>
          <w:szCs w:val="17"/>
          <w:color w:val="auto"/>
        </w:rPr>
        <w:t>COVID-19</w:t>
      </w:r>
      <w:r>
        <w:rPr>
          <w:rFonts w:ascii="Arial" w:cs="Arial" w:eastAsia="Arial" w:hAnsi="Arial"/>
          <w:sz w:val="16"/>
          <w:szCs w:val="16"/>
          <w:color w:val="auto"/>
        </w:rPr>
        <w:t>, most of which we recorded in our U.S. &amp; Canada business segment.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Related Parties</w:t>
      </w:r>
    </w:p>
    <w:p>
      <w:pPr>
        <w:spacing w:after="0" w:line="161" w:lineRule="exact"/>
        <w:rPr>
          <w:sz w:val="20"/>
          <w:szCs w:val="20"/>
          <w:color w:val="auto"/>
        </w:rPr>
      </w:pPr>
    </w:p>
    <w:p>
      <w:pPr>
        <w:ind w:right="200" w:firstLine="395"/>
        <w:spacing w:after="0" w:line="252" w:lineRule="auto"/>
        <w:rPr>
          <w:sz w:val="20"/>
          <w:szCs w:val="20"/>
          <w:color w:val="auto"/>
        </w:rPr>
      </w:pPr>
      <w:r>
        <w:rPr>
          <w:rFonts w:ascii="Arial" w:cs="Arial" w:eastAsia="Arial" w:hAnsi="Arial"/>
          <w:sz w:val="18"/>
          <w:szCs w:val="18"/>
          <w:color w:val="auto"/>
        </w:rPr>
        <w:t>We received management fees of approximately $3 million in 2020, $12 million in 2019, and $13 million in 2018, plus reimbursement of certain expenses, from our operation of properties owned by JWM Family Enterprises, L.P., which is beneficially owned and controlled by J.W. Marriott, Jr., Deborah Marriott Harrison, and other members of the Marriott family.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RELATIONSHIP WITH MAJOR CUSTOMER</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Host Hotels &amp; Resorts, Inc., formerly known as Host Marriott Corporation, and its affiliates (“Host”) owned or leased 59 lodging properties at year-end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2020 and 60 at year-end 2019 that we operated or franchised. Over the last three years, we recognized revenues, including cost reimbursement revenue, of</w:t>
      </w:r>
    </w:p>
    <w:p>
      <w:pPr>
        <w:spacing w:after="0" w:line="27" w:lineRule="exact"/>
        <w:rPr>
          <w:sz w:val="20"/>
          <w:szCs w:val="20"/>
          <w:color w:val="auto"/>
        </w:rPr>
      </w:pPr>
    </w:p>
    <w:p>
      <w:pPr>
        <w:ind w:right="280"/>
        <w:spacing w:after="0" w:line="309" w:lineRule="auto"/>
        <w:rPr>
          <w:sz w:val="20"/>
          <w:szCs w:val="20"/>
          <w:color w:val="auto"/>
        </w:rPr>
      </w:pPr>
      <w:r>
        <w:rPr>
          <w:rFonts w:ascii="Arial" w:cs="Arial" w:eastAsia="Arial" w:hAnsi="Arial"/>
          <w:sz w:val="16"/>
          <w:szCs w:val="16"/>
          <w:color w:val="auto"/>
        </w:rPr>
        <w:t>$1,037 million in 2020, $2,406 million in 2019, and $2,542 million in 2018 from those lodging properties, and included those revenues in our U.S. &amp; Canada and Europe, Middle East and Africa reportable business segments, and our Caribbean and Latin America operating segment.</w:t>
      </w:r>
    </w:p>
    <w:p>
      <w:pPr>
        <w:spacing w:after="0" w:line="200" w:lineRule="exact"/>
        <w:rPr>
          <w:sz w:val="20"/>
          <w:szCs w:val="20"/>
          <w:color w:val="auto"/>
        </w:rPr>
      </w:pPr>
    </w:p>
    <w:p>
      <w:pPr>
        <w:spacing w:after="0" w:line="27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SUPPLEMENTARY DATA</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FINANCIAL DATA – UNAUDITED</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2880" w:type="dxa"/>
            <w:vAlign w:val="bottom"/>
          </w:tcPr>
          <w:p>
            <w:pPr>
              <w:spacing w:after="0"/>
              <w:rPr>
                <w:sz w:val="20"/>
                <w:szCs w:val="20"/>
                <w:color w:val="auto"/>
              </w:rPr>
            </w:pPr>
            <w:r>
              <w:rPr>
                <w:rFonts w:ascii="Arial" w:cs="Arial" w:eastAsia="Arial" w:hAnsi="Arial"/>
                <w:sz w:val="14"/>
                <w:szCs w:val="14"/>
                <w:i w:val="1"/>
                <w:iCs w:val="1"/>
                <w:color w:val="auto"/>
              </w:rPr>
              <w:t>($ in millions, except per share data)</w:t>
            </w:r>
          </w:p>
        </w:tc>
        <w:tc>
          <w:tcPr>
            <w:tcW w:w="9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30"/>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880" w:type="dxa"/>
            <w:vAlign w:val="bottom"/>
          </w:tcPr>
          <w:p>
            <w:pPr>
              <w:spacing w:after="0"/>
              <w:rPr>
                <w:sz w:val="11"/>
                <w:szCs w:val="11"/>
                <w:color w:val="auto"/>
              </w:rPr>
            </w:pPr>
          </w:p>
        </w:tc>
        <w:tc>
          <w:tcPr>
            <w:tcW w:w="980" w:type="dxa"/>
            <w:vAlign w:val="bottom"/>
          </w:tcPr>
          <w:p>
            <w:pPr>
              <w:jc w:val="right"/>
              <w:ind w:right="70"/>
              <w:spacing w:after="0" w:line="130" w:lineRule="exact"/>
              <w:rPr>
                <w:sz w:val="20"/>
                <w:szCs w:val="20"/>
                <w:color w:val="auto"/>
              </w:rPr>
            </w:pPr>
            <w:r>
              <w:rPr>
                <w:rFonts w:ascii="Arial" w:cs="Arial" w:eastAsia="Arial" w:hAnsi="Arial"/>
                <w:sz w:val="14"/>
                <w:szCs w:val="14"/>
                <w:b w:val="1"/>
                <w:bCs w:val="1"/>
                <w:color w:val="auto"/>
              </w:rPr>
              <w:t>First</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gridSpan w:val="2"/>
          </w:tcPr>
          <w:p>
            <w:pPr>
              <w:jc w:val="center"/>
              <w:ind w:right="580"/>
              <w:spacing w:after="0" w:line="130" w:lineRule="exact"/>
              <w:rPr>
                <w:sz w:val="20"/>
                <w:szCs w:val="20"/>
                <w:color w:val="auto"/>
              </w:rPr>
            </w:pPr>
            <w:r>
              <w:rPr>
                <w:rFonts w:ascii="Arial" w:cs="Arial" w:eastAsia="Arial" w:hAnsi="Arial"/>
                <w:sz w:val="14"/>
                <w:szCs w:val="14"/>
                <w:b w:val="1"/>
                <w:bCs w:val="1"/>
                <w:color w:val="auto"/>
                <w:w w:val="86"/>
              </w:rPr>
              <w:t>Second</w:t>
            </w:r>
          </w:p>
        </w:tc>
        <w:tc>
          <w:tcPr>
            <w:tcW w:w="280" w:type="dxa"/>
            <w:vAlign w:val="bottom"/>
          </w:tcPr>
          <w:p>
            <w:pPr>
              <w:spacing w:after="0"/>
              <w:rPr>
                <w:sz w:val="11"/>
                <w:szCs w:val="11"/>
                <w:color w:val="auto"/>
              </w:rPr>
            </w:pPr>
          </w:p>
        </w:tc>
        <w:tc>
          <w:tcPr>
            <w:tcW w:w="1440" w:type="dxa"/>
            <w:vAlign w:val="bottom"/>
            <w:gridSpan w:val="2"/>
          </w:tcPr>
          <w:p>
            <w:pPr>
              <w:jc w:val="center"/>
              <w:ind w:right="600"/>
              <w:spacing w:after="0" w:line="130" w:lineRule="exact"/>
              <w:rPr>
                <w:sz w:val="20"/>
                <w:szCs w:val="20"/>
                <w:color w:val="auto"/>
              </w:rPr>
            </w:pPr>
            <w:r>
              <w:rPr>
                <w:rFonts w:ascii="Arial" w:cs="Arial" w:eastAsia="Arial" w:hAnsi="Arial"/>
                <w:sz w:val="14"/>
                <w:szCs w:val="14"/>
                <w:b w:val="1"/>
                <w:bCs w:val="1"/>
                <w:color w:val="auto"/>
              </w:rPr>
              <w:t>Third</w:t>
            </w:r>
          </w:p>
        </w:tc>
        <w:tc>
          <w:tcPr>
            <w:tcW w:w="280" w:type="dxa"/>
            <w:vAlign w:val="bottom"/>
          </w:tcPr>
          <w:p>
            <w:pPr>
              <w:spacing w:after="0"/>
              <w:rPr>
                <w:sz w:val="11"/>
                <w:szCs w:val="11"/>
                <w:color w:val="auto"/>
              </w:rPr>
            </w:pPr>
          </w:p>
        </w:tc>
        <w:tc>
          <w:tcPr>
            <w:tcW w:w="1440" w:type="dxa"/>
            <w:vAlign w:val="bottom"/>
            <w:gridSpan w:val="2"/>
          </w:tcPr>
          <w:p>
            <w:pPr>
              <w:jc w:val="center"/>
              <w:ind w:right="580"/>
              <w:spacing w:after="0" w:line="130" w:lineRule="exact"/>
              <w:rPr>
                <w:sz w:val="20"/>
                <w:szCs w:val="20"/>
                <w:color w:val="auto"/>
              </w:rPr>
            </w:pPr>
            <w:r>
              <w:rPr>
                <w:rFonts w:ascii="Arial" w:cs="Arial" w:eastAsia="Arial" w:hAnsi="Arial"/>
                <w:sz w:val="14"/>
                <w:szCs w:val="14"/>
                <w:b w:val="1"/>
                <w:bCs w:val="1"/>
                <w:color w:val="auto"/>
                <w:w w:val="94"/>
              </w:rPr>
              <w:t>Fourth</w:t>
            </w:r>
          </w:p>
        </w:tc>
        <w:tc>
          <w:tcPr>
            <w:tcW w:w="320" w:type="dxa"/>
            <w:vAlign w:val="bottom"/>
          </w:tcPr>
          <w:p>
            <w:pPr>
              <w:spacing w:after="0"/>
              <w:rPr>
                <w:sz w:val="11"/>
                <w:szCs w:val="11"/>
                <w:color w:val="auto"/>
              </w:rPr>
            </w:pPr>
          </w:p>
        </w:tc>
        <w:tc>
          <w:tcPr>
            <w:tcW w:w="1100" w:type="dxa"/>
            <w:vAlign w:val="bottom"/>
          </w:tcPr>
          <w:p>
            <w:pPr>
              <w:jc w:val="right"/>
              <w:ind w:right="470"/>
              <w:spacing w:after="0" w:line="130" w:lineRule="exact"/>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84"/>
        </w:trPr>
        <w:tc>
          <w:tcPr>
            <w:tcW w:w="28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Quarter</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Quarter</w:t>
            </w:r>
          </w:p>
        </w:tc>
        <w:tc>
          <w:tcPr>
            <w:tcW w:w="280" w:type="dxa"/>
            <w:vAlign w:val="bottom"/>
          </w:tcPr>
          <w:p>
            <w:pPr>
              <w:spacing w:after="0"/>
              <w:rPr>
                <w:sz w:val="15"/>
                <w:szCs w:val="15"/>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8"/>
              </w:rPr>
              <w:t>Quarter</w:t>
            </w:r>
          </w:p>
        </w:tc>
        <w:tc>
          <w:tcPr>
            <w:tcW w:w="280" w:type="dxa"/>
            <w:vAlign w:val="bottom"/>
          </w:tcPr>
          <w:p>
            <w:pPr>
              <w:spacing w:after="0"/>
              <w:rPr>
                <w:sz w:val="15"/>
                <w:szCs w:val="15"/>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8"/>
              </w:rPr>
              <w:t>Quarter</w:t>
            </w:r>
          </w:p>
        </w:tc>
        <w:tc>
          <w:tcPr>
            <w:tcW w:w="320" w:type="dxa"/>
            <w:vAlign w:val="bottom"/>
          </w:tcPr>
          <w:p>
            <w:pPr>
              <w:spacing w:after="0"/>
              <w:rPr>
                <w:sz w:val="15"/>
                <w:szCs w:val="15"/>
                <w:color w:val="auto"/>
              </w:rPr>
            </w:pPr>
          </w:p>
        </w:tc>
        <w:tc>
          <w:tcPr>
            <w:tcW w:w="1100" w:type="dxa"/>
            <w:vAlign w:val="bottom"/>
          </w:tcPr>
          <w:p>
            <w:pPr>
              <w:jc w:val="right"/>
              <w:ind w:right="49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200"/>
        </w:trPr>
        <w:tc>
          <w:tcPr>
            <w:tcW w:w="2880" w:type="dxa"/>
            <w:vAlign w:val="bottom"/>
            <w:tcBorders>
              <w:top w:val="single" w:sz="8" w:color="CCEEFF"/>
              <w:bottom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Revenues</w:t>
            </w:r>
          </w:p>
        </w:tc>
        <w:tc>
          <w:tcPr>
            <w:tcW w:w="98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96"/>
              </w:rPr>
              <w:t>4,681</w:t>
            </w: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1,464</w:t>
            </w: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2,254</w:t>
            </w: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2,172</w:t>
            </w: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10,571</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Operating income (loss)</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880" w:type="dxa"/>
            <w:vAlign w:val="bottom"/>
            <w:vMerge w:val="continue"/>
          </w:tcPr>
          <w:p>
            <w:pPr>
              <w:spacing w:after="0"/>
              <w:rPr>
                <w:sz w:val="13"/>
                <w:szCs w:val="13"/>
                <w:color w:val="auto"/>
              </w:rPr>
            </w:pPr>
          </w:p>
        </w:tc>
        <w:tc>
          <w:tcPr>
            <w:tcW w:w="980" w:type="dxa"/>
            <w:vAlign w:val="bottom"/>
            <w:tcBorders>
              <w:bottom w:val="single" w:sz="8" w:color="auto"/>
            </w:tcBorders>
          </w:tcPr>
          <w:p>
            <w:pPr>
              <w:jc w:val="right"/>
              <w:ind w:right="830"/>
              <w:spacing w:after="0" w:line="157" w:lineRule="exact"/>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114</w:t>
            </w:r>
          </w:p>
        </w:tc>
        <w:tc>
          <w:tcPr>
            <w:tcW w:w="300" w:type="dxa"/>
            <w:vAlign w:val="bottom"/>
          </w:tcPr>
          <w:p>
            <w:pPr>
              <w:spacing w:after="0"/>
              <w:rPr>
                <w:sz w:val="13"/>
                <w:szCs w:val="13"/>
                <w:color w:val="auto"/>
              </w:rPr>
            </w:pPr>
          </w:p>
        </w:tc>
        <w:tc>
          <w:tcPr>
            <w:tcW w:w="260" w:type="dxa"/>
            <w:vAlign w:val="bottom"/>
            <w:tcBorders>
              <w:bottom w:val="single" w:sz="8" w:color="auto"/>
            </w:tcBorders>
          </w:tcPr>
          <w:p>
            <w:pPr>
              <w:jc w:val="right"/>
              <w:ind w:right="110"/>
              <w:spacing w:after="0" w:line="157" w:lineRule="exact"/>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(154)</w:t>
            </w:r>
          </w:p>
        </w:tc>
        <w:tc>
          <w:tcPr>
            <w:tcW w:w="300" w:type="dxa"/>
            <w:vAlign w:val="bottom"/>
          </w:tcPr>
          <w:p>
            <w:pPr>
              <w:spacing w:after="0"/>
              <w:rPr>
                <w:sz w:val="13"/>
                <w:szCs w:val="13"/>
                <w:color w:val="auto"/>
              </w:rPr>
            </w:pPr>
          </w:p>
        </w:tc>
        <w:tc>
          <w:tcPr>
            <w:tcW w:w="280" w:type="dxa"/>
            <w:vAlign w:val="bottom"/>
            <w:tcBorders>
              <w:bottom w:val="single" w:sz="8" w:color="auto"/>
            </w:tcBorders>
          </w:tcPr>
          <w:p>
            <w:pPr>
              <w:jc w:val="right"/>
              <w:ind w:right="130"/>
              <w:spacing w:after="0" w:line="157"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252</w:t>
            </w:r>
          </w:p>
        </w:tc>
        <w:tc>
          <w:tcPr>
            <w:tcW w:w="300" w:type="dxa"/>
            <w:vAlign w:val="bottom"/>
          </w:tcPr>
          <w:p>
            <w:pPr>
              <w:spacing w:after="0"/>
              <w:rPr>
                <w:sz w:val="13"/>
                <w:szCs w:val="13"/>
                <w:color w:val="auto"/>
              </w:rPr>
            </w:pPr>
          </w:p>
        </w:tc>
        <w:tc>
          <w:tcPr>
            <w:tcW w:w="280" w:type="dxa"/>
            <w:vAlign w:val="bottom"/>
            <w:tcBorders>
              <w:bottom w:val="single" w:sz="8" w:color="auto"/>
            </w:tcBorders>
          </w:tcPr>
          <w:p>
            <w:pPr>
              <w:jc w:val="right"/>
              <w:ind w:right="130"/>
              <w:spacing w:after="0" w:line="157"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(128)</w:t>
            </w:r>
          </w:p>
        </w:tc>
        <w:tc>
          <w:tcPr>
            <w:tcW w:w="300" w:type="dxa"/>
            <w:vAlign w:val="bottom"/>
          </w:tcPr>
          <w:p>
            <w:pPr>
              <w:spacing w:after="0"/>
              <w:rPr>
                <w:sz w:val="13"/>
                <w:szCs w:val="13"/>
                <w:color w:val="auto"/>
              </w:rPr>
            </w:pPr>
          </w:p>
        </w:tc>
        <w:tc>
          <w:tcPr>
            <w:tcW w:w="320" w:type="dxa"/>
            <w:vAlign w:val="bottom"/>
            <w:tcBorders>
              <w:bottom w:val="single" w:sz="8" w:color="auto"/>
            </w:tcBorders>
          </w:tcPr>
          <w:p>
            <w:pPr>
              <w:jc w:val="right"/>
              <w:ind w:right="170"/>
              <w:spacing w:after="0" w:line="157"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880" w:type="dxa"/>
            <w:vAlign w:val="bottom"/>
            <w:tcBorders>
              <w:bottom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Net income (loss)</w:t>
            </w:r>
          </w:p>
        </w:tc>
        <w:tc>
          <w:tcPr>
            <w:tcW w:w="98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31</w:t>
            </w: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3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3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vMerge w:val="restart"/>
          </w:tcPr>
          <w:p>
            <w:pPr>
              <w:spacing w:after="0" w:line="200" w:lineRule="exact"/>
              <w:rPr>
                <w:sz w:val="20"/>
                <w:szCs w:val="20"/>
                <w:color w:val="auto"/>
              </w:rPr>
            </w:pPr>
            <w:r>
              <w:rPr>
                <w:rFonts w:ascii="Arial" w:cs="Arial" w:eastAsia="Arial" w:hAnsi="Arial"/>
                <w:sz w:val="14"/>
                <w:szCs w:val="14"/>
                <w:color w:val="auto"/>
              </w:rPr>
              <w:t xml:space="preserve">Basic earnings (loss) per share </w:t>
            </w:r>
            <w:r>
              <w:rPr>
                <w:rFonts w:ascii="Arial" w:cs="Arial" w:eastAsia="Arial" w:hAnsi="Arial"/>
                <w:sz w:val="18"/>
                <w:szCs w:val="18"/>
                <w:color w:val="auto"/>
                <w:vertAlign w:val="superscript"/>
              </w:rPr>
              <w:t>(1)</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880" w:type="dxa"/>
            <w:vAlign w:val="bottom"/>
            <w:vMerge w:val="continue"/>
          </w:tcPr>
          <w:p>
            <w:pPr>
              <w:spacing w:after="0"/>
              <w:rPr>
                <w:sz w:val="13"/>
                <w:szCs w:val="13"/>
                <w:color w:val="auto"/>
              </w:rPr>
            </w:pPr>
          </w:p>
        </w:tc>
        <w:tc>
          <w:tcPr>
            <w:tcW w:w="980" w:type="dxa"/>
            <w:vAlign w:val="bottom"/>
            <w:tcBorders>
              <w:bottom w:val="single" w:sz="8" w:color="auto"/>
            </w:tcBorders>
          </w:tcPr>
          <w:p>
            <w:pPr>
              <w:jc w:val="right"/>
              <w:ind w:right="830"/>
              <w:spacing w:after="0" w:line="159" w:lineRule="exact"/>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ind w:right="10"/>
              <w:spacing w:after="0" w:line="159" w:lineRule="exact"/>
              <w:rPr>
                <w:sz w:val="20"/>
                <w:szCs w:val="20"/>
                <w:color w:val="auto"/>
              </w:rPr>
            </w:pPr>
            <w:r>
              <w:rPr>
                <w:rFonts w:ascii="Arial" w:cs="Arial" w:eastAsia="Arial" w:hAnsi="Arial"/>
                <w:sz w:val="14"/>
                <w:szCs w:val="14"/>
                <w:color w:val="auto"/>
              </w:rPr>
              <w:t>0.10</w:t>
            </w:r>
          </w:p>
        </w:tc>
        <w:tc>
          <w:tcPr>
            <w:tcW w:w="300" w:type="dxa"/>
            <w:vAlign w:val="bottom"/>
          </w:tcPr>
          <w:p>
            <w:pPr>
              <w:spacing w:after="0"/>
              <w:rPr>
                <w:sz w:val="13"/>
                <w:szCs w:val="13"/>
                <w:color w:val="auto"/>
              </w:rPr>
            </w:pPr>
          </w:p>
        </w:tc>
        <w:tc>
          <w:tcPr>
            <w:tcW w:w="260" w:type="dxa"/>
            <w:vAlign w:val="bottom"/>
            <w:tcBorders>
              <w:bottom w:val="single" w:sz="8" w:color="auto"/>
            </w:tcBorders>
          </w:tcPr>
          <w:p>
            <w:pPr>
              <w:jc w:val="right"/>
              <w:ind w:right="110"/>
              <w:spacing w:after="0" w:line="159" w:lineRule="exact"/>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(0.72)</w:t>
            </w:r>
          </w:p>
        </w:tc>
        <w:tc>
          <w:tcPr>
            <w:tcW w:w="300" w:type="dxa"/>
            <w:vAlign w:val="bottom"/>
          </w:tcPr>
          <w:p>
            <w:pPr>
              <w:spacing w:after="0"/>
              <w:rPr>
                <w:sz w:val="13"/>
                <w:szCs w:val="13"/>
                <w:color w:val="auto"/>
              </w:rPr>
            </w:pPr>
          </w:p>
        </w:tc>
        <w:tc>
          <w:tcPr>
            <w:tcW w:w="280" w:type="dxa"/>
            <w:vAlign w:val="bottom"/>
            <w:tcBorders>
              <w:bottom w:val="single" w:sz="8" w:color="auto"/>
            </w:tcBorders>
          </w:tcPr>
          <w:p>
            <w:pPr>
              <w:jc w:val="right"/>
              <w:ind w:right="130"/>
              <w:spacing w:after="0" w:line="159"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0.31</w:t>
            </w:r>
          </w:p>
        </w:tc>
        <w:tc>
          <w:tcPr>
            <w:tcW w:w="300" w:type="dxa"/>
            <w:vAlign w:val="bottom"/>
          </w:tcPr>
          <w:p>
            <w:pPr>
              <w:spacing w:after="0"/>
              <w:rPr>
                <w:sz w:val="13"/>
                <w:szCs w:val="13"/>
                <w:color w:val="auto"/>
              </w:rPr>
            </w:pPr>
          </w:p>
        </w:tc>
        <w:tc>
          <w:tcPr>
            <w:tcW w:w="280" w:type="dxa"/>
            <w:vAlign w:val="bottom"/>
            <w:tcBorders>
              <w:bottom w:val="single" w:sz="8" w:color="auto"/>
            </w:tcBorders>
          </w:tcPr>
          <w:p>
            <w:pPr>
              <w:jc w:val="right"/>
              <w:ind w:right="130"/>
              <w:spacing w:after="0" w:line="159"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(0.50)</w:t>
            </w:r>
          </w:p>
        </w:tc>
        <w:tc>
          <w:tcPr>
            <w:tcW w:w="300" w:type="dxa"/>
            <w:vAlign w:val="bottom"/>
          </w:tcPr>
          <w:p>
            <w:pPr>
              <w:spacing w:after="0"/>
              <w:rPr>
                <w:sz w:val="13"/>
                <w:szCs w:val="13"/>
                <w:color w:val="auto"/>
              </w:rPr>
            </w:pPr>
          </w:p>
        </w:tc>
        <w:tc>
          <w:tcPr>
            <w:tcW w:w="320" w:type="dxa"/>
            <w:vAlign w:val="bottom"/>
            <w:tcBorders>
              <w:bottom w:val="single" w:sz="8" w:color="auto"/>
            </w:tcBorders>
          </w:tcPr>
          <w:p>
            <w:pPr>
              <w:jc w:val="right"/>
              <w:ind w:right="170"/>
              <w:spacing w:after="0" w:line="159"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(0.82)</w:t>
            </w:r>
          </w:p>
        </w:tc>
        <w:tc>
          <w:tcPr>
            <w:tcW w:w="0" w:type="dxa"/>
            <w:vAlign w:val="bottom"/>
          </w:tcPr>
          <w:p>
            <w:pPr>
              <w:spacing w:after="0"/>
              <w:rPr>
                <w:sz w:val="1"/>
                <w:szCs w:val="1"/>
                <w:color w:val="auto"/>
              </w:rPr>
            </w:pP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880" w:type="dxa"/>
            <w:vAlign w:val="bottom"/>
            <w:tcBorders>
              <w:bottom w:val="single" w:sz="8" w:color="CCEEFF"/>
            </w:tcBorders>
            <w:shd w:val="clear" w:color="auto" w:fill="CCEEFF"/>
          </w:tcPr>
          <w:p>
            <w:pPr>
              <w:spacing w:after="0" w:line="177" w:lineRule="exact"/>
              <w:rPr>
                <w:sz w:val="20"/>
                <w:szCs w:val="20"/>
                <w:color w:val="auto"/>
              </w:rPr>
            </w:pPr>
            <w:r>
              <w:rPr>
                <w:rFonts w:ascii="Arial" w:cs="Arial" w:eastAsia="Arial" w:hAnsi="Arial"/>
                <w:sz w:val="14"/>
                <w:szCs w:val="14"/>
                <w:color w:val="auto"/>
              </w:rPr>
              <w:t xml:space="preserve">Diluted earnings (loss) per share </w:t>
            </w:r>
            <w:r>
              <w:rPr>
                <w:rFonts w:ascii="Arial" w:cs="Arial" w:eastAsia="Arial" w:hAnsi="Arial"/>
                <w:sz w:val="18"/>
                <w:szCs w:val="18"/>
                <w:color w:val="auto"/>
                <w:vertAlign w:val="superscript"/>
              </w:rPr>
              <w:t>(1)</w:t>
            </w:r>
          </w:p>
        </w:tc>
        <w:tc>
          <w:tcPr>
            <w:tcW w:w="98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0.09</w:t>
            </w: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(0.72)</w:t>
            </w:r>
          </w:p>
        </w:tc>
        <w:tc>
          <w:tcPr>
            <w:tcW w:w="3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3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(0.50)</w:t>
            </w: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(0.82)</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80" w:type="dxa"/>
            <w:vAlign w:val="bottom"/>
          </w:tcPr>
          <w:p>
            <w:pPr>
              <w:ind w:left="20"/>
              <w:spacing w:after="0"/>
              <w:rPr>
                <w:sz w:val="20"/>
                <w:szCs w:val="20"/>
                <w:color w:val="auto"/>
              </w:rPr>
            </w:pPr>
            <w:r>
              <w:rPr>
                <w:rFonts w:ascii="Arial" w:cs="Arial" w:eastAsia="Arial" w:hAnsi="Arial"/>
                <w:sz w:val="14"/>
                <w:szCs w:val="14"/>
                <w:i w:val="1"/>
                <w:iCs w:val="1"/>
                <w:color w:val="auto"/>
              </w:rPr>
              <w:t>($ in millions, except per share data)</w:t>
            </w:r>
          </w:p>
        </w:tc>
        <w:tc>
          <w:tcPr>
            <w:tcW w:w="10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30"/>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880" w:type="dxa"/>
            <w:vAlign w:val="bottom"/>
          </w:tcPr>
          <w:p>
            <w:pPr>
              <w:spacing w:after="0"/>
              <w:rPr>
                <w:sz w:val="11"/>
                <w:szCs w:val="11"/>
                <w:color w:val="auto"/>
              </w:rPr>
            </w:pPr>
          </w:p>
        </w:tc>
        <w:tc>
          <w:tcPr>
            <w:tcW w:w="1000" w:type="dxa"/>
            <w:vAlign w:val="bottom"/>
          </w:tcPr>
          <w:p>
            <w:pPr>
              <w:jc w:val="right"/>
              <w:ind w:right="70"/>
              <w:spacing w:after="0" w:line="130" w:lineRule="exact"/>
              <w:rPr>
                <w:sz w:val="20"/>
                <w:szCs w:val="20"/>
                <w:color w:val="auto"/>
              </w:rPr>
            </w:pPr>
            <w:r>
              <w:rPr>
                <w:rFonts w:ascii="Arial" w:cs="Arial" w:eastAsia="Arial" w:hAnsi="Arial"/>
                <w:sz w:val="14"/>
                <w:szCs w:val="14"/>
                <w:b w:val="1"/>
                <w:bCs w:val="1"/>
                <w:color w:val="auto"/>
              </w:rPr>
              <w:t>First</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gridSpan w:val="2"/>
          </w:tcPr>
          <w:p>
            <w:pPr>
              <w:jc w:val="center"/>
              <w:ind w:right="580"/>
              <w:spacing w:after="0" w:line="130" w:lineRule="exact"/>
              <w:rPr>
                <w:sz w:val="20"/>
                <w:szCs w:val="20"/>
                <w:color w:val="auto"/>
              </w:rPr>
            </w:pPr>
            <w:r>
              <w:rPr>
                <w:rFonts w:ascii="Arial" w:cs="Arial" w:eastAsia="Arial" w:hAnsi="Arial"/>
                <w:sz w:val="14"/>
                <w:szCs w:val="14"/>
                <w:b w:val="1"/>
                <w:bCs w:val="1"/>
                <w:color w:val="auto"/>
                <w:w w:val="86"/>
              </w:rPr>
              <w:t>Second</w:t>
            </w:r>
          </w:p>
        </w:tc>
        <w:tc>
          <w:tcPr>
            <w:tcW w:w="280" w:type="dxa"/>
            <w:vAlign w:val="bottom"/>
          </w:tcPr>
          <w:p>
            <w:pPr>
              <w:spacing w:after="0"/>
              <w:rPr>
                <w:sz w:val="11"/>
                <w:szCs w:val="11"/>
                <w:color w:val="auto"/>
              </w:rPr>
            </w:pPr>
          </w:p>
        </w:tc>
        <w:tc>
          <w:tcPr>
            <w:tcW w:w="1440" w:type="dxa"/>
            <w:vAlign w:val="bottom"/>
            <w:gridSpan w:val="2"/>
          </w:tcPr>
          <w:p>
            <w:pPr>
              <w:jc w:val="center"/>
              <w:ind w:right="600"/>
              <w:spacing w:after="0" w:line="130" w:lineRule="exact"/>
              <w:rPr>
                <w:sz w:val="20"/>
                <w:szCs w:val="20"/>
                <w:color w:val="auto"/>
              </w:rPr>
            </w:pPr>
            <w:r>
              <w:rPr>
                <w:rFonts w:ascii="Arial" w:cs="Arial" w:eastAsia="Arial" w:hAnsi="Arial"/>
                <w:sz w:val="14"/>
                <w:szCs w:val="14"/>
                <w:b w:val="1"/>
                <w:bCs w:val="1"/>
                <w:color w:val="auto"/>
              </w:rPr>
              <w:t>Third</w:t>
            </w:r>
          </w:p>
        </w:tc>
        <w:tc>
          <w:tcPr>
            <w:tcW w:w="280" w:type="dxa"/>
            <w:vAlign w:val="bottom"/>
          </w:tcPr>
          <w:p>
            <w:pPr>
              <w:spacing w:after="0"/>
              <w:rPr>
                <w:sz w:val="11"/>
                <w:szCs w:val="11"/>
                <w:color w:val="auto"/>
              </w:rPr>
            </w:pPr>
          </w:p>
        </w:tc>
        <w:tc>
          <w:tcPr>
            <w:tcW w:w="1440" w:type="dxa"/>
            <w:vAlign w:val="bottom"/>
            <w:gridSpan w:val="2"/>
          </w:tcPr>
          <w:p>
            <w:pPr>
              <w:jc w:val="center"/>
              <w:ind w:right="580"/>
              <w:spacing w:after="0" w:line="130" w:lineRule="exact"/>
              <w:rPr>
                <w:sz w:val="20"/>
                <w:szCs w:val="20"/>
                <w:color w:val="auto"/>
              </w:rPr>
            </w:pPr>
            <w:r>
              <w:rPr>
                <w:rFonts w:ascii="Arial" w:cs="Arial" w:eastAsia="Arial" w:hAnsi="Arial"/>
                <w:sz w:val="14"/>
                <w:szCs w:val="14"/>
                <w:b w:val="1"/>
                <w:bCs w:val="1"/>
                <w:color w:val="auto"/>
                <w:w w:val="94"/>
              </w:rPr>
              <w:t>Fourth</w:t>
            </w:r>
          </w:p>
        </w:tc>
        <w:tc>
          <w:tcPr>
            <w:tcW w:w="320" w:type="dxa"/>
            <w:vAlign w:val="bottom"/>
          </w:tcPr>
          <w:p>
            <w:pPr>
              <w:spacing w:after="0"/>
              <w:rPr>
                <w:sz w:val="11"/>
                <w:szCs w:val="11"/>
                <w:color w:val="auto"/>
              </w:rPr>
            </w:pPr>
          </w:p>
        </w:tc>
        <w:tc>
          <w:tcPr>
            <w:tcW w:w="1100" w:type="dxa"/>
            <w:vAlign w:val="bottom"/>
          </w:tcPr>
          <w:p>
            <w:pPr>
              <w:jc w:val="right"/>
              <w:ind w:right="470"/>
              <w:spacing w:after="0" w:line="130" w:lineRule="exact"/>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84"/>
        </w:trPr>
        <w:tc>
          <w:tcPr>
            <w:tcW w:w="28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Quarter</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Quarter</w:t>
            </w:r>
          </w:p>
        </w:tc>
        <w:tc>
          <w:tcPr>
            <w:tcW w:w="280" w:type="dxa"/>
            <w:vAlign w:val="bottom"/>
          </w:tcPr>
          <w:p>
            <w:pPr>
              <w:spacing w:after="0"/>
              <w:rPr>
                <w:sz w:val="15"/>
                <w:szCs w:val="15"/>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8"/>
              </w:rPr>
              <w:t>Quarter</w:t>
            </w:r>
          </w:p>
        </w:tc>
        <w:tc>
          <w:tcPr>
            <w:tcW w:w="280" w:type="dxa"/>
            <w:vAlign w:val="bottom"/>
          </w:tcPr>
          <w:p>
            <w:pPr>
              <w:spacing w:after="0"/>
              <w:rPr>
                <w:sz w:val="15"/>
                <w:szCs w:val="15"/>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8"/>
              </w:rPr>
              <w:t>Quarter</w:t>
            </w:r>
          </w:p>
        </w:tc>
        <w:tc>
          <w:tcPr>
            <w:tcW w:w="320" w:type="dxa"/>
            <w:vAlign w:val="bottom"/>
          </w:tcPr>
          <w:p>
            <w:pPr>
              <w:spacing w:after="0"/>
              <w:rPr>
                <w:sz w:val="15"/>
                <w:szCs w:val="15"/>
                <w:color w:val="auto"/>
              </w:rPr>
            </w:pPr>
          </w:p>
        </w:tc>
        <w:tc>
          <w:tcPr>
            <w:tcW w:w="1100" w:type="dxa"/>
            <w:vAlign w:val="bottom"/>
          </w:tcPr>
          <w:p>
            <w:pPr>
              <w:jc w:val="right"/>
              <w:ind w:right="49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200"/>
        </w:trPr>
        <w:tc>
          <w:tcPr>
            <w:tcW w:w="2880" w:type="dxa"/>
            <w:vAlign w:val="bottom"/>
            <w:tcBorders>
              <w:top w:val="single" w:sz="8" w:color="CCEEFF"/>
              <w:bottom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Revenues</w:t>
            </w:r>
          </w:p>
        </w:tc>
        <w:tc>
          <w:tcPr>
            <w:tcW w:w="100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5,012</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5,305</w:t>
            </w: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5,284</w:t>
            </w: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5,371</w:t>
            </w: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20,972</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Operating income</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880" w:type="dxa"/>
            <w:vAlign w:val="bottom"/>
            <w:vMerge w:val="continue"/>
          </w:tcPr>
          <w:p>
            <w:pPr>
              <w:spacing w:after="0"/>
              <w:rPr>
                <w:sz w:val="13"/>
                <w:szCs w:val="13"/>
                <w:color w:val="auto"/>
              </w:rPr>
            </w:pPr>
          </w:p>
        </w:tc>
        <w:tc>
          <w:tcPr>
            <w:tcW w:w="1000" w:type="dxa"/>
            <w:vAlign w:val="bottom"/>
            <w:tcBorders>
              <w:bottom w:val="single" w:sz="8" w:color="auto"/>
            </w:tcBorders>
          </w:tcPr>
          <w:p>
            <w:pPr>
              <w:jc w:val="right"/>
              <w:ind w:right="830"/>
              <w:spacing w:after="0" w:line="157"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510</w:t>
            </w:r>
          </w:p>
        </w:tc>
        <w:tc>
          <w:tcPr>
            <w:tcW w:w="320" w:type="dxa"/>
            <w:vAlign w:val="bottom"/>
          </w:tcPr>
          <w:p>
            <w:pPr>
              <w:spacing w:after="0"/>
              <w:rPr>
                <w:sz w:val="13"/>
                <w:szCs w:val="13"/>
                <w:color w:val="auto"/>
              </w:rPr>
            </w:pPr>
          </w:p>
        </w:tc>
        <w:tc>
          <w:tcPr>
            <w:tcW w:w="260" w:type="dxa"/>
            <w:vAlign w:val="bottom"/>
            <w:tcBorders>
              <w:bottom w:val="single" w:sz="8" w:color="auto"/>
            </w:tcBorders>
          </w:tcPr>
          <w:p>
            <w:pPr>
              <w:jc w:val="right"/>
              <w:ind w:right="110"/>
              <w:spacing w:after="0" w:line="157" w:lineRule="exact"/>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409</w:t>
            </w:r>
          </w:p>
        </w:tc>
        <w:tc>
          <w:tcPr>
            <w:tcW w:w="300" w:type="dxa"/>
            <w:vAlign w:val="bottom"/>
          </w:tcPr>
          <w:p>
            <w:pPr>
              <w:spacing w:after="0"/>
              <w:rPr>
                <w:sz w:val="13"/>
                <w:szCs w:val="13"/>
                <w:color w:val="auto"/>
              </w:rPr>
            </w:pPr>
          </w:p>
        </w:tc>
        <w:tc>
          <w:tcPr>
            <w:tcW w:w="280" w:type="dxa"/>
            <w:vAlign w:val="bottom"/>
            <w:tcBorders>
              <w:bottom w:val="single" w:sz="8" w:color="auto"/>
            </w:tcBorders>
          </w:tcPr>
          <w:p>
            <w:pPr>
              <w:jc w:val="right"/>
              <w:ind w:right="130"/>
              <w:spacing w:after="0" w:line="157"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607</w:t>
            </w:r>
          </w:p>
        </w:tc>
        <w:tc>
          <w:tcPr>
            <w:tcW w:w="300" w:type="dxa"/>
            <w:vAlign w:val="bottom"/>
          </w:tcPr>
          <w:p>
            <w:pPr>
              <w:spacing w:after="0"/>
              <w:rPr>
                <w:sz w:val="13"/>
                <w:szCs w:val="13"/>
                <w:color w:val="auto"/>
              </w:rPr>
            </w:pPr>
          </w:p>
        </w:tc>
        <w:tc>
          <w:tcPr>
            <w:tcW w:w="280" w:type="dxa"/>
            <w:vAlign w:val="bottom"/>
            <w:tcBorders>
              <w:bottom w:val="single" w:sz="8" w:color="auto"/>
            </w:tcBorders>
          </w:tcPr>
          <w:p>
            <w:pPr>
              <w:jc w:val="right"/>
              <w:ind w:right="130"/>
              <w:spacing w:after="0" w:line="157"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274</w:t>
            </w:r>
          </w:p>
        </w:tc>
        <w:tc>
          <w:tcPr>
            <w:tcW w:w="300" w:type="dxa"/>
            <w:vAlign w:val="bottom"/>
          </w:tcPr>
          <w:p>
            <w:pPr>
              <w:spacing w:after="0"/>
              <w:rPr>
                <w:sz w:val="13"/>
                <w:szCs w:val="13"/>
                <w:color w:val="auto"/>
              </w:rPr>
            </w:pPr>
          </w:p>
        </w:tc>
        <w:tc>
          <w:tcPr>
            <w:tcW w:w="320" w:type="dxa"/>
            <w:vAlign w:val="bottom"/>
            <w:tcBorders>
              <w:bottom w:val="single" w:sz="8" w:color="auto"/>
            </w:tcBorders>
          </w:tcPr>
          <w:p>
            <w:pPr>
              <w:jc w:val="right"/>
              <w:ind w:right="170"/>
              <w:spacing w:after="0" w:line="157"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1,800</w:t>
            </w:r>
          </w:p>
        </w:tc>
        <w:tc>
          <w:tcPr>
            <w:tcW w:w="0" w:type="dxa"/>
            <w:vAlign w:val="bottom"/>
          </w:tcPr>
          <w:p>
            <w:pPr>
              <w:spacing w:after="0"/>
              <w:rPr>
                <w:sz w:val="1"/>
                <w:szCs w:val="1"/>
                <w:color w:val="auto"/>
              </w:rPr>
            </w:pP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880" w:type="dxa"/>
            <w:vAlign w:val="bottom"/>
            <w:tcBorders>
              <w:bottom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Net income</w:t>
            </w:r>
          </w:p>
        </w:tc>
        <w:tc>
          <w:tcPr>
            <w:tcW w:w="100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3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3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1,273</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vMerge w:val="restart"/>
          </w:tcPr>
          <w:p>
            <w:pPr>
              <w:ind w:left="20"/>
              <w:spacing w:after="0" w:line="200" w:lineRule="exact"/>
              <w:rPr>
                <w:sz w:val="20"/>
                <w:szCs w:val="20"/>
                <w:color w:val="auto"/>
              </w:rPr>
            </w:pPr>
            <w:r>
              <w:rPr>
                <w:rFonts w:ascii="Arial" w:cs="Arial" w:eastAsia="Arial" w:hAnsi="Arial"/>
                <w:sz w:val="14"/>
                <w:szCs w:val="14"/>
                <w:color w:val="auto"/>
              </w:rPr>
              <w:t xml:space="preserve">Basic earnings per share </w:t>
            </w:r>
            <w:r>
              <w:rPr>
                <w:rFonts w:ascii="Arial" w:cs="Arial" w:eastAsia="Arial" w:hAnsi="Arial"/>
                <w:sz w:val="18"/>
                <w:szCs w:val="18"/>
                <w:color w:val="auto"/>
                <w:vertAlign w:val="superscript"/>
              </w:rPr>
              <w:t>(1)</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880" w:type="dxa"/>
            <w:vAlign w:val="bottom"/>
            <w:vMerge w:val="continue"/>
          </w:tcPr>
          <w:p>
            <w:pPr>
              <w:spacing w:after="0"/>
              <w:rPr>
                <w:sz w:val="13"/>
                <w:szCs w:val="13"/>
                <w:color w:val="auto"/>
              </w:rPr>
            </w:pPr>
          </w:p>
        </w:tc>
        <w:tc>
          <w:tcPr>
            <w:tcW w:w="1000" w:type="dxa"/>
            <w:vAlign w:val="bottom"/>
            <w:tcBorders>
              <w:bottom w:val="single" w:sz="8" w:color="auto"/>
            </w:tcBorders>
          </w:tcPr>
          <w:p>
            <w:pPr>
              <w:jc w:val="right"/>
              <w:ind w:right="830"/>
              <w:spacing w:after="0" w:line="15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1.10</w:t>
            </w:r>
          </w:p>
        </w:tc>
        <w:tc>
          <w:tcPr>
            <w:tcW w:w="320" w:type="dxa"/>
            <w:vAlign w:val="bottom"/>
          </w:tcPr>
          <w:p>
            <w:pPr>
              <w:spacing w:after="0"/>
              <w:rPr>
                <w:sz w:val="13"/>
                <w:szCs w:val="13"/>
                <w:color w:val="auto"/>
              </w:rPr>
            </w:pPr>
          </w:p>
        </w:tc>
        <w:tc>
          <w:tcPr>
            <w:tcW w:w="260" w:type="dxa"/>
            <w:vAlign w:val="bottom"/>
            <w:tcBorders>
              <w:bottom w:val="single" w:sz="8" w:color="auto"/>
            </w:tcBorders>
          </w:tcPr>
          <w:p>
            <w:pPr>
              <w:jc w:val="right"/>
              <w:ind w:right="110"/>
              <w:spacing w:after="0" w:line="159" w:lineRule="exact"/>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0.70</w:t>
            </w:r>
          </w:p>
        </w:tc>
        <w:tc>
          <w:tcPr>
            <w:tcW w:w="300" w:type="dxa"/>
            <w:vAlign w:val="bottom"/>
          </w:tcPr>
          <w:p>
            <w:pPr>
              <w:spacing w:after="0"/>
              <w:rPr>
                <w:sz w:val="13"/>
                <w:szCs w:val="13"/>
                <w:color w:val="auto"/>
              </w:rPr>
            </w:pPr>
          </w:p>
        </w:tc>
        <w:tc>
          <w:tcPr>
            <w:tcW w:w="280" w:type="dxa"/>
            <w:vAlign w:val="bottom"/>
            <w:tcBorders>
              <w:bottom w:val="single" w:sz="8" w:color="auto"/>
            </w:tcBorders>
          </w:tcPr>
          <w:p>
            <w:pPr>
              <w:jc w:val="right"/>
              <w:ind w:right="130"/>
              <w:spacing w:after="0" w:line="159"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1.17</w:t>
            </w:r>
          </w:p>
        </w:tc>
        <w:tc>
          <w:tcPr>
            <w:tcW w:w="300" w:type="dxa"/>
            <w:vAlign w:val="bottom"/>
          </w:tcPr>
          <w:p>
            <w:pPr>
              <w:spacing w:after="0"/>
              <w:rPr>
                <w:sz w:val="13"/>
                <w:szCs w:val="13"/>
                <w:color w:val="auto"/>
              </w:rPr>
            </w:pPr>
          </w:p>
        </w:tc>
        <w:tc>
          <w:tcPr>
            <w:tcW w:w="280" w:type="dxa"/>
            <w:vAlign w:val="bottom"/>
            <w:tcBorders>
              <w:bottom w:val="single" w:sz="8" w:color="auto"/>
            </w:tcBorders>
          </w:tcPr>
          <w:p>
            <w:pPr>
              <w:jc w:val="right"/>
              <w:ind w:right="130"/>
              <w:spacing w:after="0" w:line="159"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0.85</w:t>
            </w:r>
          </w:p>
        </w:tc>
        <w:tc>
          <w:tcPr>
            <w:tcW w:w="300" w:type="dxa"/>
            <w:vAlign w:val="bottom"/>
          </w:tcPr>
          <w:p>
            <w:pPr>
              <w:spacing w:after="0"/>
              <w:rPr>
                <w:sz w:val="13"/>
                <w:szCs w:val="13"/>
                <w:color w:val="auto"/>
              </w:rPr>
            </w:pPr>
          </w:p>
        </w:tc>
        <w:tc>
          <w:tcPr>
            <w:tcW w:w="320" w:type="dxa"/>
            <w:vAlign w:val="bottom"/>
            <w:tcBorders>
              <w:bottom w:val="single" w:sz="8" w:color="auto"/>
            </w:tcBorders>
          </w:tcPr>
          <w:p>
            <w:pPr>
              <w:jc w:val="right"/>
              <w:ind w:right="170"/>
              <w:spacing w:after="0" w:line="159"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88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4"/>
                <w:szCs w:val="14"/>
                <w:color w:val="auto"/>
              </w:rPr>
              <w:t xml:space="preserve">Diluted earnings per share </w:t>
            </w:r>
            <w:r>
              <w:rPr>
                <w:rFonts w:ascii="Arial" w:cs="Arial" w:eastAsia="Arial" w:hAnsi="Arial"/>
                <w:sz w:val="18"/>
                <w:szCs w:val="18"/>
                <w:color w:val="auto"/>
                <w:vertAlign w:val="superscript"/>
              </w:rPr>
              <w:t>(1)</w:t>
            </w:r>
          </w:p>
        </w:tc>
        <w:tc>
          <w:tcPr>
            <w:tcW w:w="100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0.69</w:t>
            </w:r>
          </w:p>
        </w:tc>
        <w:tc>
          <w:tcPr>
            <w:tcW w:w="3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3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0.85</w:t>
            </w: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300" w:hanging="295"/>
        <w:spacing w:after="0"/>
        <w:tabs>
          <w:tab w:leader="none" w:pos="300" w:val="left"/>
        </w:tabs>
        <w:numPr>
          <w:ilvl w:val="0"/>
          <w:numId w:val="27"/>
        </w:numPr>
        <w:rPr>
          <w:rFonts w:ascii="Arial" w:cs="Arial" w:eastAsia="Arial" w:hAnsi="Arial"/>
          <w:sz w:val="22"/>
          <w:szCs w:val="22"/>
          <w:color w:val="auto"/>
          <w:vertAlign w:val="superscript"/>
        </w:rPr>
      </w:pPr>
      <w:r>
        <w:rPr>
          <w:rFonts w:ascii="Arial" w:cs="Arial" w:eastAsia="Arial" w:hAnsi="Arial"/>
          <w:sz w:val="13"/>
          <w:szCs w:val="13"/>
          <w:color w:val="auto"/>
        </w:rPr>
        <w:t>The sum of the earnings per share for the four quarters may differ from annual earnings per share due to the required method of computing the weighted average shares in interim periods.</w:t>
      </w:r>
    </w:p>
    <w:p>
      <w:pPr>
        <w:spacing w:after="0" w:line="13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5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61" w:lineRule="exact"/>
        <w:rPr>
          <w:sz w:val="20"/>
          <w:szCs w:val="20"/>
          <w:color w:val="auto"/>
        </w:rPr>
      </w:pPr>
    </w:p>
    <w:p>
      <w:pPr>
        <w:ind w:firstLine="395"/>
        <w:spacing w:after="0" w:line="279" w:lineRule="auto"/>
        <w:rPr>
          <w:sz w:val="20"/>
          <w:szCs w:val="20"/>
          <w:color w:val="auto"/>
        </w:rPr>
      </w:pPr>
      <w:r>
        <w:rPr>
          <w:rFonts w:ascii="Arial" w:cs="Arial" w:eastAsia="Arial" w:hAnsi="Arial"/>
          <w:sz w:val="16"/>
          <w:szCs w:val="16"/>
          <w:color w:val="auto"/>
        </w:rPr>
        <w:t>We evaluated the effectiveness of our disclosure controls and procedures (as such term is defined in Rules 13a-15(e) and 15d-15(e) of the Securities Exchange Act of 1934 (the “Exchange Act”)) as of the end of the period covered by this annual report under the supervision and with the participation of our management, including our Acting Co-Principal Executive Officers and Chief Financial Officer. Management necessarily applied its judgment in assessing the costs and benefits of those controls and procedures, which by their nature, can provide only reasonable assurance about management’s control objectives.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this evaluation, our Acting Co-Principal Executive Officers and Chief Financial Officer concluded that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Acting Co-Principal Executive Officers and Chief Financial Officer, as appropriate to allow timely decisions about required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161" w:lineRule="exact"/>
        <w:rPr>
          <w:sz w:val="20"/>
          <w:szCs w:val="20"/>
          <w:color w:val="auto"/>
        </w:rPr>
      </w:pPr>
    </w:p>
    <w:p>
      <w:pPr>
        <w:ind w:right="580" w:firstLine="395"/>
        <w:spacing w:after="0" w:line="324" w:lineRule="auto"/>
        <w:rPr>
          <w:sz w:val="20"/>
          <w:szCs w:val="20"/>
          <w:color w:val="auto"/>
        </w:rPr>
      </w:pPr>
      <w:r>
        <w:rPr>
          <w:rFonts w:ascii="Arial" w:cs="Arial" w:eastAsia="Arial" w:hAnsi="Arial"/>
          <w:sz w:val="16"/>
          <w:szCs w:val="16"/>
          <w:color w:val="auto"/>
        </w:rPr>
        <w:t>We have set forth management’s report on internal control over financial reporting and the attestation report of our independent registered public accounting firm on our internal control over financial reporting in Part II, Item 8 of this Form 10-K, and we incorporate those reports here by reference.</w:t>
      </w:r>
    </w:p>
    <w:p>
      <w:pPr>
        <w:spacing w:after="0" w:line="82" w:lineRule="exact"/>
        <w:rPr>
          <w:sz w:val="20"/>
          <w:szCs w:val="20"/>
          <w:color w:val="auto"/>
        </w:rPr>
      </w:pPr>
    </w:p>
    <w:p>
      <w:pPr>
        <w:ind w:right="400" w:firstLine="395"/>
        <w:spacing w:after="0" w:line="261" w:lineRule="auto"/>
        <w:rPr>
          <w:sz w:val="20"/>
          <w:szCs w:val="20"/>
          <w:color w:val="auto"/>
        </w:rPr>
      </w:pPr>
      <w:r>
        <w:rPr>
          <w:rFonts w:ascii="Arial" w:cs="Arial" w:eastAsia="Arial" w:hAnsi="Arial"/>
          <w:sz w:val="18"/>
          <w:szCs w:val="18"/>
          <w:color w:val="auto"/>
        </w:rPr>
        <w:t>We made no changes in internal control over financial reporting during the fourth quarter of 2020 that materially affected, or are reasonably likely to materially affect, our internal control over financial reporting.</w:t>
      </w:r>
    </w:p>
    <w:p>
      <w:pPr>
        <w:spacing w:after="0" w:line="12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 11, 12, 13, 14.</w:t>
      </w:r>
    </w:p>
    <w:p>
      <w:pPr>
        <w:spacing w:after="0" w:line="167" w:lineRule="exact"/>
        <w:rPr>
          <w:sz w:val="20"/>
          <w:szCs w:val="20"/>
          <w:color w:val="auto"/>
        </w:rPr>
      </w:pPr>
    </w:p>
    <w:p>
      <w:pPr>
        <w:ind w:right="120" w:firstLine="434"/>
        <w:spacing w:after="0" w:line="261" w:lineRule="auto"/>
        <w:rPr>
          <w:sz w:val="20"/>
          <w:szCs w:val="20"/>
          <w:color w:val="auto"/>
        </w:rPr>
      </w:pPr>
      <w:r>
        <w:rPr>
          <w:rFonts w:ascii="Arial" w:cs="Arial" w:eastAsia="Arial" w:hAnsi="Arial"/>
          <w:sz w:val="18"/>
          <w:szCs w:val="18"/>
          <w:color w:val="auto"/>
        </w:rPr>
        <w:t>As described below, we incorporate by reference in this Annual Report on Form 10-K certain information appearing in the Proxy Statement that we will furnish to our stockholders for our 2021 Annual Meeting of Stockholders.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tcPr>
          <w:p>
            <w:pPr>
              <w:ind w:left="20"/>
              <w:spacing w:after="0"/>
              <w:rPr>
                <w:sz w:val="20"/>
                <w:szCs w:val="20"/>
                <w:color w:val="auto"/>
              </w:rPr>
            </w:pPr>
            <w:r>
              <w:rPr>
                <w:rFonts w:ascii="Arial" w:cs="Arial" w:eastAsia="Arial" w:hAnsi="Arial"/>
                <w:sz w:val="18"/>
                <w:szCs w:val="18"/>
                <w:b w:val="1"/>
                <w:bCs w:val="1"/>
                <w:color w:val="auto"/>
                <w:w w:val="95"/>
              </w:rPr>
              <w:t>Item 10. Directors, Executive Officers, and Corporate Governance.</w:t>
            </w:r>
          </w:p>
        </w:tc>
        <w:tc>
          <w:tcPr>
            <w:tcW w:w="5820" w:type="dxa"/>
            <w:vAlign w:val="bottom"/>
          </w:tcPr>
          <w:p>
            <w:pPr>
              <w:ind w:left="200"/>
              <w:spacing w:after="0"/>
              <w:rPr>
                <w:sz w:val="20"/>
                <w:szCs w:val="20"/>
                <w:color w:val="auto"/>
              </w:rPr>
            </w:pPr>
            <w:r>
              <w:rPr>
                <w:rFonts w:ascii="Arial" w:cs="Arial" w:eastAsia="Arial" w:hAnsi="Arial"/>
                <w:sz w:val="18"/>
                <w:szCs w:val="18"/>
                <w:color w:val="auto"/>
                <w:w w:val="94"/>
              </w:rPr>
              <w:t>We incorporate this information by reference to “Nominees to our Board of</w:t>
            </w:r>
          </w:p>
        </w:tc>
      </w:tr>
      <w:tr>
        <w:trPr>
          <w:trHeight w:val="171"/>
        </w:trPr>
        <w:tc>
          <w:tcPr>
            <w:tcW w:w="5420" w:type="dxa"/>
            <w:vAlign w:val="bottom"/>
          </w:tcPr>
          <w:p>
            <w:pPr>
              <w:spacing w:after="0"/>
              <w:rPr>
                <w:sz w:val="14"/>
                <w:szCs w:val="14"/>
                <w:color w:val="auto"/>
              </w:rPr>
            </w:pPr>
          </w:p>
        </w:tc>
        <w:tc>
          <w:tcPr>
            <w:tcW w:w="5820" w:type="dxa"/>
            <w:vAlign w:val="bottom"/>
          </w:tcPr>
          <w:p>
            <w:pPr>
              <w:ind w:left="200"/>
              <w:spacing w:after="0" w:line="171" w:lineRule="exact"/>
              <w:rPr>
                <w:sz w:val="20"/>
                <w:szCs w:val="20"/>
                <w:color w:val="auto"/>
              </w:rPr>
            </w:pPr>
            <w:r>
              <w:rPr>
                <w:rFonts w:ascii="Arial" w:cs="Arial" w:eastAsia="Arial" w:hAnsi="Arial"/>
                <w:sz w:val="18"/>
                <w:szCs w:val="18"/>
                <w:color w:val="auto"/>
                <w:w w:val="96"/>
              </w:rPr>
              <w:t>Directors,” “Committees of the Board — Audit Committee,” “Transactions</w:t>
            </w:r>
          </w:p>
        </w:tc>
      </w:tr>
      <w:tr>
        <w:trPr>
          <w:trHeight w:val="171"/>
        </w:trPr>
        <w:tc>
          <w:tcPr>
            <w:tcW w:w="5420" w:type="dxa"/>
            <w:vAlign w:val="bottom"/>
          </w:tcPr>
          <w:p>
            <w:pPr>
              <w:spacing w:after="0"/>
              <w:rPr>
                <w:sz w:val="14"/>
                <w:szCs w:val="14"/>
                <w:color w:val="auto"/>
              </w:rPr>
            </w:pPr>
          </w:p>
        </w:tc>
        <w:tc>
          <w:tcPr>
            <w:tcW w:w="5820" w:type="dxa"/>
            <w:vAlign w:val="bottom"/>
          </w:tcPr>
          <w:p>
            <w:pPr>
              <w:ind w:left="200"/>
              <w:spacing w:after="0" w:line="171" w:lineRule="exact"/>
              <w:rPr>
                <w:sz w:val="20"/>
                <w:szCs w:val="20"/>
                <w:color w:val="auto"/>
              </w:rPr>
            </w:pPr>
            <w:r>
              <w:rPr>
                <w:rFonts w:ascii="Arial" w:cs="Arial" w:eastAsia="Arial" w:hAnsi="Arial"/>
                <w:sz w:val="18"/>
                <w:szCs w:val="18"/>
                <w:color w:val="auto"/>
                <w:w w:val="91"/>
              </w:rPr>
              <w:t>with Related Persons,” “Delinquent Section 16(a) Reports,” and “Selection of</w:t>
            </w:r>
          </w:p>
        </w:tc>
      </w:tr>
      <w:tr>
        <w:trPr>
          <w:trHeight w:val="171"/>
        </w:trPr>
        <w:tc>
          <w:tcPr>
            <w:tcW w:w="5420" w:type="dxa"/>
            <w:vAlign w:val="bottom"/>
          </w:tcPr>
          <w:p>
            <w:pPr>
              <w:spacing w:after="0"/>
              <w:rPr>
                <w:sz w:val="14"/>
                <w:szCs w:val="14"/>
                <w:color w:val="auto"/>
              </w:rPr>
            </w:pPr>
          </w:p>
        </w:tc>
        <w:tc>
          <w:tcPr>
            <w:tcW w:w="5820" w:type="dxa"/>
            <w:vAlign w:val="bottom"/>
          </w:tcPr>
          <w:p>
            <w:pPr>
              <w:ind w:left="200"/>
              <w:spacing w:after="0" w:line="171" w:lineRule="exact"/>
              <w:rPr>
                <w:sz w:val="20"/>
                <w:szCs w:val="20"/>
                <w:color w:val="auto"/>
              </w:rPr>
            </w:pPr>
            <w:r>
              <w:rPr>
                <w:rFonts w:ascii="Arial" w:cs="Arial" w:eastAsia="Arial" w:hAnsi="Arial"/>
                <w:sz w:val="18"/>
                <w:szCs w:val="18"/>
                <w:color w:val="auto"/>
                <w:w w:val="98"/>
              </w:rPr>
              <w:t>Director Nominees” sections of our Proxy Statement. We have included</w:t>
            </w:r>
          </w:p>
        </w:tc>
      </w:tr>
      <w:tr>
        <w:trPr>
          <w:trHeight w:val="222"/>
        </w:trPr>
        <w:tc>
          <w:tcPr>
            <w:tcW w:w="5420" w:type="dxa"/>
            <w:vAlign w:val="bottom"/>
          </w:tcPr>
          <w:p>
            <w:pPr>
              <w:spacing w:after="0"/>
              <w:rPr>
                <w:sz w:val="19"/>
                <w:szCs w:val="19"/>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w w:val="94"/>
              </w:rPr>
              <w:t>information regarding our executive officers and our Code of Ethics below.</w:t>
            </w: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Item 11. Executive Compensation.</w:t>
            </w:r>
          </w:p>
        </w:tc>
        <w:tc>
          <w:tcPr>
            <w:tcW w:w="5820" w:type="dxa"/>
            <w:vAlign w:val="bottom"/>
          </w:tcPr>
          <w:p>
            <w:pPr>
              <w:ind w:left="200"/>
              <w:spacing w:after="0"/>
              <w:rPr>
                <w:sz w:val="20"/>
                <w:szCs w:val="20"/>
                <w:color w:val="auto"/>
              </w:rPr>
            </w:pPr>
            <w:r>
              <w:rPr>
                <w:rFonts w:ascii="Arial" w:cs="Arial" w:eastAsia="Arial" w:hAnsi="Arial"/>
                <w:sz w:val="18"/>
                <w:szCs w:val="18"/>
                <w:color w:val="auto"/>
                <w:w w:val="93"/>
              </w:rPr>
              <w:t>We incorporate this information by reference to the “Executive and Director</w:t>
            </w:r>
          </w:p>
        </w:tc>
      </w:tr>
      <w:tr>
        <w:trPr>
          <w:trHeight w:val="171"/>
        </w:trPr>
        <w:tc>
          <w:tcPr>
            <w:tcW w:w="5420" w:type="dxa"/>
            <w:vAlign w:val="bottom"/>
          </w:tcPr>
          <w:p>
            <w:pPr>
              <w:spacing w:after="0"/>
              <w:rPr>
                <w:sz w:val="14"/>
                <w:szCs w:val="14"/>
                <w:color w:val="auto"/>
              </w:rPr>
            </w:pPr>
          </w:p>
        </w:tc>
        <w:tc>
          <w:tcPr>
            <w:tcW w:w="5820" w:type="dxa"/>
            <w:vAlign w:val="bottom"/>
          </w:tcPr>
          <w:p>
            <w:pPr>
              <w:ind w:left="200"/>
              <w:spacing w:after="0" w:line="171" w:lineRule="exact"/>
              <w:rPr>
                <w:sz w:val="20"/>
                <w:szCs w:val="20"/>
                <w:color w:val="auto"/>
              </w:rPr>
            </w:pPr>
            <w:r>
              <w:rPr>
                <w:rFonts w:ascii="Arial" w:cs="Arial" w:eastAsia="Arial" w:hAnsi="Arial"/>
                <w:sz w:val="18"/>
                <w:szCs w:val="18"/>
                <w:color w:val="auto"/>
              </w:rPr>
              <w:t>Compensation” and “Compensation Committee Interlocks and Insider</w:t>
            </w:r>
          </w:p>
        </w:tc>
      </w:tr>
      <w:tr>
        <w:trPr>
          <w:trHeight w:val="222"/>
        </w:trPr>
        <w:tc>
          <w:tcPr>
            <w:tcW w:w="5420" w:type="dxa"/>
            <w:vAlign w:val="bottom"/>
          </w:tcPr>
          <w:p>
            <w:pPr>
              <w:spacing w:after="0"/>
              <w:rPr>
                <w:sz w:val="19"/>
                <w:szCs w:val="19"/>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Participation” sections of our Proxy Statement.</w:t>
            </w:r>
          </w:p>
        </w:tc>
      </w:tr>
      <w:tr>
        <w:trPr>
          <w:trHeight w:val="224"/>
        </w:trPr>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Item 12. Security Ownership of Certain Beneficial Owners and</w:t>
            </w:r>
          </w:p>
        </w:tc>
        <w:tc>
          <w:tcPr>
            <w:tcW w:w="5820" w:type="dxa"/>
            <w:vAlign w:val="bottom"/>
          </w:tcPr>
          <w:p>
            <w:pPr>
              <w:ind w:left="200"/>
              <w:spacing w:after="0"/>
              <w:rPr>
                <w:sz w:val="20"/>
                <w:szCs w:val="20"/>
                <w:color w:val="auto"/>
              </w:rPr>
            </w:pPr>
            <w:r>
              <w:rPr>
                <w:rFonts w:ascii="Arial" w:cs="Arial" w:eastAsia="Arial" w:hAnsi="Arial"/>
                <w:sz w:val="18"/>
                <w:szCs w:val="18"/>
                <w:color w:val="auto"/>
                <w:w w:val="91"/>
              </w:rPr>
              <w:t>We incorporate this information by reference to the “Securities Authorized for</w:t>
            </w:r>
          </w:p>
        </w:tc>
      </w:tr>
      <w:tr>
        <w:trPr>
          <w:trHeight w:val="172"/>
        </w:trPr>
        <w:tc>
          <w:tcPr>
            <w:tcW w:w="5420" w:type="dxa"/>
            <w:vAlign w:val="bottom"/>
          </w:tcPr>
          <w:p>
            <w:pPr>
              <w:ind w:left="20"/>
              <w:spacing w:after="0" w:line="172" w:lineRule="exact"/>
              <w:rPr>
                <w:sz w:val="20"/>
                <w:szCs w:val="20"/>
                <w:color w:val="auto"/>
              </w:rPr>
            </w:pPr>
            <w:r>
              <w:rPr>
                <w:rFonts w:ascii="Arial" w:cs="Arial" w:eastAsia="Arial" w:hAnsi="Arial"/>
                <w:sz w:val="18"/>
                <w:szCs w:val="18"/>
                <w:b w:val="1"/>
                <w:bCs w:val="1"/>
                <w:color w:val="auto"/>
              </w:rPr>
              <w:t>Management and Related Stockholder Matters.</w:t>
            </w:r>
          </w:p>
        </w:tc>
        <w:tc>
          <w:tcPr>
            <w:tcW w:w="5820" w:type="dxa"/>
            <w:vAlign w:val="bottom"/>
          </w:tcPr>
          <w:p>
            <w:pPr>
              <w:ind w:left="200"/>
              <w:spacing w:after="0" w:line="172" w:lineRule="exact"/>
              <w:rPr>
                <w:sz w:val="20"/>
                <w:szCs w:val="20"/>
                <w:color w:val="auto"/>
              </w:rPr>
            </w:pPr>
            <w:r>
              <w:rPr>
                <w:rFonts w:ascii="Arial" w:cs="Arial" w:eastAsia="Arial" w:hAnsi="Arial"/>
                <w:sz w:val="18"/>
                <w:szCs w:val="18"/>
                <w:color w:val="auto"/>
                <w:w w:val="97"/>
              </w:rPr>
              <w:t>Issuance Under Equity Compensation Plans” and the “Stock Ownership”</w:t>
            </w:r>
          </w:p>
        </w:tc>
      </w:tr>
      <w:tr>
        <w:trPr>
          <w:trHeight w:val="222"/>
        </w:trPr>
        <w:tc>
          <w:tcPr>
            <w:tcW w:w="5420" w:type="dxa"/>
            <w:vAlign w:val="bottom"/>
          </w:tcPr>
          <w:p>
            <w:pPr>
              <w:spacing w:after="0"/>
              <w:rPr>
                <w:sz w:val="19"/>
                <w:szCs w:val="19"/>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sections of our Proxy Statement.</w:t>
            </w:r>
          </w:p>
        </w:tc>
      </w:tr>
      <w:tr>
        <w:trPr>
          <w:trHeight w:val="224"/>
        </w:trPr>
        <w:tc>
          <w:tcPr>
            <w:tcW w:w="5420" w:type="dxa"/>
            <w:vAlign w:val="bottom"/>
          </w:tcPr>
          <w:p>
            <w:pPr>
              <w:ind w:left="20"/>
              <w:spacing w:after="0"/>
              <w:rPr>
                <w:sz w:val="20"/>
                <w:szCs w:val="20"/>
                <w:color w:val="auto"/>
              </w:rPr>
            </w:pPr>
            <w:r>
              <w:rPr>
                <w:rFonts w:ascii="Arial" w:cs="Arial" w:eastAsia="Arial" w:hAnsi="Arial"/>
                <w:sz w:val="18"/>
                <w:szCs w:val="18"/>
                <w:b w:val="1"/>
                <w:bCs w:val="1"/>
                <w:color w:val="auto"/>
                <w:w w:val="90"/>
              </w:rPr>
              <w:t>Item 13. Certain Relationships and Related Transactions, and Director</w:t>
            </w:r>
          </w:p>
        </w:tc>
        <w:tc>
          <w:tcPr>
            <w:tcW w:w="5820" w:type="dxa"/>
            <w:vAlign w:val="bottom"/>
          </w:tcPr>
          <w:p>
            <w:pPr>
              <w:ind w:left="200"/>
              <w:spacing w:after="0"/>
              <w:rPr>
                <w:sz w:val="20"/>
                <w:szCs w:val="20"/>
                <w:color w:val="auto"/>
              </w:rPr>
            </w:pPr>
            <w:r>
              <w:rPr>
                <w:rFonts w:ascii="Arial" w:cs="Arial" w:eastAsia="Arial" w:hAnsi="Arial"/>
                <w:sz w:val="18"/>
                <w:szCs w:val="18"/>
                <w:color w:val="auto"/>
                <w:w w:val="89"/>
              </w:rPr>
              <w:t>We incorporate this information by reference to the “Transactions with Related</w:t>
            </w:r>
          </w:p>
        </w:tc>
      </w:tr>
      <w:tr>
        <w:trPr>
          <w:trHeight w:val="228"/>
        </w:trPr>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Independence.</w:t>
            </w:r>
          </w:p>
        </w:tc>
        <w:tc>
          <w:tcPr>
            <w:tcW w:w="5820" w:type="dxa"/>
            <w:vAlign w:val="bottom"/>
          </w:tcPr>
          <w:p>
            <w:pPr>
              <w:ind w:left="200"/>
              <w:spacing w:after="0"/>
              <w:rPr>
                <w:sz w:val="20"/>
                <w:szCs w:val="20"/>
                <w:color w:val="auto"/>
              </w:rPr>
            </w:pPr>
            <w:r>
              <w:rPr>
                <w:rFonts w:ascii="Arial" w:cs="Arial" w:eastAsia="Arial" w:hAnsi="Arial"/>
                <w:sz w:val="18"/>
                <w:szCs w:val="18"/>
                <w:color w:val="auto"/>
                <w:w w:val="98"/>
              </w:rPr>
              <w:t>Persons” and “Director Independence” sections of our Proxy Statement.</w:t>
            </w:r>
          </w:p>
        </w:tc>
      </w:tr>
      <w:tr>
        <w:trPr>
          <w:trHeight w:val="220"/>
        </w:trPr>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Item 14. Principal Accountant Fees and Services.</w:t>
            </w:r>
          </w:p>
        </w:tc>
        <w:tc>
          <w:tcPr>
            <w:tcW w:w="5820" w:type="dxa"/>
            <w:vAlign w:val="bottom"/>
          </w:tcPr>
          <w:p>
            <w:pPr>
              <w:ind w:left="200"/>
              <w:spacing w:after="0"/>
              <w:rPr>
                <w:sz w:val="20"/>
                <w:szCs w:val="20"/>
                <w:color w:val="auto"/>
              </w:rPr>
            </w:pPr>
            <w:r>
              <w:rPr>
                <w:rFonts w:ascii="Arial" w:cs="Arial" w:eastAsia="Arial" w:hAnsi="Arial"/>
                <w:sz w:val="18"/>
                <w:szCs w:val="18"/>
                <w:color w:val="auto"/>
                <w:w w:val="92"/>
              </w:rPr>
              <w:t>We incorporate this information by reference to the “Independent Registered</w:t>
            </w:r>
          </w:p>
        </w:tc>
      </w:tr>
      <w:tr>
        <w:trPr>
          <w:trHeight w:val="171"/>
        </w:trPr>
        <w:tc>
          <w:tcPr>
            <w:tcW w:w="5420" w:type="dxa"/>
            <w:vAlign w:val="bottom"/>
          </w:tcPr>
          <w:p>
            <w:pPr>
              <w:spacing w:after="0"/>
              <w:rPr>
                <w:sz w:val="14"/>
                <w:szCs w:val="14"/>
                <w:color w:val="auto"/>
              </w:rPr>
            </w:pPr>
          </w:p>
        </w:tc>
        <w:tc>
          <w:tcPr>
            <w:tcW w:w="5820" w:type="dxa"/>
            <w:vAlign w:val="bottom"/>
          </w:tcPr>
          <w:p>
            <w:pPr>
              <w:ind w:left="200"/>
              <w:spacing w:after="0" w:line="171" w:lineRule="exact"/>
              <w:rPr>
                <w:sz w:val="20"/>
                <w:szCs w:val="20"/>
                <w:color w:val="auto"/>
              </w:rPr>
            </w:pPr>
            <w:r>
              <w:rPr>
                <w:rFonts w:ascii="Arial" w:cs="Arial" w:eastAsia="Arial" w:hAnsi="Arial"/>
                <w:sz w:val="18"/>
                <w:szCs w:val="18"/>
                <w:color w:val="auto"/>
              </w:rPr>
              <w:t>Public Accounting Firm Fee Disclosure” and the “Pre-Approval of</w:t>
            </w:r>
          </w:p>
        </w:tc>
      </w:tr>
      <w:tr>
        <w:trPr>
          <w:trHeight w:val="171"/>
        </w:trPr>
        <w:tc>
          <w:tcPr>
            <w:tcW w:w="5420" w:type="dxa"/>
            <w:vAlign w:val="bottom"/>
          </w:tcPr>
          <w:p>
            <w:pPr>
              <w:spacing w:after="0"/>
              <w:rPr>
                <w:sz w:val="14"/>
                <w:szCs w:val="14"/>
                <w:color w:val="auto"/>
              </w:rPr>
            </w:pPr>
          </w:p>
        </w:tc>
        <w:tc>
          <w:tcPr>
            <w:tcW w:w="5820" w:type="dxa"/>
            <w:vAlign w:val="bottom"/>
          </w:tcPr>
          <w:p>
            <w:pPr>
              <w:ind w:left="200"/>
              <w:spacing w:after="0" w:line="171" w:lineRule="exact"/>
              <w:rPr>
                <w:sz w:val="20"/>
                <w:szCs w:val="20"/>
                <w:color w:val="auto"/>
              </w:rPr>
            </w:pPr>
            <w:r>
              <w:rPr>
                <w:rFonts w:ascii="Arial" w:cs="Arial" w:eastAsia="Arial" w:hAnsi="Arial"/>
                <w:sz w:val="18"/>
                <w:szCs w:val="18"/>
                <w:color w:val="auto"/>
              </w:rPr>
              <w:t>Independent Auditor Fees and Services Policy” sections of our Proxy</w:t>
            </w:r>
          </w:p>
        </w:tc>
      </w:tr>
      <w:tr>
        <w:trPr>
          <w:trHeight w:val="222"/>
        </w:trPr>
        <w:tc>
          <w:tcPr>
            <w:tcW w:w="5420" w:type="dxa"/>
            <w:vAlign w:val="bottom"/>
          </w:tcPr>
          <w:p>
            <w:pPr>
              <w:spacing w:after="0"/>
              <w:rPr>
                <w:sz w:val="19"/>
                <w:szCs w:val="19"/>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Statement.</w:t>
            </w:r>
          </w:p>
        </w:tc>
      </w:tr>
      <w:tr>
        <w:trPr>
          <w:trHeight w:val="829"/>
        </w:trPr>
        <w:tc>
          <w:tcPr>
            <w:tcW w:w="5420" w:type="dxa"/>
            <w:vAlign w:val="bottom"/>
          </w:tcPr>
          <w:p>
            <w:pPr>
              <w:spacing w:after="0"/>
              <w:rPr>
                <w:sz w:val="24"/>
                <w:szCs w:val="24"/>
                <w:color w:val="auto"/>
              </w:rPr>
            </w:pPr>
          </w:p>
        </w:tc>
        <w:tc>
          <w:tcPr>
            <w:tcW w:w="5820" w:type="dxa"/>
            <w:vAlign w:val="bottom"/>
          </w:tcPr>
          <w:p>
            <w:pPr>
              <w:ind w:left="120"/>
              <w:spacing w:after="0"/>
              <w:rPr>
                <w:sz w:val="20"/>
                <w:szCs w:val="20"/>
                <w:color w:val="auto"/>
              </w:rPr>
            </w:pPr>
            <w:r>
              <w:rPr>
                <w:rFonts w:ascii="Arial" w:cs="Arial" w:eastAsia="Arial" w:hAnsi="Arial"/>
                <w:sz w:val="18"/>
                <w:szCs w:val="18"/>
                <w:color w:val="auto"/>
              </w:rPr>
              <w:t>79</w:t>
            </w:r>
          </w:p>
        </w:tc>
      </w:tr>
      <w:tr>
        <w:trPr>
          <w:trHeight w:val="112"/>
        </w:trPr>
        <w:tc>
          <w:tcPr>
            <w:tcW w:w="5420" w:type="dxa"/>
            <w:vAlign w:val="bottom"/>
            <w:tcBorders>
              <w:bottom w:val="single" w:sz="8" w:color="9A9A9A"/>
            </w:tcBorders>
          </w:tcPr>
          <w:p>
            <w:pPr>
              <w:spacing w:after="0"/>
              <w:rPr>
                <w:sz w:val="9"/>
                <w:szCs w:val="9"/>
                <w:color w:val="auto"/>
              </w:rPr>
            </w:pPr>
          </w:p>
        </w:tc>
        <w:tc>
          <w:tcPr>
            <w:tcW w:w="58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include below certain information on our executive officers. This information is as of February 16, 2021, except where indicated.</w:t>
      </w:r>
    </w:p>
    <w:p>
      <w:pPr>
        <w:spacing w:after="0" w:line="161" w:lineRule="exact"/>
        <w:rPr>
          <w:sz w:val="20"/>
          <w:szCs w:val="20"/>
          <w:color w:val="auto"/>
        </w:rPr>
      </w:pPr>
    </w:p>
    <w:p>
      <w:pPr>
        <w:ind w:right="100" w:firstLine="434"/>
        <w:spacing w:after="0" w:line="233" w:lineRule="auto"/>
        <w:rPr>
          <w:sz w:val="20"/>
          <w:szCs w:val="20"/>
          <w:color w:val="auto"/>
        </w:rPr>
      </w:pPr>
      <w:r>
        <w:rPr>
          <w:rFonts w:ascii="Arial" w:cs="Arial" w:eastAsia="Arial" w:hAnsi="Arial"/>
          <w:sz w:val="18"/>
          <w:szCs w:val="18"/>
          <w:color w:val="auto"/>
        </w:rPr>
        <w:t>On February 16, 2021, the Company announced that Arne M. Sorenson, President and Chief Executive Officer, unexpectedly passed away on February 15, 2021. On February 2, 2021, the Company announced that Mr. Sorenson would step back from full-time management to facilitate more demanding treatment for pancreatic cancer. At that time, Stephanie Linnartz, Group President, Consumer Operations, Technology and Emerging Businesses, and Anthony G. Capuano, Group President, Global Development, Design and Operations Services, began jointly overseeing the day-to-day operations of the Company’s business units and corporate functions. Ms. Linnartz and Mr. Capuano are expected to continue in this capacity until Marriott’s Board of Directors appoints a new President and Chief Executive Officer.</w:t>
      </w:r>
    </w:p>
    <w:p>
      <w:pPr>
        <w:spacing w:after="0" w:line="166" w:lineRule="exact"/>
        <w:rPr>
          <w:sz w:val="20"/>
          <w:szCs w:val="20"/>
          <w:color w:val="auto"/>
        </w:rPr>
      </w:pPr>
    </w:p>
    <w:tbl>
      <w:tblPr>
        <w:tblLayout w:type="fixed"/>
        <w:tblInd w:w="440" w:type="dxa"/>
        <w:tblCellMar>
          <w:top w:w="0" w:type="dxa"/>
          <w:left w:w="0" w:type="dxa"/>
          <w:bottom w:w="0" w:type="dxa"/>
          <w:right w:w="0" w:type="dxa"/>
        </w:tblCellMar>
      </w:tblPr>
      <w:tr>
        <w:trPr>
          <w:trHeight w:val="188"/>
        </w:trPr>
        <w:tc>
          <w:tcPr>
            <w:tcW w:w="358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Name and Title</w:t>
            </w:r>
          </w:p>
        </w:tc>
        <w:tc>
          <w:tcPr>
            <w:tcW w:w="100" w:type="dxa"/>
            <w:vAlign w:val="bottom"/>
          </w:tcPr>
          <w:p>
            <w:pPr>
              <w:spacing w:after="0"/>
              <w:rPr>
                <w:sz w:val="16"/>
                <w:szCs w:val="16"/>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6"/>
                <w:szCs w:val="16"/>
                <w:color w:val="auto"/>
              </w:rPr>
            </w:pPr>
          </w:p>
        </w:tc>
        <w:tc>
          <w:tcPr>
            <w:tcW w:w="6400" w:type="dxa"/>
            <w:vAlign w:val="bottom"/>
            <w:tcBorders>
              <w:bottom w:val="single" w:sz="8" w:color="auto"/>
            </w:tcBorders>
          </w:tcPr>
          <w:p>
            <w:pPr>
              <w:ind w:left="2960"/>
              <w:spacing w:after="0"/>
              <w:rPr>
                <w:sz w:val="20"/>
                <w:szCs w:val="20"/>
                <w:color w:val="auto"/>
              </w:rPr>
            </w:pPr>
            <w:r>
              <w:rPr>
                <w:rFonts w:ascii="Arial" w:cs="Arial" w:eastAsia="Arial" w:hAnsi="Arial"/>
                <w:sz w:val="14"/>
                <w:szCs w:val="14"/>
                <w:b w:val="1"/>
                <w:bCs w:val="1"/>
                <w:color w:val="auto"/>
              </w:rPr>
              <w:t>Business Experience</w:t>
            </w:r>
          </w:p>
        </w:tc>
      </w:tr>
      <w:tr>
        <w:trPr>
          <w:trHeight w:val="170"/>
        </w:trPr>
        <w:tc>
          <w:tcPr>
            <w:tcW w:w="3680" w:type="dxa"/>
            <w:vAlign w:val="bottom"/>
            <w:gridSpan w:val="2"/>
          </w:tcPr>
          <w:p>
            <w:pPr>
              <w:ind w:left="460"/>
              <w:spacing w:after="0" w:line="170" w:lineRule="exact"/>
              <w:rPr>
                <w:sz w:val="20"/>
                <w:szCs w:val="20"/>
                <w:color w:val="auto"/>
              </w:rPr>
            </w:pPr>
            <w:r>
              <w:rPr>
                <w:rFonts w:ascii="Arial" w:cs="Arial" w:eastAsia="Arial" w:hAnsi="Arial"/>
                <w:sz w:val="18"/>
                <w:szCs w:val="18"/>
                <w:color w:val="auto"/>
              </w:rPr>
              <w:t>J.W. Marriott, Jr.</w:t>
            </w:r>
          </w:p>
        </w:tc>
        <w:tc>
          <w:tcPr>
            <w:tcW w:w="720" w:type="dxa"/>
            <w:vAlign w:val="bottom"/>
          </w:tcPr>
          <w:p>
            <w:pPr>
              <w:ind w:left="460"/>
              <w:spacing w:after="0" w:line="170" w:lineRule="exact"/>
              <w:rPr>
                <w:sz w:val="20"/>
                <w:szCs w:val="20"/>
                <w:color w:val="auto"/>
              </w:rPr>
            </w:pPr>
            <w:r>
              <w:rPr>
                <w:rFonts w:ascii="Arial" w:cs="Arial" w:eastAsia="Arial" w:hAnsi="Arial"/>
                <w:sz w:val="18"/>
                <w:szCs w:val="18"/>
                <w:color w:val="auto"/>
              </w:rPr>
              <w:t>88</w:t>
            </w:r>
          </w:p>
        </w:tc>
        <w:tc>
          <w:tcPr>
            <w:tcW w:w="100" w:type="dxa"/>
            <w:vAlign w:val="bottom"/>
          </w:tcPr>
          <w:p>
            <w:pPr>
              <w:spacing w:after="0"/>
              <w:rPr>
                <w:sz w:val="14"/>
                <w:szCs w:val="14"/>
                <w:color w:val="auto"/>
              </w:rPr>
            </w:pPr>
          </w:p>
        </w:tc>
        <w:tc>
          <w:tcPr>
            <w:tcW w:w="6400" w:type="dxa"/>
            <w:vAlign w:val="bottom"/>
          </w:tcPr>
          <w:p>
            <w:pPr>
              <w:ind w:left="460"/>
              <w:spacing w:after="0" w:line="170" w:lineRule="exact"/>
              <w:rPr>
                <w:sz w:val="20"/>
                <w:szCs w:val="20"/>
                <w:color w:val="auto"/>
              </w:rPr>
            </w:pPr>
            <w:r>
              <w:rPr>
                <w:rFonts w:ascii="Arial" w:cs="Arial" w:eastAsia="Arial" w:hAnsi="Arial"/>
                <w:sz w:val="18"/>
                <w:szCs w:val="18"/>
                <w:color w:val="auto"/>
                <w:w w:val="89"/>
              </w:rPr>
              <w:t>J.W. Marriott, Jr. was elected Executive Chairman effective March 31, 2012, having</w:t>
            </w:r>
          </w:p>
        </w:tc>
      </w:tr>
      <w:tr>
        <w:trPr>
          <w:trHeight w:val="171"/>
        </w:trPr>
        <w:tc>
          <w:tcPr>
            <w:tcW w:w="3680" w:type="dxa"/>
            <w:vAlign w:val="bottom"/>
            <w:gridSpan w:val="2"/>
          </w:tcPr>
          <w:p>
            <w:pPr>
              <w:ind w:left="20"/>
              <w:spacing w:after="0" w:line="171" w:lineRule="exact"/>
              <w:rPr>
                <w:sz w:val="20"/>
                <w:szCs w:val="20"/>
                <w:color w:val="auto"/>
              </w:rPr>
            </w:pPr>
            <w:r>
              <w:rPr>
                <w:rFonts w:ascii="Arial" w:cs="Arial" w:eastAsia="Arial" w:hAnsi="Arial"/>
                <w:sz w:val="18"/>
                <w:szCs w:val="18"/>
                <w:color w:val="auto"/>
              </w:rPr>
              <w:t>Executive Chairman and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0" w:type="dxa"/>
            <w:vAlign w:val="bottom"/>
          </w:tcPr>
          <w:p>
            <w:pPr>
              <w:ind w:left="20"/>
              <w:spacing w:after="0" w:line="171" w:lineRule="exact"/>
              <w:rPr>
                <w:sz w:val="20"/>
                <w:szCs w:val="20"/>
                <w:color w:val="auto"/>
              </w:rPr>
            </w:pPr>
            <w:r>
              <w:rPr>
                <w:rFonts w:ascii="Arial" w:cs="Arial" w:eastAsia="Arial" w:hAnsi="Arial"/>
                <w:sz w:val="18"/>
                <w:szCs w:val="18"/>
                <w:color w:val="auto"/>
                <w:w w:val="89"/>
              </w:rPr>
              <w:t>relinquished his position as Chief Executive Officer. He served as Chief Executive Officer</w:t>
            </w:r>
          </w:p>
        </w:tc>
      </w:tr>
      <w:tr>
        <w:trPr>
          <w:trHeight w:val="171"/>
        </w:trPr>
        <w:tc>
          <w:tcPr>
            <w:tcW w:w="3680" w:type="dxa"/>
            <w:vAlign w:val="bottom"/>
            <w:gridSpan w:val="2"/>
          </w:tcPr>
          <w:p>
            <w:pPr>
              <w:ind w:left="20"/>
              <w:spacing w:after="0" w:line="171" w:lineRule="exact"/>
              <w:rPr>
                <w:sz w:val="20"/>
                <w:szCs w:val="20"/>
                <w:color w:val="auto"/>
              </w:rPr>
            </w:pPr>
            <w:r>
              <w:rPr>
                <w:rFonts w:ascii="Arial" w:cs="Arial" w:eastAsia="Arial" w:hAnsi="Arial"/>
                <w:sz w:val="18"/>
                <w:szCs w:val="18"/>
                <w:color w:val="auto"/>
              </w:rPr>
              <w:t>Chairman of the Board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0" w:type="dxa"/>
            <w:vAlign w:val="bottom"/>
          </w:tcPr>
          <w:p>
            <w:pPr>
              <w:ind w:left="20"/>
              <w:spacing w:after="0" w:line="171" w:lineRule="exact"/>
              <w:rPr>
                <w:sz w:val="20"/>
                <w:szCs w:val="20"/>
                <w:color w:val="auto"/>
              </w:rPr>
            </w:pPr>
            <w:r>
              <w:rPr>
                <w:rFonts w:ascii="Arial" w:cs="Arial" w:eastAsia="Arial" w:hAnsi="Arial"/>
                <w:sz w:val="18"/>
                <w:szCs w:val="18"/>
                <w:color w:val="auto"/>
                <w:w w:val="87"/>
              </w:rPr>
              <w:t>the Company and its predecessors since 1972. He joined Marriott in 1956, became Preside</w:t>
            </w:r>
          </w:p>
        </w:tc>
      </w:tr>
      <w:tr>
        <w:trPr>
          <w:trHeight w:val="17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0" w:type="dxa"/>
            <w:vAlign w:val="bottom"/>
          </w:tcPr>
          <w:p>
            <w:pPr>
              <w:ind w:left="20"/>
              <w:spacing w:after="0" w:line="171" w:lineRule="exact"/>
              <w:rPr>
                <w:sz w:val="20"/>
                <w:szCs w:val="20"/>
                <w:color w:val="auto"/>
              </w:rPr>
            </w:pPr>
            <w:r>
              <w:rPr>
                <w:rFonts w:ascii="Arial" w:cs="Arial" w:eastAsia="Arial" w:hAnsi="Arial"/>
                <w:sz w:val="18"/>
                <w:szCs w:val="18"/>
                <w:color w:val="auto"/>
                <w:w w:val="89"/>
              </w:rPr>
              <w:t>and a Director in 1964, Chief Executive Officer in 1972, and Chairman of the Board in 198</w:t>
            </w:r>
          </w:p>
        </w:tc>
      </w:tr>
      <w:tr>
        <w:trPr>
          <w:trHeight w:val="17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0" w:type="dxa"/>
            <w:vAlign w:val="bottom"/>
          </w:tcPr>
          <w:p>
            <w:pPr>
              <w:ind w:left="20"/>
              <w:spacing w:after="0" w:line="171" w:lineRule="exact"/>
              <w:rPr>
                <w:sz w:val="20"/>
                <w:szCs w:val="20"/>
                <w:color w:val="auto"/>
              </w:rPr>
            </w:pPr>
            <w:r>
              <w:rPr>
                <w:rFonts w:ascii="Arial" w:cs="Arial" w:eastAsia="Arial" w:hAnsi="Arial"/>
                <w:sz w:val="18"/>
                <w:szCs w:val="18"/>
                <w:color w:val="auto"/>
                <w:w w:val="89"/>
              </w:rPr>
              <w:t>Mr. Marriott serves on the Board of Trustees of The J. Willard &amp; Alice S. Marriott Foundat</w:t>
            </w:r>
          </w:p>
        </w:tc>
      </w:tr>
      <w:tr>
        <w:trPr>
          <w:trHeight w:val="17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0" w:type="dxa"/>
            <w:vAlign w:val="bottom"/>
          </w:tcPr>
          <w:p>
            <w:pPr>
              <w:ind w:left="20"/>
              <w:spacing w:after="0" w:line="171" w:lineRule="exact"/>
              <w:rPr>
                <w:sz w:val="20"/>
                <w:szCs w:val="20"/>
                <w:color w:val="auto"/>
              </w:rPr>
            </w:pPr>
            <w:r>
              <w:rPr>
                <w:rFonts w:ascii="Arial" w:cs="Arial" w:eastAsia="Arial" w:hAnsi="Arial"/>
                <w:sz w:val="18"/>
                <w:szCs w:val="18"/>
                <w:color w:val="auto"/>
                <w:w w:val="89"/>
              </w:rPr>
              <w:t>and the Executive Committee of the World Travel &amp; Tourism Council. Mr. Marriott has ser</w:t>
            </w:r>
          </w:p>
        </w:tc>
      </w:tr>
      <w:tr>
        <w:trPr>
          <w:trHeight w:val="17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0" w:type="dxa"/>
            <w:vAlign w:val="bottom"/>
          </w:tcPr>
          <w:p>
            <w:pPr>
              <w:ind w:left="20"/>
              <w:spacing w:after="0" w:line="171" w:lineRule="exact"/>
              <w:rPr>
                <w:sz w:val="20"/>
                <w:szCs w:val="20"/>
                <w:color w:val="auto"/>
              </w:rPr>
            </w:pPr>
            <w:r>
              <w:rPr>
                <w:rFonts w:ascii="Arial" w:cs="Arial" w:eastAsia="Arial" w:hAnsi="Arial"/>
                <w:sz w:val="18"/>
                <w:szCs w:val="18"/>
                <w:color w:val="auto"/>
                <w:w w:val="87"/>
              </w:rPr>
              <w:t>as a Director of the Company and its predecessors since 1964. He holds a Bachelor of Scie</w:t>
            </w:r>
          </w:p>
        </w:tc>
      </w:tr>
      <w:tr>
        <w:trPr>
          <w:trHeight w:val="17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0" w:type="dxa"/>
            <w:vAlign w:val="bottom"/>
          </w:tcPr>
          <w:p>
            <w:pPr>
              <w:ind w:left="20"/>
              <w:spacing w:after="0" w:line="171" w:lineRule="exact"/>
              <w:rPr>
                <w:sz w:val="20"/>
                <w:szCs w:val="20"/>
                <w:color w:val="auto"/>
              </w:rPr>
            </w:pPr>
            <w:r>
              <w:rPr>
                <w:rFonts w:ascii="Arial" w:cs="Arial" w:eastAsia="Arial" w:hAnsi="Arial"/>
                <w:sz w:val="18"/>
                <w:szCs w:val="18"/>
                <w:color w:val="auto"/>
                <w:w w:val="90"/>
              </w:rPr>
              <w:t>degree in Banking and Finance from the University of Utah. Mr. Marriott plans to transitio</w:t>
            </w:r>
          </w:p>
        </w:tc>
      </w:tr>
      <w:tr>
        <w:trPr>
          <w:trHeight w:val="222"/>
        </w:trPr>
        <w:tc>
          <w:tcPr>
            <w:tcW w:w="3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the role of Chairman Emeritus in 2022.</w:t>
            </w:r>
          </w:p>
        </w:tc>
      </w:tr>
      <w:tr>
        <w:trPr>
          <w:trHeight w:val="383"/>
        </w:trPr>
        <w:tc>
          <w:tcPr>
            <w:tcW w:w="3680" w:type="dxa"/>
            <w:vAlign w:val="bottom"/>
            <w:gridSpan w:val="2"/>
          </w:tcPr>
          <w:p>
            <w:pPr>
              <w:ind w:left="460"/>
              <w:spacing w:after="0"/>
              <w:rPr>
                <w:sz w:val="20"/>
                <w:szCs w:val="20"/>
                <w:color w:val="auto"/>
              </w:rPr>
            </w:pPr>
            <w:r>
              <w:rPr>
                <w:rFonts w:ascii="Arial" w:cs="Arial" w:eastAsia="Arial" w:hAnsi="Arial"/>
                <w:sz w:val="18"/>
                <w:szCs w:val="18"/>
                <w:color w:val="auto"/>
              </w:rPr>
              <w:t>Liam Brown</w:t>
            </w:r>
          </w:p>
        </w:tc>
        <w:tc>
          <w:tcPr>
            <w:tcW w:w="720" w:type="dxa"/>
            <w:vAlign w:val="bottom"/>
          </w:tcPr>
          <w:p>
            <w:pPr>
              <w:ind w:left="46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6400" w:type="dxa"/>
            <w:vAlign w:val="bottom"/>
          </w:tcPr>
          <w:p>
            <w:pPr>
              <w:ind w:left="460"/>
              <w:spacing w:after="0"/>
              <w:rPr>
                <w:sz w:val="20"/>
                <w:szCs w:val="20"/>
                <w:color w:val="auto"/>
              </w:rPr>
            </w:pPr>
            <w:r>
              <w:rPr>
                <w:rFonts w:ascii="Arial" w:cs="Arial" w:eastAsia="Arial" w:hAnsi="Arial"/>
                <w:sz w:val="18"/>
                <w:szCs w:val="18"/>
                <w:color w:val="auto"/>
                <w:w w:val="86"/>
              </w:rPr>
              <w:t>Liam Brown became Group President, United States and Canada effective in January</w:t>
            </w:r>
          </w:p>
        </w:tc>
      </w:tr>
      <w:tr>
        <w:trPr>
          <w:trHeight w:val="171"/>
        </w:trPr>
        <w:tc>
          <w:tcPr>
            <w:tcW w:w="3680" w:type="dxa"/>
            <w:vAlign w:val="bottom"/>
            <w:gridSpan w:val="2"/>
          </w:tcPr>
          <w:p>
            <w:pPr>
              <w:ind w:left="20"/>
              <w:spacing w:after="0" w:line="171" w:lineRule="exact"/>
              <w:rPr>
                <w:sz w:val="20"/>
                <w:szCs w:val="20"/>
                <w:color w:val="auto"/>
              </w:rPr>
            </w:pPr>
            <w:r>
              <w:rPr>
                <w:rFonts w:ascii="Arial" w:cs="Arial" w:eastAsia="Arial" w:hAnsi="Arial"/>
                <w:sz w:val="18"/>
                <w:szCs w:val="18"/>
                <w:color w:val="auto"/>
              </w:rPr>
              <w:t>Group President, United States and Canada</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0" w:type="dxa"/>
            <w:vAlign w:val="bottom"/>
          </w:tcPr>
          <w:p>
            <w:pPr>
              <w:ind w:left="20"/>
              <w:spacing w:after="0" w:line="171" w:lineRule="exact"/>
              <w:rPr>
                <w:sz w:val="20"/>
                <w:szCs w:val="20"/>
                <w:color w:val="auto"/>
              </w:rPr>
            </w:pPr>
            <w:r>
              <w:rPr>
                <w:rFonts w:ascii="Arial" w:cs="Arial" w:eastAsia="Arial" w:hAnsi="Arial"/>
                <w:sz w:val="18"/>
                <w:szCs w:val="18"/>
                <w:color w:val="auto"/>
                <w:w w:val="89"/>
              </w:rPr>
              <w:t>2021. Prior to this role, Mr. Brown served as the President and Managing Director of Euro</w:t>
            </w:r>
          </w:p>
        </w:tc>
      </w:tr>
      <w:tr>
        <w:trPr>
          <w:trHeight w:val="17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0" w:type="dxa"/>
            <w:vAlign w:val="bottom"/>
          </w:tcPr>
          <w:p>
            <w:pPr>
              <w:ind w:left="20"/>
              <w:spacing w:after="0" w:line="171" w:lineRule="exact"/>
              <w:rPr>
                <w:sz w:val="20"/>
                <w:szCs w:val="20"/>
                <w:color w:val="auto"/>
              </w:rPr>
            </w:pPr>
            <w:r>
              <w:rPr>
                <w:rFonts w:ascii="Arial" w:cs="Arial" w:eastAsia="Arial" w:hAnsi="Arial"/>
                <w:sz w:val="18"/>
                <w:szCs w:val="18"/>
                <w:color w:val="auto"/>
                <w:w w:val="90"/>
              </w:rPr>
              <w:t>from 2018 to 2019, followed by Group President of Europe, Middle East &amp; Africa in 2020.</w:t>
            </w:r>
          </w:p>
        </w:tc>
      </w:tr>
      <w:tr>
        <w:trPr>
          <w:trHeight w:val="17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0" w:type="dxa"/>
            <w:vAlign w:val="bottom"/>
          </w:tcPr>
          <w:p>
            <w:pPr>
              <w:ind w:left="20"/>
              <w:spacing w:after="0" w:line="171" w:lineRule="exact"/>
              <w:rPr>
                <w:sz w:val="20"/>
                <w:szCs w:val="20"/>
                <w:color w:val="auto"/>
              </w:rPr>
            </w:pPr>
            <w:r>
              <w:rPr>
                <w:rFonts w:ascii="Arial" w:cs="Arial" w:eastAsia="Arial" w:hAnsi="Arial"/>
                <w:sz w:val="18"/>
                <w:szCs w:val="18"/>
                <w:color w:val="auto"/>
                <w:w w:val="88"/>
              </w:rPr>
              <w:t>Mr. Brown joined Marriott in 1989 and served as President for Franchising, Owner Service</w:t>
            </w:r>
          </w:p>
        </w:tc>
      </w:tr>
      <w:tr>
        <w:trPr>
          <w:trHeight w:val="17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0" w:type="dxa"/>
            <w:vAlign w:val="bottom"/>
          </w:tcPr>
          <w:p>
            <w:pPr>
              <w:ind w:left="20"/>
              <w:spacing w:after="0" w:line="171" w:lineRule="exact"/>
              <w:rPr>
                <w:sz w:val="20"/>
                <w:szCs w:val="20"/>
                <w:color w:val="auto"/>
              </w:rPr>
            </w:pPr>
            <w:r>
              <w:rPr>
                <w:rFonts w:ascii="Arial" w:cs="Arial" w:eastAsia="Arial" w:hAnsi="Arial"/>
                <w:sz w:val="18"/>
                <w:szCs w:val="18"/>
                <w:color w:val="auto"/>
                <w:w w:val="93"/>
              </w:rPr>
              <w:t>and Managed by Marriott Select Brands, North America from 2012 to 2018. Other key</w:t>
            </w:r>
          </w:p>
        </w:tc>
      </w:tr>
      <w:tr>
        <w:trPr>
          <w:trHeight w:val="17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0" w:type="dxa"/>
            <w:vAlign w:val="bottom"/>
          </w:tcPr>
          <w:p>
            <w:pPr>
              <w:ind w:left="20"/>
              <w:spacing w:after="0" w:line="171" w:lineRule="exact"/>
              <w:rPr>
                <w:sz w:val="20"/>
                <w:szCs w:val="20"/>
                <w:color w:val="auto"/>
              </w:rPr>
            </w:pPr>
            <w:r>
              <w:rPr>
                <w:rFonts w:ascii="Arial" w:cs="Arial" w:eastAsia="Arial" w:hAnsi="Arial"/>
                <w:sz w:val="18"/>
                <w:szCs w:val="18"/>
                <w:color w:val="auto"/>
                <w:w w:val="91"/>
              </w:rPr>
              <w:t>positions held by Mr. Brown include Chief Operations Officer for the Americas for Select</w:t>
            </w:r>
          </w:p>
        </w:tc>
      </w:tr>
      <w:tr>
        <w:trPr>
          <w:trHeight w:val="17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0" w:type="dxa"/>
            <w:vAlign w:val="bottom"/>
          </w:tcPr>
          <w:p>
            <w:pPr>
              <w:ind w:left="20"/>
              <w:spacing w:after="0" w:line="171" w:lineRule="exact"/>
              <w:rPr>
                <w:sz w:val="20"/>
                <w:szCs w:val="20"/>
                <w:color w:val="auto"/>
              </w:rPr>
            </w:pPr>
            <w:r>
              <w:rPr>
                <w:rFonts w:ascii="Arial" w:cs="Arial" w:eastAsia="Arial" w:hAnsi="Arial"/>
                <w:sz w:val="18"/>
                <w:szCs w:val="18"/>
                <w:color w:val="auto"/>
                <w:w w:val="88"/>
              </w:rPr>
              <w:t>Service &amp; Extended Stay Lodging and Owner &amp; Franchise Services, as well as Senior Vice</w:t>
            </w:r>
          </w:p>
        </w:tc>
      </w:tr>
      <w:tr>
        <w:trPr>
          <w:trHeight w:val="17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0" w:type="dxa"/>
            <w:vAlign w:val="bottom"/>
          </w:tcPr>
          <w:p>
            <w:pPr>
              <w:ind w:left="20"/>
              <w:spacing w:after="0" w:line="171" w:lineRule="exact"/>
              <w:rPr>
                <w:sz w:val="20"/>
                <w:szCs w:val="20"/>
                <w:color w:val="auto"/>
              </w:rPr>
            </w:pPr>
            <w:r>
              <w:rPr>
                <w:rFonts w:ascii="Arial" w:cs="Arial" w:eastAsia="Arial" w:hAnsi="Arial"/>
                <w:sz w:val="18"/>
                <w:szCs w:val="18"/>
                <w:color w:val="auto"/>
                <w:w w:val="92"/>
              </w:rPr>
              <w:t>President and Executive Vice President of Development for Marriott’s Select Service &amp;</w:t>
            </w:r>
          </w:p>
        </w:tc>
      </w:tr>
      <w:tr>
        <w:trPr>
          <w:trHeight w:val="17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0" w:type="dxa"/>
            <w:vAlign w:val="bottom"/>
          </w:tcPr>
          <w:p>
            <w:pPr>
              <w:ind w:left="20"/>
              <w:spacing w:after="0" w:line="171" w:lineRule="exact"/>
              <w:rPr>
                <w:sz w:val="20"/>
                <w:szCs w:val="20"/>
                <w:color w:val="auto"/>
              </w:rPr>
            </w:pPr>
            <w:r>
              <w:rPr>
                <w:rFonts w:ascii="Arial" w:cs="Arial" w:eastAsia="Arial" w:hAnsi="Arial"/>
                <w:sz w:val="18"/>
                <w:szCs w:val="18"/>
                <w:color w:val="auto"/>
                <w:w w:val="91"/>
              </w:rPr>
              <w:t>Extended Stay lodging products. Mr. Brown also serves on the Board of Directors of the</w:t>
            </w:r>
          </w:p>
        </w:tc>
      </w:tr>
      <w:tr>
        <w:trPr>
          <w:trHeight w:val="17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0" w:type="dxa"/>
            <w:vAlign w:val="bottom"/>
          </w:tcPr>
          <w:p>
            <w:pPr>
              <w:ind w:left="20"/>
              <w:spacing w:after="0" w:line="171" w:lineRule="exact"/>
              <w:rPr>
                <w:sz w:val="20"/>
                <w:szCs w:val="20"/>
                <w:color w:val="auto"/>
              </w:rPr>
            </w:pPr>
            <w:r>
              <w:rPr>
                <w:rFonts w:ascii="Arial" w:cs="Arial" w:eastAsia="Arial" w:hAnsi="Arial"/>
                <w:sz w:val="18"/>
                <w:szCs w:val="18"/>
                <w:color w:val="auto"/>
                <w:w w:val="88"/>
              </w:rPr>
              <w:t>American Hotel and Lodging Association. He holds a Hotel Diploma and Business Degree</w:t>
            </w:r>
          </w:p>
        </w:tc>
      </w:tr>
      <w:tr>
        <w:trPr>
          <w:trHeight w:val="17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0" w:type="dxa"/>
            <w:vAlign w:val="bottom"/>
          </w:tcPr>
          <w:p>
            <w:pPr>
              <w:ind w:left="20"/>
              <w:spacing w:after="0" w:line="171" w:lineRule="exact"/>
              <w:rPr>
                <w:sz w:val="20"/>
                <w:szCs w:val="20"/>
                <w:color w:val="auto"/>
              </w:rPr>
            </w:pPr>
            <w:r>
              <w:rPr>
                <w:rFonts w:ascii="Arial" w:cs="Arial" w:eastAsia="Arial" w:hAnsi="Arial"/>
                <w:sz w:val="18"/>
                <w:szCs w:val="18"/>
                <w:color w:val="auto"/>
                <w:w w:val="88"/>
              </w:rPr>
              <w:t>from the Dublin Institute of Technology, Trinity College and earned his Master of Business</w:t>
            </w:r>
          </w:p>
        </w:tc>
      </w:tr>
      <w:tr>
        <w:trPr>
          <w:trHeight w:val="17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0" w:type="dxa"/>
            <w:vAlign w:val="bottom"/>
          </w:tcPr>
          <w:p>
            <w:pPr>
              <w:ind w:left="20"/>
              <w:spacing w:after="0" w:line="171" w:lineRule="exact"/>
              <w:rPr>
                <w:sz w:val="20"/>
                <w:szCs w:val="20"/>
                <w:color w:val="auto"/>
              </w:rPr>
            </w:pPr>
            <w:r>
              <w:rPr>
                <w:rFonts w:ascii="Arial" w:cs="Arial" w:eastAsia="Arial" w:hAnsi="Arial"/>
                <w:sz w:val="18"/>
                <w:szCs w:val="18"/>
                <w:color w:val="auto"/>
                <w:w w:val="96"/>
              </w:rPr>
              <w:t>Administration from the Robert H. Smith School of Management at the University of</w:t>
            </w:r>
          </w:p>
        </w:tc>
      </w:tr>
      <w:tr>
        <w:trPr>
          <w:trHeight w:val="222"/>
        </w:trPr>
        <w:tc>
          <w:tcPr>
            <w:tcW w:w="3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Maryland.</w:t>
            </w:r>
          </w:p>
        </w:tc>
      </w:tr>
      <w:tr>
        <w:trPr>
          <w:trHeight w:val="383"/>
        </w:trPr>
        <w:tc>
          <w:tcPr>
            <w:tcW w:w="3680" w:type="dxa"/>
            <w:vAlign w:val="bottom"/>
            <w:gridSpan w:val="2"/>
          </w:tcPr>
          <w:p>
            <w:pPr>
              <w:ind w:left="460"/>
              <w:spacing w:after="0"/>
              <w:rPr>
                <w:sz w:val="20"/>
                <w:szCs w:val="20"/>
                <w:color w:val="auto"/>
              </w:rPr>
            </w:pPr>
            <w:r>
              <w:rPr>
                <w:rFonts w:ascii="Arial" w:cs="Arial" w:eastAsia="Arial" w:hAnsi="Arial"/>
                <w:sz w:val="18"/>
                <w:szCs w:val="18"/>
                <w:color w:val="auto"/>
              </w:rPr>
              <w:t>Anthony G. Capuano</w:t>
            </w:r>
          </w:p>
        </w:tc>
        <w:tc>
          <w:tcPr>
            <w:tcW w:w="720" w:type="dxa"/>
            <w:vAlign w:val="bottom"/>
          </w:tcPr>
          <w:p>
            <w:pPr>
              <w:ind w:left="46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4"/>
                <w:szCs w:val="24"/>
                <w:color w:val="auto"/>
              </w:rPr>
            </w:pPr>
          </w:p>
        </w:tc>
        <w:tc>
          <w:tcPr>
            <w:tcW w:w="6400" w:type="dxa"/>
            <w:vAlign w:val="bottom"/>
          </w:tcPr>
          <w:p>
            <w:pPr>
              <w:ind w:left="460"/>
              <w:spacing w:after="0"/>
              <w:rPr>
                <w:sz w:val="20"/>
                <w:szCs w:val="20"/>
                <w:color w:val="auto"/>
              </w:rPr>
            </w:pPr>
            <w:r>
              <w:rPr>
                <w:rFonts w:ascii="Arial" w:cs="Arial" w:eastAsia="Arial" w:hAnsi="Arial"/>
                <w:sz w:val="18"/>
                <w:szCs w:val="18"/>
                <w:color w:val="auto"/>
                <w:w w:val="91"/>
              </w:rPr>
              <w:t>Anthony G. Capuano became Group President, Global Development, Design and</w:t>
            </w:r>
          </w:p>
        </w:tc>
      </w:tr>
      <w:tr>
        <w:trPr>
          <w:trHeight w:val="171"/>
        </w:trPr>
        <w:tc>
          <w:tcPr>
            <w:tcW w:w="3680" w:type="dxa"/>
            <w:vAlign w:val="bottom"/>
            <w:gridSpan w:val="2"/>
          </w:tcPr>
          <w:p>
            <w:pPr>
              <w:ind w:left="20"/>
              <w:spacing w:after="0" w:line="171" w:lineRule="exact"/>
              <w:rPr>
                <w:sz w:val="20"/>
                <w:szCs w:val="20"/>
                <w:color w:val="auto"/>
              </w:rPr>
            </w:pPr>
            <w:r>
              <w:rPr>
                <w:rFonts w:ascii="Arial" w:cs="Arial" w:eastAsia="Arial" w:hAnsi="Arial"/>
                <w:sz w:val="18"/>
                <w:szCs w:val="18"/>
                <w:color w:val="auto"/>
                <w:w w:val="98"/>
              </w:rPr>
              <w:t>Group President, Global Development, Design</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0" w:type="dxa"/>
            <w:vAlign w:val="bottom"/>
          </w:tcPr>
          <w:p>
            <w:pPr>
              <w:ind w:left="20"/>
              <w:spacing w:after="0" w:line="171" w:lineRule="exact"/>
              <w:rPr>
                <w:sz w:val="20"/>
                <w:szCs w:val="20"/>
                <w:color w:val="auto"/>
              </w:rPr>
            </w:pPr>
            <w:r>
              <w:rPr>
                <w:rFonts w:ascii="Arial" w:cs="Arial" w:eastAsia="Arial" w:hAnsi="Arial"/>
                <w:sz w:val="18"/>
                <w:szCs w:val="18"/>
                <w:color w:val="auto"/>
                <w:w w:val="89"/>
              </w:rPr>
              <w:t>Operations Services in January 2020. He is responsible for leading the Company’s global</w:t>
            </w:r>
          </w:p>
        </w:tc>
      </w:tr>
      <w:tr>
        <w:trPr>
          <w:trHeight w:val="171"/>
        </w:trPr>
        <w:tc>
          <w:tcPr>
            <w:tcW w:w="3680" w:type="dxa"/>
            <w:vAlign w:val="bottom"/>
            <w:gridSpan w:val="2"/>
          </w:tcPr>
          <w:p>
            <w:pPr>
              <w:ind w:left="20"/>
              <w:spacing w:after="0" w:line="171" w:lineRule="exact"/>
              <w:rPr>
                <w:sz w:val="20"/>
                <w:szCs w:val="20"/>
                <w:color w:val="auto"/>
              </w:rPr>
            </w:pPr>
            <w:r>
              <w:rPr>
                <w:rFonts w:ascii="Arial" w:cs="Arial" w:eastAsia="Arial" w:hAnsi="Arial"/>
                <w:sz w:val="18"/>
                <w:szCs w:val="18"/>
                <w:color w:val="auto"/>
              </w:rPr>
              <w:t>and Operations Services (Acting Co-Principal</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0" w:type="dxa"/>
            <w:vAlign w:val="bottom"/>
          </w:tcPr>
          <w:p>
            <w:pPr>
              <w:ind w:left="20"/>
              <w:spacing w:after="0" w:line="171" w:lineRule="exact"/>
              <w:rPr>
                <w:sz w:val="20"/>
                <w:szCs w:val="20"/>
                <w:color w:val="auto"/>
              </w:rPr>
            </w:pPr>
            <w:r>
              <w:rPr>
                <w:rFonts w:ascii="Arial" w:cs="Arial" w:eastAsia="Arial" w:hAnsi="Arial"/>
                <w:sz w:val="18"/>
                <w:szCs w:val="18"/>
                <w:color w:val="auto"/>
                <w:w w:val="87"/>
              </w:rPr>
              <w:t>development and design efforts and oversees the Company’s Global Operations discipline.</w:t>
            </w:r>
          </w:p>
        </w:tc>
      </w:tr>
      <w:tr>
        <w:trPr>
          <w:trHeight w:val="171"/>
        </w:trPr>
        <w:tc>
          <w:tcPr>
            <w:tcW w:w="3680" w:type="dxa"/>
            <w:vAlign w:val="bottom"/>
            <w:gridSpan w:val="2"/>
          </w:tcPr>
          <w:p>
            <w:pPr>
              <w:ind w:left="20"/>
              <w:spacing w:after="0" w:line="171" w:lineRule="exact"/>
              <w:rPr>
                <w:sz w:val="20"/>
                <w:szCs w:val="20"/>
                <w:color w:val="auto"/>
              </w:rPr>
            </w:pPr>
            <w:r>
              <w:rPr>
                <w:rFonts w:ascii="Arial" w:cs="Arial" w:eastAsia="Arial" w:hAnsi="Arial"/>
                <w:sz w:val="18"/>
                <w:szCs w:val="18"/>
                <w:color w:val="auto"/>
              </w:rPr>
              <w:t>Executive Officer)</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0" w:type="dxa"/>
            <w:vAlign w:val="bottom"/>
          </w:tcPr>
          <w:p>
            <w:pPr>
              <w:ind w:left="20"/>
              <w:spacing w:after="0" w:line="171" w:lineRule="exact"/>
              <w:rPr>
                <w:sz w:val="20"/>
                <w:szCs w:val="20"/>
                <w:color w:val="auto"/>
              </w:rPr>
            </w:pPr>
            <w:r>
              <w:rPr>
                <w:rFonts w:ascii="Arial" w:cs="Arial" w:eastAsia="Arial" w:hAnsi="Arial"/>
                <w:sz w:val="18"/>
                <w:szCs w:val="18"/>
                <w:color w:val="auto"/>
                <w:w w:val="95"/>
              </w:rPr>
              <w:t>February 2021, Mr. Capuano also began to share responsibility with Ms. Linnartz for</w:t>
            </w:r>
          </w:p>
        </w:tc>
      </w:tr>
      <w:tr>
        <w:trPr>
          <w:trHeight w:val="17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0" w:type="dxa"/>
            <w:vAlign w:val="bottom"/>
          </w:tcPr>
          <w:p>
            <w:pPr>
              <w:ind w:left="20"/>
              <w:spacing w:after="0" w:line="171" w:lineRule="exact"/>
              <w:rPr>
                <w:sz w:val="20"/>
                <w:szCs w:val="20"/>
                <w:color w:val="auto"/>
              </w:rPr>
            </w:pPr>
            <w:r>
              <w:rPr>
                <w:rFonts w:ascii="Arial" w:cs="Arial" w:eastAsia="Arial" w:hAnsi="Arial"/>
                <w:sz w:val="18"/>
                <w:szCs w:val="18"/>
                <w:color w:val="auto"/>
                <w:w w:val="89"/>
              </w:rPr>
              <w:t>overseeing the day-to-day operations of Marriott’s business units and corporate functions,</w:t>
            </w:r>
          </w:p>
        </w:tc>
      </w:tr>
      <w:tr>
        <w:trPr>
          <w:trHeight w:val="17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0" w:type="dxa"/>
            <w:vAlign w:val="bottom"/>
          </w:tcPr>
          <w:p>
            <w:pPr>
              <w:ind w:left="20"/>
              <w:spacing w:after="0" w:line="171" w:lineRule="exact"/>
              <w:rPr>
                <w:sz w:val="20"/>
                <w:szCs w:val="20"/>
                <w:color w:val="auto"/>
              </w:rPr>
            </w:pPr>
            <w:r>
              <w:rPr>
                <w:rFonts w:ascii="Arial" w:cs="Arial" w:eastAsia="Arial" w:hAnsi="Arial"/>
                <w:sz w:val="18"/>
                <w:szCs w:val="18"/>
                <w:color w:val="auto"/>
                <w:w w:val="88"/>
              </w:rPr>
              <w:t>which arrangement is expected to continue until the Company’s Board of Directors appoint</w:t>
            </w:r>
          </w:p>
        </w:tc>
      </w:tr>
      <w:tr>
        <w:trPr>
          <w:trHeight w:val="17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0" w:type="dxa"/>
            <w:vAlign w:val="bottom"/>
          </w:tcPr>
          <w:p>
            <w:pPr>
              <w:ind w:left="20"/>
              <w:spacing w:after="0" w:line="171" w:lineRule="exact"/>
              <w:rPr>
                <w:sz w:val="20"/>
                <w:szCs w:val="20"/>
                <w:color w:val="auto"/>
              </w:rPr>
            </w:pPr>
            <w:r>
              <w:rPr>
                <w:rFonts w:ascii="Arial" w:cs="Arial" w:eastAsia="Arial" w:hAnsi="Arial"/>
                <w:sz w:val="18"/>
                <w:szCs w:val="18"/>
                <w:color w:val="auto"/>
                <w:w w:val="89"/>
              </w:rPr>
              <w:t>permanent CEO. During this time, Mr. Capuano will be overseeing the Company’s U.S. &amp;</w:t>
            </w:r>
          </w:p>
        </w:tc>
      </w:tr>
      <w:tr>
        <w:trPr>
          <w:trHeight w:val="17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0" w:type="dxa"/>
            <w:vAlign w:val="bottom"/>
          </w:tcPr>
          <w:p>
            <w:pPr>
              <w:ind w:left="20"/>
              <w:spacing w:after="0" w:line="171" w:lineRule="exact"/>
              <w:rPr>
                <w:sz w:val="20"/>
                <w:szCs w:val="20"/>
                <w:color w:val="auto"/>
              </w:rPr>
            </w:pPr>
            <w:r>
              <w:rPr>
                <w:rFonts w:ascii="Arial" w:cs="Arial" w:eastAsia="Arial" w:hAnsi="Arial"/>
                <w:sz w:val="18"/>
                <w:szCs w:val="18"/>
                <w:color w:val="auto"/>
                <w:w w:val="86"/>
              </w:rPr>
              <w:t>Canada segment and Finance. Mr. Capuano began his Marriott career in 1995 as part of the</w:t>
            </w:r>
          </w:p>
        </w:tc>
      </w:tr>
      <w:tr>
        <w:trPr>
          <w:trHeight w:val="17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0" w:type="dxa"/>
            <w:vAlign w:val="bottom"/>
          </w:tcPr>
          <w:p>
            <w:pPr>
              <w:ind w:left="20"/>
              <w:spacing w:after="0" w:line="171" w:lineRule="exact"/>
              <w:rPr>
                <w:sz w:val="20"/>
                <w:szCs w:val="20"/>
                <w:color w:val="auto"/>
              </w:rPr>
            </w:pPr>
            <w:r>
              <w:rPr>
                <w:rFonts w:ascii="Arial" w:cs="Arial" w:eastAsia="Arial" w:hAnsi="Arial"/>
                <w:sz w:val="18"/>
                <w:szCs w:val="18"/>
                <w:color w:val="auto"/>
                <w:w w:val="89"/>
              </w:rPr>
              <w:t>Market Planning and Feasibility team. Between 1997 and 2005, he led Marriott’s full-servi</w:t>
            </w:r>
          </w:p>
        </w:tc>
      </w:tr>
      <w:tr>
        <w:trPr>
          <w:trHeight w:val="17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0" w:type="dxa"/>
            <w:vAlign w:val="bottom"/>
          </w:tcPr>
          <w:p>
            <w:pPr>
              <w:ind w:left="20"/>
              <w:spacing w:after="0" w:line="171" w:lineRule="exact"/>
              <w:rPr>
                <w:sz w:val="20"/>
                <w:szCs w:val="20"/>
                <w:color w:val="auto"/>
              </w:rPr>
            </w:pPr>
            <w:r>
              <w:rPr>
                <w:rFonts w:ascii="Arial" w:cs="Arial" w:eastAsia="Arial" w:hAnsi="Arial"/>
                <w:sz w:val="18"/>
                <w:szCs w:val="18"/>
                <w:color w:val="auto"/>
                <w:w w:val="94"/>
              </w:rPr>
              <w:t>development efforts in the Western U.S. &amp; Canada. In early 2008, his responsibilities</w:t>
            </w:r>
          </w:p>
        </w:tc>
      </w:tr>
      <w:tr>
        <w:trPr>
          <w:trHeight w:val="17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0" w:type="dxa"/>
            <w:vAlign w:val="bottom"/>
          </w:tcPr>
          <w:p>
            <w:pPr>
              <w:ind w:left="20"/>
              <w:spacing w:after="0" w:line="171" w:lineRule="exact"/>
              <w:rPr>
                <w:sz w:val="20"/>
                <w:szCs w:val="20"/>
                <w:color w:val="auto"/>
              </w:rPr>
            </w:pPr>
            <w:r>
              <w:rPr>
                <w:rFonts w:ascii="Arial" w:cs="Arial" w:eastAsia="Arial" w:hAnsi="Arial"/>
                <w:sz w:val="18"/>
                <w:szCs w:val="18"/>
                <w:color w:val="auto"/>
                <w:w w:val="91"/>
              </w:rPr>
              <w:t>expanded to include all of U.S. &amp; Canada and the Caribbean and Latin America and he</w:t>
            </w:r>
          </w:p>
        </w:tc>
      </w:tr>
      <w:tr>
        <w:trPr>
          <w:trHeight w:val="17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0" w:type="dxa"/>
            <w:vAlign w:val="bottom"/>
          </w:tcPr>
          <w:p>
            <w:pPr>
              <w:ind w:left="20"/>
              <w:spacing w:after="0" w:line="171" w:lineRule="exact"/>
              <w:rPr>
                <w:sz w:val="20"/>
                <w:szCs w:val="20"/>
                <w:color w:val="auto"/>
              </w:rPr>
            </w:pPr>
            <w:r>
              <w:rPr>
                <w:rFonts w:ascii="Arial" w:cs="Arial" w:eastAsia="Arial" w:hAnsi="Arial"/>
                <w:sz w:val="18"/>
                <w:szCs w:val="18"/>
                <w:color w:val="auto"/>
                <w:w w:val="94"/>
              </w:rPr>
              <w:t>became Executive Vice President and Global Chief Development Officer in 2009. Mr.</w:t>
            </w:r>
          </w:p>
        </w:tc>
      </w:tr>
      <w:tr>
        <w:trPr>
          <w:trHeight w:val="17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0" w:type="dxa"/>
            <w:vAlign w:val="bottom"/>
          </w:tcPr>
          <w:p>
            <w:pPr>
              <w:ind w:left="20"/>
              <w:spacing w:after="0" w:line="171" w:lineRule="exact"/>
              <w:rPr>
                <w:sz w:val="20"/>
                <w:szCs w:val="20"/>
                <w:color w:val="auto"/>
              </w:rPr>
            </w:pPr>
            <w:r>
              <w:rPr>
                <w:rFonts w:ascii="Arial" w:cs="Arial" w:eastAsia="Arial" w:hAnsi="Arial"/>
                <w:sz w:val="18"/>
                <w:szCs w:val="18"/>
                <w:color w:val="auto"/>
                <w:w w:val="88"/>
              </w:rPr>
              <w:t>Capuano began his professional career in Laventhol and Horwath’s Boston-based Leisure</w:t>
            </w:r>
          </w:p>
        </w:tc>
      </w:tr>
      <w:tr>
        <w:trPr>
          <w:trHeight w:val="17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0" w:type="dxa"/>
            <w:vAlign w:val="bottom"/>
          </w:tcPr>
          <w:p>
            <w:pPr>
              <w:ind w:left="20"/>
              <w:spacing w:after="0" w:line="171" w:lineRule="exact"/>
              <w:rPr>
                <w:sz w:val="20"/>
                <w:szCs w:val="20"/>
                <w:color w:val="auto"/>
              </w:rPr>
            </w:pPr>
            <w:r>
              <w:rPr>
                <w:rFonts w:ascii="Arial" w:cs="Arial" w:eastAsia="Arial" w:hAnsi="Arial"/>
                <w:sz w:val="18"/>
                <w:szCs w:val="18"/>
                <w:color w:val="auto"/>
                <w:w w:val="95"/>
              </w:rPr>
              <w:t>Time Advisory Group. He then joined Kenneth Leventhal and Company’s hospitality</w:t>
            </w:r>
          </w:p>
        </w:tc>
      </w:tr>
      <w:tr>
        <w:trPr>
          <w:trHeight w:val="17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0" w:type="dxa"/>
            <w:vAlign w:val="bottom"/>
          </w:tcPr>
          <w:p>
            <w:pPr>
              <w:ind w:left="20"/>
              <w:spacing w:after="0" w:line="171" w:lineRule="exact"/>
              <w:rPr>
                <w:sz w:val="20"/>
                <w:szCs w:val="20"/>
                <w:color w:val="auto"/>
              </w:rPr>
            </w:pPr>
            <w:r>
              <w:rPr>
                <w:rFonts w:ascii="Arial" w:cs="Arial" w:eastAsia="Arial" w:hAnsi="Arial"/>
                <w:sz w:val="18"/>
                <w:szCs w:val="18"/>
                <w:color w:val="auto"/>
                <w:w w:val="89"/>
              </w:rPr>
              <w:t>consulting group in Los Angeles, CA. Mr. Capuano earned his bachelor’s degree in Hotel</w:t>
            </w:r>
          </w:p>
        </w:tc>
      </w:tr>
      <w:tr>
        <w:trPr>
          <w:trHeight w:val="17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0" w:type="dxa"/>
            <w:vAlign w:val="bottom"/>
          </w:tcPr>
          <w:p>
            <w:pPr>
              <w:ind w:left="20"/>
              <w:spacing w:after="0" w:line="171" w:lineRule="exact"/>
              <w:rPr>
                <w:sz w:val="20"/>
                <w:szCs w:val="20"/>
                <w:color w:val="auto"/>
              </w:rPr>
            </w:pPr>
            <w:r>
              <w:rPr>
                <w:rFonts w:ascii="Arial" w:cs="Arial" w:eastAsia="Arial" w:hAnsi="Arial"/>
                <w:sz w:val="18"/>
                <w:szCs w:val="18"/>
                <w:color w:val="auto"/>
                <w:w w:val="89"/>
              </w:rPr>
              <w:t>Administration from Cornell University. He is an active member of the Cornell Hotel Socie</w:t>
            </w:r>
          </w:p>
        </w:tc>
      </w:tr>
      <w:tr>
        <w:trPr>
          <w:trHeight w:val="185"/>
        </w:trPr>
        <w:tc>
          <w:tcPr>
            <w:tcW w:w="3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0" w:type="dxa"/>
            <w:vAlign w:val="bottom"/>
          </w:tcPr>
          <w:p>
            <w:pPr>
              <w:ind w:left="20"/>
              <w:spacing w:after="0" w:line="185" w:lineRule="exact"/>
              <w:rPr>
                <w:sz w:val="20"/>
                <w:szCs w:val="20"/>
                <w:color w:val="auto"/>
              </w:rPr>
            </w:pPr>
            <w:r>
              <w:rPr>
                <w:rFonts w:ascii="Arial" w:cs="Arial" w:eastAsia="Arial" w:hAnsi="Arial"/>
                <w:sz w:val="18"/>
                <w:szCs w:val="18"/>
                <w:color w:val="auto"/>
                <w:w w:val="90"/>
              </w:rPr>
              <w:t>and a member of The Cornell School of Hotel Administration Dean’s Advisory Board. Mr.</w:t>
            </w:r>
          </w:p>
        </w:tc>
      </w:tr>
    </w:tbl>
    <w:p>
      <w:pPr>
        <w:ind w:left="4960"/>
        <w:spacing w:after="0" w:line="219" w:lineRule="auto"/>
        <w:rPr>
          <w:sz w:val="20"/>
          <w:szCs w:val="20"/>
          <w:color w:val="auto"/>
        </w:rPr>
      </w:pPr>
      <w:r>
        <w:rPr>
          <w:rFonts w:ascii="Arial" w:cs="Arial" w:eastAsia="Arial" w:hAnsi="Arial"/>
          <w:sz w:val="18"/>
          <w:szCs w:val="18"/>
          <w:color w:val="auto"/>
        </w:rPr>
        <w:t>Capuano is also a member of the American Hotel and Lodging Association’s Industry Real Estate Financial Advisory Council.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440" w:type="dxa"/>
        <w:tblCellMar>
          <w:top w:w="0" w:type="dxa"/>
          <w:left w:w="0" w:type="dxa"/>
          <w:bottom w:w="0" w:type="dxa"/>
          <w:right w:w="0" w:type="dxa"/>
        </w:tblCellMar>
      </w:tblPr>
      <w:tr>
        <w:trPr>
          <w:trHeight w:val="188"/>
        </w:trPr>
        <w:tc>
          <w:tcPr>
            <w:tcW w:w="356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Name and Title</w:t>
            </w:r>
          </w:p>
        </w:tc>
        <w:tc>
          <w:tcPr>
            <w:tcW w:w="120" w:type="dxa"/>
            <w:vAlign w:val="bottom"/>
          </w:tcPr>
          <w:p>
            <w:pPr>
              <w:spacing w:after="0"/>
              <w:rPr>
                <w:sz w:val="16"/>
                <w:szCs w:val="16"/>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6"/>
                <w:szCs w:val="16"/>
                <w:color w:val="auto"/>
              </w:rPr>
            </w:pPr>
          </w:p>
        </w:tc>
        <w:tc>
          <w:tcPr>
            <w:tcW w:w="6420" w:type="dxa"/>
            <w:vAlign w:val="bottom"/>
            <w:tcBorders>
              <w:bottom w:val="single" w:sz="8" w:color="auto"/>
            </w:tcBorders>
          </w:tcPr>
          <w:p>
            <w:pPr>
              <w:ind w:left="2960"/>
              <w:spacing w:after="0"/>
              <w:rPr>
                <w:sz w:val="20"/>
                <w:szCs w:val="20"/>
                <w:color w:val="auto"/>
              </w:rPr>
            </w:pPr>
            <w:r>
              <w:rPr>
                <w:rFonts w:ascii="Arial" w:cs="Arial" w:eastAsia="Arial" w:hAnsi="Arial"/>
                <w:sz w:val="14"/>
                <w:szCs w:val="14"/>
                <w:b w:val="1"/>
                <w:bCs w:val="1"/>
                <w:color w:val="auto"/>
              </w:rPr>
              <w:t>Business Experience</w:t>
            </w:r>
          </w:p>
        </w:tc>
      </w:tr>
      <w:tr>
        <w:trPr>
          <w:trHeight w:val="170"/>
        </w:trPr>
        <w:tc>
          <w:tcPr>
            <w:tcW w:w="3680" w:type="dxa"/>
            <w:vAlign w:val="bottom"/>
            <w:gridSpan w:val="2"/>
          </w:tcPr>
          <w:p>
            <w:pPr>
              <w:ind w:left="460"/>
              <w:spacing w:after="0" w:line="170" w:lineRule="exact"/>
              <w:rPr>
                <w:sz w:val="20"/>
                <w:szCs w:val="20"/>
                <w:color w:val="auto"/>
              </w:rPr>
            </w:pPr>
            <w:r>
              <w:rPr>
                <w:rFonts w:ascii="Arial" w:cs="Arial" w:eastAsia="Arial" w:hAnsi="Arial"/>
                <w:sz w:val="18"/>
                <w:szCs w:val="18"/>
                <w:color w:val="auto"/>
              </w:rPr>
              <w:t>Felitia Lee</w:t>
            </w:r>
          </w:p>
        </w:tc>
        <w:tc>
          <w:tcPr>
            <w:tcW w:w="700" w:type="dxa"/>
            <w:vAlign w:val="bottom"/>
          </w:tcPr>
          <w:p>
            <w:pPr>
              <w:ind w:left="460"/>
              <w:spacing w:after="0" w:line="170" w:lineRule="exact"/>
              <w:rPr>
                <w:sz w:val="20"/>
                <w:szCs w:val="20"/>
                <w:color w:val="auto"/>
              </w:rPr>
            </w:pPr>
            <w:r>
              <w:rPr>
                <w:rFonts w:ascii="Arial" w:cs="Arial" w:eastAsia="Arial" w:hAnsi="Arial"/>
                <w:sz w:val="18"/>
                <w:szCs w:val="18"/>
                <w:color w:val="auto"/>
              </w:rPr>
              <w:t>59</w:t>
            </w:r>
          </w:p>
        </w:tc>
        <w:tc>
          <w:tcPr>
            <w:tcW w:w="100" w:type="dxa"/>
            <w:vAlign w:val="bottom"/>
          </w:tcPr>
          <w:p>
            <w:pPr>
              <w:spacing w:after="0"/>
              <w:rPr>
                <w:sz w:val="14"/>
                <w:szCs w:val="14"/>
                <w:color w:val="auto"/>
              </w:rPr>
            </w:pPr>
          </w:p>
        </w:tc>
        <w:tc>
          <w:tcPr>
            <w:tcW w:w="6420" w:type="dxa"/>
            <w:vAlign w:val="bottom"/>
          </w:tcPr>
          <w:p>
            <w:pPr>
              <w:ind w:left="460"/>
              <w:spacing w:after="0" w:line="170" w:lineRule="exact"/>
              <w:rPr>
                <w:sz w:val="20"/>
                <w:szCs w:val="20"/>
                <w:color w:val="auto"/>
              </w:rPr>
            </w:pPr>
            <w:r>
              <w:rPr>
                <w:rFonts w:ascii="Arial" w:cs="Arial" w:eastAsia="Arial" w:hAnsi="Arial"/>
                <w:sz w:val="18"/>
                <w:szCs w:val="18"/>
                <w:color w:val="auto"/>
                <w:w w:val="90"/>
              </w:rPr>
              <w:t>Felitia Lee became Marriott’s Controller and Chief Accounting Officer and principal</w:t>
            </w:r>
          </w:p>
        </w:tc>
      </w:tr>
      <w:tr>
        <w:trPr>
          <w:trHeight w:val="171"/>
        </w:trPr>
        <w:tc>
          <w:tcPr>
            <w:tcW w:w="3680" w:type="dxa"/>
            <w:vAlign w:val="bottom"/>
            <w:gridSpan w:val="2"/>
          </w:tcPr>
          <w:p>
            <w:pPr>
              <w:ind w:left="20"/>
              <w:spacing w:after="0" w:line="171" w:lineRule="exact"/>
              <w:rPr>
                <w:sz w:val="20"/>
                <w:szCs w:val="20"/>
                <w:color w:val="auto"/>
              </w:rPr>
            </w:pPr>
            <w:r>
              <w:rPr>
                <w:rFonts w:ascii="Arial" w:cs="Arial" w:eastAsia="Arial" w:hAnsi="Arial"/>
                <w:sz w:val="18"/>
                <w:szCs w:val="18"/>
                <w:color w:val="auto"/>
              </w:rPr>
              <w:t>Controller and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20" w:type="dxa"/>
            <w:vAlign w:val="bottom"/>
          </w:tcPr>
          <w:p>
            <w:pPr>
              <w:ind w:left="20"/>
              <w:spacing w:after="0" w:line="171" w:lineRule="exact"/>
              <w:rPr>
                <w:sz w:val="20"/>
                <w:szCs w:val="20"/>
                <w:color w:val="auto"/>
              </w:rPr>
            </w:pPr>
            <w:r>
              <w:rPr>
                <w:rFonts w:ascii="Arial" w:cs="Arial" w:eastAsia="Arial" w:hAnsi="Arial"/>
                <w:sz w:val="18"/>
                <w:szCs w:val="18"/>
                <w:color w:val="auto"/>
                <w:w w:val="90"/>
              </w:rPr>
              <w:t>accounting officer in August 2020, with responsibility for the accounting operations of the</w:t>
            </w:r>
          </w:p>
        </w:tc>
      </w:tr>
      <w:tr>
        <w:trPr>
          <w:trHeight w:val="171"/>
        </w:trPr>
        <w:tc>
          <w:tcPr>
            <w:tcW w:w="3680" w:type="dxa"/>
            <w:vAlign w:val="bottom"/>
            <w:gridSpan w:val="2"/>
          </w:tcPr>
          <w:p>
            <w:pPr>
              <w:ind w:left="20"/>
              <w:spacing w:after="0" w:line="171" w:lineRule="exact"/>
              <w:rPr>
                <w:sz w:val="20"/>
                <w:szCs w:val="20"/>
                <w:color w:val="auto"/>
              </w:rPr>
            </w:pPr>
            <w:r>
              <w:rPr>
                <w:rFonts w:ascii="Arial" w:cs="Arial" w:eastAsia="Arial" w:hAnsi="Arial"/>
                <w:sz w:val="18"/>
                <w:szCs w:val="18"/>
                <w:color w:val="auto"/>
              </w:rPr>
              <w:t>Chief Accounting Officer</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20" w:type="dxa"/>
            <w:vAlign w:val="bottom"/>
          </w:tcPr>
          <w:p>
            <w:pPr>
              <w:ind w:left="20"/>
              <w:spacing w:after="0" w:line="171" w:lineRule="exact"/>
              <w:rPr>
                <w:sz w:val="20"/>
                <w:szCs w:val="20"/>
                <w:color w:val="auto"/>
              </w:rPr>
            </w:pPr>
            <w:r>
              <w:rPr>
                <w:rFonts w:ascii="Arial" w:cs="Arial" w:eastAsia="Arial" w:hAnsi="Arial"/>
                <w:sz w:val="18"/>
                <w:szCs w:val="18"/>
                <w:color w:val="auto"/>
                <w:w w:val="90"/>
              </w:rPr>
              <w:t>Company including oversight of Financial Reporting &amp; Analysis, Accounting Policy, Gene</w:t>
            </w:r>
          </w:p>
        </w:tc>
      </w:tr>
      <w:tr>
        <w:trPr>
          <w:trHeight w:val="17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20" w:type="dxa"/>
            <w:vAlign w:val="bottom"/>
          </w:tcPr>
          <w:p>
            <w:pPr>
              <w:ind w:left="20"/>
              <w:spacing w:after="0" w:line="171" w:lineRule="exact"/>
              <w:rPr>
                <w:sz w:val="20"/>
                <w:szCs w:val="20"/>
                <w:color w:val="auto"/>
              </w:rPr>
            </w:pPr>
            <w:r>
              <w:rPr>
                <w:rFonts w:ascii="Arial" w:cs="Arial" w:eastAsia="Arial" w:hAnsi="Arial"/>
                <w:sz w:val="18"/>
                <w:szCs w:val="18"/>
                <w:color w:val="auto"/>
                <w:w w:val="89"/>
              </w:rPr>
              <w:t>Accounting, Governance, Risk Management (Insurance, Claims, Business Continuity, Fire</w:t>
            </w:r>
          </w:p>
        </w:tc>
      </w:tr>
      <w:tr>
        <w:trPr>
          <w:trHeight w:val="17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20" w:type="dxa"/>
            <w:vAlign w:val="bottom"/>
          </w:tcPr>
          <w:p>
            <w:pPr>
              <w:ind w:left="20"/>
              <w:spacing w:after="0" w:line="171" w:lineRule="exact"/>
              <w:rPr>
                <w:sz w:val="20"/>
                <w:szCs w:val="20"/>
                <w:color w:val="auto"/>
              </w:rPr>
            </w:pPr>
            <w:r>
              <w:rPr>
                <w:rFonts w:ascii="Arial" w:cs="Arial" w:eastAsia="Arial" w:hAnsi="Arial"/>
                <w:sz w:val="18"/>
                <w:szCs w:val="18"/>
                <w:color w:val="auto"/>
                <w:w w:val="89"/>
              </w:rPr>
              <w:t>Life Safety), Global Finance Shared Services, and Finance Contract Compliance. Ms. Lee</w:t>
            </w:r>
          </w:p>
        </w:tc>
      </w:tr>
      <w:tr>
        <w:trPr>
          <w:trHeight w:val="17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20" w:type="dxa"/>
            <w:vAlign w:val="bottom"/>
          </w:tcPr>
          <w:p>
            <w:pPr>
              <w:ind w:left="20"/>
              <w:spacing w:after="0" w:line="171" w:lineRule="exact"/>
              <w:rPr>
                <w:sz w:val="20"/>
                <w:szCs w:val="20"/>
                <w:color w:val="auto"/>
              </w:rPr>
            </w:pPr>
            <w:r>
              <w:rPr>
                <w:rFonts w:ascii="Arial" w:cs="Arial" w:eastAsia="Arial" w:hAnsi="Arial"/>
                <w:sz w:val="18"/>
                <w:szCs w:val="18"/>
                <w:color w:val="auto"/>
                <w:w w:val="92"/>
              </w:rPr>
              <w:t>joined Marriott in May 2020, supporting the management of the Company’s accounting</w:t>
            </w:r>
          </w:p>
        </w:tc>
      </w:tr>
      <w:tr>
        <w:trPr>
          <w:trHeight w:val="17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20" w:type="dxa"/>
            <w:vAlign w:val="bottom"/>
          </w:tcPr>
          <w:p>
            <w:pPr>
              <w:ind w:left="20"/>
              <w:spacing w:after="0" w:line="171" w:lineRule="exact"/>
              <w:rPr>
                <w:sz w:val="20"/>
                <w:szCs w:val="20"/>
                <w:color w:val="auto"/>
              </w:rPr>
            </w:pPr>
            <w:r>
              <w:rPr>
                <w:rFonts w:ascii="Arial" w:cs="Arial" w:eastAsia="Arial" w:hAnsi="Arial"/>
                <w:sz w:val="18"/>
                <w:szCs w:val="18"/>
                <w:color w:val="auto"/>
                <w:w w:val="89"/>
              </w:rPr>
              <w:t>operations. Prior to joining Marriott, Ms. Lee was the Senior Vice President and Controller</w:t>
            </w:r>
          </w:p>
        </w:tc>
      </w:tr>
      <w:tr>
        <w:trPr>
          <w:trHeight w:val="17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20" w:type="dxa"/>
            <w:vAlign w:val="bottom"/>
          </w:tcPr>
          <w:p>
            <w:pPr>
              <w:ind w:left="20"/>
              <w:spacing w:after="0" w:line="171" w:lineRule="exact"/>
              <w:rPr>
                <w:sz w:val="20"/>
                <w:szCs w:val="20"/>
                <w:color w:val="auto"/>
              </w:rPr>
            </w:pPr>
            <w:r>
              <w:rPr>
                <w:rFonts w:ascii="Arial" w:cs="Arial" w:eastAsia="Arial" w:hAnsi="Arial"/>
                <w:sz w:val="18"/>
                <w:szCs w:val="18"/>
                <w:color w:val="auto"/>
                <w:w w:val="91"/>
              </w:rPr>
              <w:t>Kohl’s Corporation, a publicly-traded retailer, since 2018, where she was responsible for</w:t>
            </w:r>
          </w:p>
        </w:tc>
      </w:tr>
      <w:tr>
        <w:trPr>
          <w:trHeight w:val="17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20" w:type="dxa"/>
            <w:vAlign w:val="bottom"/>
          </w:tcPr>
          <w:p>
            <w:pPr>
              <w:ind w:left="20"/>
              <w:spacing w:after="0" w:line="171" w:lineRule="exact"/>
              <w:rPr>
                <w:sz w:val="20"/>
                <w:szCs w:val="20"/>
                <w:color w:val="auto"/>
              </w:rPr>
            </w:pPr>
            <w:r>
              <w:rPr>
                <w:rFonts w:ascii="Arial" w:cs="Arial" w:eastAsia="Arial" w:hAnsi="Arial"/>
                <w:sz w:val="18"/>
                <w:szCs w:val="18"/>
                <w:color w:val="auto"/>
                <w:w w:val="93"/>
              </w:rPr>
              <w:t>financial reporting, Sarbanes-Oxley processes, capital management, tax planning and</w:t>
            </w:r>
          </w:p>
        </w:tc>
      </w:tr>
      <w:tr>
        <w:trPr>
          <w:trHeight w:val="17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20" w:type="dxa"/>
            <w:vAlign w:val="bottom"/>
          </w:tcPr>
          <w:p>
            <w:pPr>
              <w:ind w:left="20"/>
              <w:spacing w:after="0" w:line="171" w:lineRule="exact"/>
              <w:rPr>
                <w:sz w:val="20"/>
                <w:szCs w:val="20"/>
                <w:color w:val="auto"/>
              </w:rPr>
            </w:pPr>
            <w:r>
              <w:rPr>
                <w:rFonts w:ascii="Arial" w:cs="Arial" w:eastAsia="Arial" w:hAnsi="Arial"/>
                <w:sz w:val="18"/>
                <w:szCs w:val="18"/>
                <w:color w:val="auto"/>
                <w:w w:val="93"/>
              </w:rPr>
              <w:t>compliance. Prior to joining Kohl’s Corporation, Ms. Lee held numerous positions with</w:t>
            </w:r>
          </w:p>
        </w:tc>
      </w:tr>
      <w:tr>
        <w:trPr>
          <w:trHeight w:val="17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20" w:type="dxa"/>
            <w:vAlign w:val="bottom"/>
          </w:tcPr>
          <w:p>
            <w:pPr>
              <w:ind w:left="20"/>
              <w:spacing w:after="0" w:line="171" w:lineRule="exact"/>
              <w:rPr>
                <w:sz w:val="20"/>
                <w:szCs w:val="20"/>
                <w:color w:val="auto"/>
              </w:rPr>
            </w:pPr>
            <w:r>
              <w:rPr>
                <w:rFonts w:ascii="Arial" w:cs="Arial" w:eastAsia="Arial" w:hAnsi="Arial"/>
                <w:sz w:val="18"/>
                <w:szCs w:val="18"/>
                <w:color w:val="auto"/>
                <w:w w:val="91"/>
              </w:rPr>
              <w:t>PepsiCo, Inc., a publicly-traded global food and beverage company, culminating in Vice</w:t>
            </w:r>
          </w:p>
        </w:tc>
      </w:tr>
      <w:tr>
        <w:trPr>
          <w:trHeight w:val="17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20" w:type="dxa"/>
            <w:vAlign w:val="bottom"/>
          </w:tcPr>
          <w:p>
            <w:pPr>
              <w:ind w:left="20"/>
              <w:spacing w:after="0" w:line="171" w:lineRule="exact"/>
              <w:rPr>
                <w:sz w:val="20"/>
                <w:szCs w:val="20"/>
                <w:color w:val="auto"/>
              </w:rPr>
            </w:pPr>
            <w:r>
              <w:rPr>
                <w:rFonts w:ascii="Arial" w:cs="Arial" w:eastAsia="Arial" w:hAnsi="Arial"/>
                <w:sz w:val="18"/>
                <w:szCs w:val="18"/>
                <w:color w:val="auto"/>
                <w:w w:val="88"/>
              </w:rPr>
              <w:t>President and Controller of the Pepsi Beverage Company after the merger of PepsiCo with</w:t>
            </w:r>
          </w:p>
        </w:tc>
      </w:tr>
      <w:tr>
        <w:trPr>
          <w:trHeight w:val="17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20" w:type="dxa"/>
            <w:vAlign w:val="bottom"/>
          </w:tcPr>
          <w:p>
            <w:pPr>
              <w:ind w:left="20"/>
              <w:spacing w:after="0" w:line="171" w:lineRule="exact"/>
              <w:rPr>
                <w:sz w:val="20"/>
                <w:szCs w:val="20"/>
                <w:color w:val="auto"/>
              </w:rPr>
            </w:pPr>
            <w:r>
              <w:rPr>
                <w:rFonts w:ascii="Arial" w:cs="Arial" w:eastAsia="Arial" w:hAnsi="Arial"/>
                <w:sz w:val="18"/>
                <w:szCs w:val="18"/>
                <w:color w:val="auto"/>
                <w:w w:val="95"/>
              </w:rPr>
              <w:t>of its largest bottlers in 2010. Earlier in her career, Ms. Lee held a variety of financial</w:t>
            </w:r>
          </w:p>
        </w:tc>
      </w:tr>
      <w:tr>
        <w:trPr>
          <w:trHeight w:val="17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20" w:type="dxa"/>
            <w:vAlign w:val="bottom"/>
          </w:tcPr>
          <w:p>
            <w:pPr>
              <w:ind w:left="20"/>
              <w:spacing w:after="0" w:line="171" w:lineRule="exact"/>
              <w:rPr>
                <w:sz w:val="20"/>
                <w:szCs w:val="20"/>
                <w:color w:val="auto"/>
              </w:rPr>
            </w:pPr>
            <w:r>
              <w:rPr>
                <w:rFonts w:ascii="Arial" w:cs="Arial" w:eastAsia="Arial" w:hAnsi="Arial"/>
                <w:sz w:val="18"/>
                <w:szCs w:val="18"/>
                <w:color w:val="auto"/>
                <w:w w:val="88"/>
              </w:rPr>
              <w:t>leadership positions with such organizations as Pilkington, plc and Coopers &amp; Lybrand (an</w:t>
            </w:r>
          </w:p>
        </w:tc>
      </w:tr>
      <w:tr>
        <w:trPr>
          <w:trHeight w:val="17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20" w:type="dxa"/>
            <w:vAlign w:val="bottom"/>
          </w:tcPr>
          <w:p>
            <w:pPr>
              <w:ind w:left="20"/>
              <w:spacing w:after="0" w:line="171" w:lineRule="exact"/>
              <w:rPr>
                <w:sz w:val="20"/>
                <w:szCs w:val="20"/>
                <w:color w:val="auto"/>
              </w:rPr>
            </w:pPr>
            <w:r>
              <w:rPr>
                <w:rFonts w:ascii="Arial" w:cs="Arial" w:eastAsia="Arial" w:hAnsi="Arial"/>
                <w:sz w:val="18"/>
                <w:szCs w:val="18"/>
                <w:color w:val="auto"/>
                <w:w w:val="87"/>
              </w:rPr>
              <w:t>accounting firm now part of PricewaterhouseCoopers). She earned her Bachelor of Science</w:t>
            </w:r>
          </w:p>
        </w:tc>
      </w:tr>
      <w:tr>
        <w:trPr>
          <w:trHeight w:val="17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20" w:type="dxa"/>
            <w:vAlign w:val="bottom"/>
          </w:tcPr>
          <w:p>
            <w:pPr>
              <w:ind w:left="20"/>
              <w:spacing w:after="0" w:line="171" w:lineRule="exact"/>
              <w:rPr>
                <w:sz w:val="20"/>
                <w:szCs w:val="20"/>
                <w:color w:val="auto"/>
              </w:rPr>
            </w:pPr>
            <w:r>
              <w:rPr>
                <w:rFonts w:ascii="Arial" w:cs="Arial" w:eastAsia="Arial" w:hAnsi="Arial"/>
                <w:sz w:val="18"/>
                <w:szCs w:val="18"/>
                <w:color w:val="auto"/>
                <w:w w:val="89"/>
              </w:rPr>
              <w:t>Accounting from Santa Clara University. She is a Certified Public Accountant and a memb</w:t>
            </w:r>
          </w:p>
        </w:tc>
      </w:tr>
      <w:tr>
        <w:trPr>
          <w:trHeight w:val="222"/>
        </w:trPr>
        <w:tc>
          <w:tcPr>
            <w:tcW w:w="3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20" w:type="dxa"/>
            <w:vAlign w:val="bottom"/>
          </w:tcPr>
          <w:p>
            <w:pPr>
              <w:ind w:left="20"/>
              <w:spacing w:after="0"/>
              <w:rPr>
                <w:sz w:val="20"/>
                <w:szCs w:val="20"/>
                <w:color w:val="auto"/>
              </w:rPr>
            </w:pPr>
            <w:r>
              <w:rPr>
                <w:rFonts w:ascii="Arial" w:cs="Arial" w:eastAsia="Arial" w:hAnsi="Arial"/>
                <w:sz w:val="18"/>
                <w:szCs w:val="18"/>
                <w:color w:val="auto"/>
              </w:rPr>
              <w:t>of the American Institute of Certified Public Accountants.</w:t>
            </w:r>
          </w:p>
        </w:tc>
      </w:tr>
      <w:tr>
        <w:trPr>
          <w:trHeight w:val="383"/>
        </w:trPr>
        <w:tc>
          <w:tcPr>
            <w:tcW w:w="3680" w:type="dxa"/>
            <w:vAlign w:val="bottom"/>
            <w:gridSpan w:val="2"/>
          </w:tcPr>
          <w:p>
            <w:pPr>
              <w:ind w:left="460"/>
              <w:spacing w:after="0"/>
              <w:rPr>
                <w:sz w:val="20"/>
                <w:szCs w:val="20"/>
                <w:color w:val="auto"/>
              </w:rPr>
            </w:pPr>
            <w:r>
              <w:rPr>
                <w:rFonts w:ascii="Arial" w:cs="Arial" w:eastAsia="Arial" w:hAnsi="Arial"/>
                <w:sz w:val="18"/>
                <w:szCs w:val="18"/>
                <w:color w:val="auto"/>
              </w:rPr>
              <w:t>Stephanie Linnartz</w:t>
            </w:r>
          </w:p>
        </w:tc>
        <w:tc>
          <w:tcPr>
            <w:tcW w:w="700" w:type="dxa"/>
            <w:vAlign w:val="bottom"/>
          </w:tcPr>
          <w:p>
            <w:pPr>
              <w:ind w:left="46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6420" w:type="dxa"/>
            <w:vAlign w:val="bottom"/>
          </w:tcPr>
          <w:p>
            <w:pPr>
              <w:ind w:left="460"/>
              <w:spacing w:after="0"/>
              <w:rPr>
                <w:sz w:val="20"/>
                <w:szCs w:val="20"/>
                <w:color w:val="auto"/>
              </w:rPr>
            </w:pPr>
            <w:r>
              <w:rPr>
                <w:rFonts w:ascii="Arial" w:cs="Arial" w:eastAsia="Arial" w:hAnsi="Arial"/>
                <w:sz w:val="18"/>
                <w:szCs w:val="18"/>
                <w:color w:val="auto"/>
                <w:w w:val="87"/>
              </w:rPr>
              <w:t>Stephanie Linnartz became Group President, Consumer Operations, Technology and</w:t>
            </w:r>
          </w:p>
        </w:tc>
      </w:tr>
      <w:tr>
        <w:trPr>
          <w:trHeight w:val="171"/>
        </w:trPr>
        <w:tc>
          <w:tcPr>
            <w:tcW w:w="3680" w:type="dxa"/>
            <w:vAlign w:val="bottom"/>
            <w:gridSpan w:val="2"/>
          </w:tcPr>
          <w:p>
            <w:pPr>
              <w:ind w:left="20"/>
              <w:spacing w:after="0" w:line="171" w:lineRule="exact"/>
              <w:rPr>
                <w:sz w:val="20"/>
                <w:szCs w:val="20"/>
                <w:color w:val="auto"/>
              </w:rPr>
            </w:pPr>
            <w:r>
              <w:rPr>
                <w:rFonts w:ascii="Arial" w:cs="Arial" w:eastAsia="Arial" w:hAnsi="Arial"/>
                <w:sz w:val="18"/>
                <w:szCs w:val="18"/>
                <w:color w:val="auto"/>
              </w:rPr>
              <w:t>Group President, Consumer Operations,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20" w:type="dxa"/>
            <w:vAlign w:val="bottom"/>
          </w:tcPr>
          <w:p>
            <w:pPr>
              <w:ind w:left="20"/>
              <w:spacing w:after="0" w:line="171" w:lineRule="exact"/>
              <w:rPr>
                <w:sz w:val="20"/>
                <w:szCs w:val="20"/>
                <w:color w:val="auto"/>
              </w:rPr>
            </w:pPr>
            <w:r>
              <w:rPr>
                <w:rFonts w:ascii="Arial" w:cs="Arial" w:eastAsia="Arial" w:hAnsi="Arial"/>
                <w:sz w:val="18"/>
                <w:szCs w:val="18"/>
                <w:color w:val="auto"/>
                <w:w w:val="95"/>
              </w:rPr>
              <w:t>Emerging Businesses in January 2020. She is responsible for the Company’s brand</w:t>
            </w:r>
          </w:p>
        </w:tc>
      </w:tr>
      <w:tr>
        <w:trPr>
          <w:trHeight w:val="171"/>
        </w:trPr>
        <w:tc>
          <w:tcPr>
            <w:tcW w:w="3680" w:type="dxa"/>
            <w:vAlign w:val="bottom"/>
            <w:gridSpan w:val="2"/>
          </w:tcPr>
          <w:p>
            <w:pPr>
              <w:ind w:left="20"/>
              <w:spacing w:after="0" w:line="171" w:lineRule="exact"/>
              <w:rPr>
                <w:sz w:val="20"/>
                <w:szCs w:val="20"/>
                <w:color w:val="auto"/>
              </w:rPr>
            </w:pPr>
            <w:r>
              <w:rPr>
                <w:rFonts w:ascii="Arial" w:cs="Arial" w:eastAsia="Arial" w:hAnsi="Arial"/>
                <w:sz w:val="18"/>
                <w:szCs w:val="18"/>
                <w:color w:val="auto"/>
                <w:w w:val="98"/>
              </w:rPr>
              <w:t>Technology and Emerging Businesses (Acting</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20" w:type="dxa"/>
            <w:vAlign w:val="bottom"/>
          </w:tcPr>
          <w:p>
            <w:pPr>
              <w:ind w:left="20"/>
              <w:spacing w:after="0" w:line="171" w:lineRule="exact"/>
              <w:rPr>
                <w:sz w:val="20"/>
                <w:szCs w:val="20"/>
                <w:color w:val="auto"/>
              </w:rPr>
            </w:pPr>
            <w:r>
              <w:rPr>
                <w:rFonts w:ascii="Arial" w:cs="Arial" w:eastAsia="Arial" w:hAnsi="Arial"/>
                <w:sz w:val="18"/>
                <w:szCs w:val="18"/>
                <w:color w:val="auto"/>
                <w:w w:val="86"/>
              </w:rPr>
              <w:t>management, sales, marketing, revenue management, distribution, customer experience and</w:t>
            </w:r>
          </w:p>
        </w:tc>
      </w:tr>
      <w:tr>
        <w:trPr>
          <w:trHeight w:val="171"/>
        </w:trPr>
        <w:tc>
          <w:tcPr>
            <w:tcW w:w="3680" w:type="dxa"/>
            <w:vAlign w:val="bottom"/>
            <w:gridSpan w:val="2"/>
          </w:tcPr>
          <w:p>
            <w:pPr>
              <w:ind w:left="20"/>
              <w:spacing w:after="0" w:line="171" w:lineRule="exact"/>
              <w:rPr>
                <w:sz w:val="20"/>
                <w:szCs w:val="20"/>
                <w:color w:val="auto"/>
              </w:rPr>
            </w:pPr>
            <w:r>
              <w:rPr>
                <w:rFonts w:ascii="Arial" w:cs="Arial" w:eastAsia="Arial" w:hAnsi="Arial"/>
                <w:sz w:val="18"/>
                <w:szCs w:val="18"/>
                <w:color w:val="auto"/>
              </w:rPr>
              <w:t>Co-Principal Executive Officer)</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20" w:type="dxa"/>
            <w:vAlign w:val="bottom"/>
          </w:tcPr>
          <w:p>
            <w:pPr>
              <w:ind w:left="20"/>
              <w:spacing w:after="0" w:line="171" w:lineRule="exact"/>
              <w:rPr>
                <w:sz w:val="20"/>
                <w:szCs w:val="20"/>
                <w:color w:val="auto"/>
              </w:rPr>
            </w:pPr>
            <w:r>
              <w:rPr>
                <w:rFonts w:ascii="Arial" w:cs="Arial" w:eastAsia="Arial" w:hAnsi="Arial"/>
                <w:sz w:val="18"/>
                <w:szCs w:val="18"/>
                <w:color w:val="auto"/>
                <w:w w:val="93"/>
              </w:rPr>
              <w:t>innovation, information technology and digital functions, including Marriott Bonvoy, the</w:t>
            </w:r>
          </w:p>
        </w:tc>
      </w:tr>
      <w:tr>
        <w:trPr>
          <w:trHeight w:val="17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20" w:type="dxa"/>
            <w:vAlign w:val="bottom"/>
          </w:tcPr>
          <w:p>
            <w:pPr>
              <w:ind w:left="20"/>
              <w:spacing w:after="0" w:line="171" w:lineRule="exact"/>
              <w:rPr>
                <w:sz w:val="20"/>
                <w:szCs w:val="20"/>
                <w:color w:val="auto"/>
              </w:rPr>
            </w:pPr>
            <w:r>
              <w:rPr>
                <w:rFonts w:ascii="Arial" w:cs="Arial" w:eastAsia="Arial" w:hAnsi="Arial"/>
                <w:sz w:val="18"/>
                <w:szCs w:val="18"/>
                <w:color w:val="auto"/>
                <w:w w:val="88"/>
              </w:rPr>
              <w:t>Company’s loyalty program. In February 2021, Ms. Linnartz also began to share responsibi</w:t>
            </w:r>
          </w:p>
        </w:tc>
      </w:tr>
      <w:tr>
        <w:trPr>
          <w:trHeight w:val="17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20" w:type="dxa"/>
            <w:vAlign w:val="bottom"/>
          </w:tcPr>
          <w:p>
            <w:pPr>
              <w:ind w:left="20"/>
              <w:spacing w:after="0" w:line="171" w:lineRule="exact"/>
              <w:rPr>
                <w:sz w:val="20"/>
                <w:szCs w:val="20"/>
                <w:color w:val="auto"/>
              </w:rPr>
            </w:pPr>
            <w:r>
              <w:rPr>
                <w:rFonts w:ascii="Arial" w:cs="Arial" w:eastAsia="Arial" w:hAnsi="Arial"/>
                <w:sz w:val="18"/>
                <w:szCs w:val="18"/>
                <w:color w:val="auto"/>
                <w:w w:val="88"/>
              </w:rPr>
              <w:t>with Mr. Capuano for overseeing the day-to-day operations of Marriott’s business units and</w:t>
            </w:r>
          </w:p>
        </w:tc>
      </w:tr>
      <w:tr>
        <w:trPr>
          <w:trHeight w:val="17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20" w:type="dxa"/>
            <w:vAlign w:val="bottom"/>
          </w:tcPr>
          <w:p>
            <w:pPr>
              <w:ind w:left="20"/>
              <w:spacing w:after="0" w:line="171" w:lineRule="exact"/>
              <w:rPr>
                <w:sz w:val="20"/>
                <w:szCs w:val="20"/>
                <w:color w:val="auto"/>
              </w:rPr>
            </w:pPr>
            <w:r>
              <w:rPr>
                <w:rFonts w:ascii="Arial" w:cs="Arial" w:eastAsia="Arial" w:hAnsi="Arial"/>
                <w:sz w:val="18"/>
                <w:szCs w:val="18"/>
                <w:color w:val="auto"/>
                <w:w w:val="88"/>
              </w:rPr>
              <w:t>corporate functions, which arrangement is expected to continue until the Company’s Board</w:t>
            </w:r>
          </w:p>
        </w:tc>
      </w:tr>
      <w:tr>
        <w:trPr>
          <w:trHeight w:val="17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20" w:type="dxa"/>
            <w:vAlign w:val="bottom"/>
          </w:tcPr>
          <w:p>
            <w:pPr>
              <w:ind w:left="20"/>
              <w:spacing w:after="0" w:line="171" w:lineRule="exact"/>
              <w:rPr>
                <w:sz w:val="20"/>
                <w:szCs w:val="20"/>
                <w:color w:val="auto"/>
              </w:rPr>
            </w:pPr>
            <w:r>
              <w:rPr>
                <w:rFonts w:ascii="Arial" w:cs="Arial" w:eastAsia="Arial" w:hAnsi="Arial"/>
                <w:sz w:val="18"/>
                <w:szCs w:val="18"/>
                <w:color w:val="auto"/>
                <w:w w:val="89"/>
              </w:rPr>
              <w:t>Directors appoints a permanent CEO. During this time, Ms. Linnartz will be overseeing the</w:t>
            </w:r>
          </w:p>
        </w:tc>
      </w:tr>
      <w:tr>
        <w:trPr>
          <w:trHeight w:val="17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20" w:type="dxa"/>
            <w:vAlign w:val="bottom"/>
          </w:tcPr>
          <w:p>
            <w:pPr>
              <w:ind w:left="20"/>
              <w:spacing w:after="0" w:line="171" w:lineRule="exact"/>
              <w:rPr>
                <w:sz w:val="20"/>
                <w:szCs w:val="20"/>
                <w:color w:val="auto"/>
              </w:rPr>
            </w:pPr>
            <w:r>
              <w:rPr>
                <w:rFonts w:ascii="Arial" w:cs="Arial" w:eastAsia="Arial" w:hAnsi="Arial"/>
                <w:sz w:val="18"/>
                <w:szCs w:val="18"/>
                <w:color w:val="auto"/>
                <w:w w:val="87"/>
              </w:rPr>
              <w:t>Company’s International segment, as well as Legal, Human Resources and Communication</w:t>
            </w:r>
          </w:p>
        </w:tc>
      </w:tr>
      <w:tr>
        <w:trPr>
          <w:trHeight w:val="17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20" w:type="dxa"/>
            <w:vAlign w:val="bottom"/>
          </w:tcPr>
          <w:p>
            <w:pPr>
              <w:ind w:left="20"/>
              <w:spacing w:after="0" w:line="171" w:lineRule="exact"/>
              <w:rPr>
                <w:sz w:val="20"/>
                <w:szCs w:val="20"/>
                <w:color w:val="auto"/>
              </w:rPr>
            </w:pPr>
            <w:r>
              <w:rPr>
                <w:rFonts w:ascii="Arial" w:cs="Arial" w:eastAsia="Arial" w:hAnsi="Arial"/>
                <w:sz w:val="18"/>
                <w:szCs w:val="18"/>
                <w:color w:val="auto"/>
                <w:w w:val="90"/>
              </w:rPr>
              <w:t>Public Affairs. Ms. Linnartz also is responsible for developing, incubating, and running ne</w:t>
            </w:r>
          </w:p>
        </w:tc>
      </w:tr>
      <w:tr>
        <w:trPr>
          <w:trHeight w:val="17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20" w:type="dxa"/>
            <w:vAlign w:val="bottom"/>
          </w:tcPr>
          <w:p>
            <w:pPr>
              <w:ind w:left="20"/>
              <w:spacing w:after="0" w:line="171" w:lineRule="exact"/>
              <w:rPr>
                <w:sz w:val="20"/>
                <w:szCs w:val="20"/>
                <w:color w:val="auto"/>
              </w:rPr>
            </w:pPr>
            <w:r>
              <w:rPr>
                <w:rFonts w:ascii="Arial" w:cs="Arial" w:eastAsia="Arial" w:hAnsi="Arial"/>
                <w:sz w:val="18"/>
                <w:szCs w:val="18"/>
                <w:color w:val="auto"/>
                <w:w w:val="88"/>
              </w:rPr>
              <w:t>lines of business. Before assuming her current position, Ms. Linnartz, who began her Marri</w:t>
            </w:r>
          </w:p>
        </w:tc>
      </w:tr>
      <w:tr>
        <w:trPr>
          <w:trHeight w:val="17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20" w:type="dxa"/>
            <w:vAlign w:val="bottom"/>
          </w:tcPr>
          <w:p>
            <w:pPr>
              <w:ind w:left="20"/>
              <w:spacing w:after="0" w:line="171" w:lineRule="exact"/>
              <w:rPr>
                <w:sz w:val="20"/>
                <w:szCs w:val="20"/>
                <w:color w:val="auto"/>
              </w:rPr>
            </w:pPr>
            <w:r>
              <w:rPr>
                <w:rFonts w:ascii="Arial" w:cs="Arial" w:eastAsia="Arial" w:hAnsi="Arial"/>
                <w:sz w:val="18"/>
                <w:szCs w:val="18"/>
                <w:color w:val="auto"/>
                <w:w w:val="89"/>
              </w:rPr>
              <w:t>career in 1997, served as Global Chief Commercial Officer from 2013 to 2019; Global Offi</w:t>
            </w:r>
          </w:p>
        </w:tc>
      </w:tr>
      <w:tr>
        <w:trPr>
          <w:trHeight w:val="17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20" w:type="dxa"/>
            <w:vAlign w:val="bottom"/>
          </w:tcPr>
          <w:p>
            <w:pPr>
              <w:ind w:left="20"/>
              <w:spacing w:after="0" w:line="171" w:lineRule="exact"/>
              <w:rPr>
                <w:sz w:val="20"/>
                <w:szCs w:val="20"/>
                <w:color w:val="auto"/>
              </w:rPr>
            </w:pPr>
            <w:r>
              <w:rPr>
                <w:rFonts w:ascii="Arial" w:cs="Arial" w:eastAsia="Arial" w:hAnsi="Arial"/>
                <w:sz w:val="18"/>
                <w:szCs w:val="18"/>
                <w:color w:val="auto"/>
                <w:w w:val="87"/>
              </w:rPr>
              <w:t>Sales and Revenue Management from 2009 to 2013; Senior Vice President, Global Sales fr</w:t>
            </w:r>
          </w:p>
        </w:tc>
      </w:tr>
      <w:tr>
        <w:trPr>
          <w:trHeight w:val="17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20" w:type="dxa"/>
            <w:vAlign w:val="bottom"/>
          </w:tcPr>
          <w:p>
            <w:pPr>
              <w:ind w:left="20"/>
              <w:spacing w:after="0" w:line="171" w:lineRule="exact"/>
              <w:rPr>
                <w:sz w:val="20"/>
                <w:szCs w:val="20"/>
                <w:color w:val="auto"/>
              </w:rPr>
            </w:pPr>
            <w:r>
              <w:rPr>
                <w:rFonts w:ascii="Arial" w:cs="Arial" w:eastAsia="Arial" w:hAnsi="Arial"/>
                <w:sz w:val="18"/>
                <w:szCs w:val="18"/>
                <w:color w:val="auto"/>
                <w:w w:val="87"/>
              </w:rPr>
              <w:t>2008 to 2009; Senior Vice President, Sales and Marketing Planning and Support from 2005</w:t>
            </w:r>
          </w:p>
        </w:tc>
      </w:tr>
      <w:tr>
        <w:trPr>
          <w:trHeight w:val="185"/>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20" w:type="dxa"/>
            <w:vAlign w:val="bottom"/>
          </w:tcPr>
          <w:p>
            <w:pPr>
              <w:ind w:left="20"/>
              <w:spacing w:after="0" w:line="185" w:lineRule="exact"/>
              <w:rPr>
                <w:sz w:val="20"/>
                <w:szCs w:val="20"/>
                <w:color w:val="auto"/>
              </w:rPr>
            </w:pPr>
            <w:r>
              <w:rPr>
                <w:rFonts w:ascii="Arial" w:cs="Arial" w:eastAsia="Arial" w:hAnsi="Arial"/>
                <w:sz w:val="18"/>
                <w:szCs w:val="18"/>
                <w:color w:val="auto"/>
                <w:w w:val="93"/>
              </w:rPr>
              <w:t>2008; and prior to that, various roles in Marriott’s Finance and Business Development</w:t>
            </w:r>
          </w:p>
        </w:tc>
      </w:tr>
    </w:tbl>
    <w:p>
      <w:pPr>
        <w:jc w:val="both"/>
        <w:ind w:left="4940"/>
        <w:spacing w:after="0" w:line="235" w:lineRule="auto"/>
        <w:rPr>
          <w:sz w:val="20"/>
          <w:szCs w:val="20"/>
          <w:color w:val="auto"/>
        </w:rPr>
      </w:pPr>
      <w:r>
        <w:rPr>
          <w:rFonts w:ascii="Arial" w:cs="Arial" w:eastAsia="Arial" w:hAnsi="Arial"/>
          <w:sz w:val="16"/>
          <w:szCs w:val="16"/>
          <w:color w:val="auto"/>
        </w:rPr>
        <w:t>Department. She currently serves on the Board of Directors of The Home Depot. She holds bachelor’s degree in Political Science and Government from the College of the Holy Cross, where she sits on the Board of Trustees, and earned her Master of Business Administration from the College of William and 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440" w:type="dxa"/>
        <w:tblCellMar>
          <w:top w:w="0" w:type="dxa"/>
          <w:left w:w="0" w:type="dxa"/>
          <w:bottom w:w="0" w:type="dxa"/>
          <w:right w:w="0" w:type="dxa"/>
        </w:tblCellMar>
      </w:tblPr>
      <w:tr>
        <w:trPr>
          <w:trHeight w:val="188"/>
        </w:trPr>
        <w:tc>
          <w:tcPr>
            <w:tcW w:w="360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Name and Title</w:t>
            </w:r>
          </w:p>
        </w:tc>
        <w:tc>
          <w:tcPr>
            <w:tcW w:w="120" w:type="dxa"/>
            <w:vAlign w:val="bottom"/>
          </w:tcPr>
          <w:p>
            <w:pPr>
              <w:spacing w:after="0"/>
              <w:rPr>
                <w:sz w:val="16"/>
                <w:szCs w:val="16"/>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6"/>
                <w:szCs w:val="16"/>
                <w:color w:val="auto"/>
              </w:rPr>
            </w:pPr>
          </w:p>
        </w:tc>
        <w:tc>
          <w:tcPr>
            <w:tcW w:w="6380" w:type="dxa"/>
            <w:vAlign w:val="bottom"/>
            <w:tcBorders>
              <w:bottom w:val="single" w:sz="8" w:color="auto"/>
            </w:tcBorders>
          </w:tcPr>
          <w:p>
            <w:pPr>
              <w:ind w:left="2940"/>
              <w:spacing w:after="0"/>
              <w:rPr>
                <w:sz w:val="20"/>
                <w:szCs w:val="20"/>
                <w:color w:val="auto"/>
              </w:rPr>
            </w:pPr>
            <w:r>
              <w:rPr>
                <w:rFonts w:ascii="Arial" w:cs="Arial" w:eastAsia="Arial" w:hAnsi="Arial"/>
                <w:sz w:val="14"/>
                <w:szCs w:val="14"/>
                <w:b w:val="1"/>
                <w:bCs w:val="1"/>
                <w:color w:val="auto"/>
              </w:rPr>
              <w:t>Business Experience</w:t>
            </w:r>
          </w:p>
        </w:tc>
      </w:tr>
      <w:tr>
        <w:trPr>
          <w:trHeight w:val="170"/>
        </w:trPr>
        <w:tc>
          <w:tcPr>
            <w:tcW w:w="3720" w:type="dxa"/>
            <w:vAlign w:val="bottom"/>
            <w:gridSpan w:val="2"/>
          </w:tcPr>
          <w:p>
            <w:pPr>
              <w:ind w:left="460"/>
              <w:spacing w:after="0" w:line="170" w:lineRule="exact"/>
              <w:rPr>
                <w:sz w:val="20"/>
                <w:szCs w:val="20"/>
                <w:color w:val="auto"/>
              </w:rPr>
            </w:pPr>
            <w:r>
              <w:rPr>
                <w:rFonts w:ascii="Arial" w:cs="Arial" w:eastAsia="Arial" w:hAnsi="Arial"/>
                <w:sz w:val="18"/>
                <w:szCs w:val="18"/>
                <w:color w:val="auto"/>
              </w:rPr>
              <w:t>Kathleen K. Oberg</w:t>
            </w:r>
          </w:p>
        </w:tc>
        <w:tc>
          <w:tcPr>
            <w:tcW w:w="700" w:type="dxa"/>
            <w:vAlign w:val="bottom"/>
          </w:tcPr>
          <w:p>
            <w:pPr>
              <w:ind w:left="460"/>
              <w:spacing w:after="0" w:line="170" w:lineRule="exact"/>
              <w:rPr>
                <w:sz w:val="20"/>
                <w:szCs w:val="20"/>
                <w:color w:val="auto"/>
              </w:rPr>
            </w:pPr>
            <w:r>
              <w:rPr>
                <w:rFonts w:ascii="Arial" w:cs="Arial" w:eastAsia="Arial" w:hAnsi="Arial"/>
                <w:sz w:val="18"/>
                <w:szCs w:val="18"/>
                <w:color w:val="auto"/>
              </w:rPr>
              <w:t>60</w:t>
            </w:r>
          </w:p>
        </w:tc>
        <w:tc>
          <w:tcPr>
            <w:tcW w:w="100" w:type="dxa"/>
            <w:vAlign w:val="bottom"/>
          </w:tcPr>
          <w:p>
            <w:pPr>
              <w:spacing w:after="0"/>
              <w:rPr>
                <w:sz w:val="14"/>
                <w:szCs w:val="14"/>
                <w:color w:val="auto"/>
              </w:rPr>
            </w:pPr>
          </w:p>
        </w:tc>
        <w:tc>
          <w:tcPr>
            <w:tcW w:w="6380" w:type="dxa"/>
            <w:vAlign w:val="bottom"/>
          </w:tcPr>
          <w:p>
            <w:pPr>
              <w:ind w:left="460"/>
              <w:spacing w:after="0" w:line="170" w:lineRule="exact"/>
              <w:rPr>
                <w:sz w:val="20"/>
                <w:szCs w:val="20"/>
                <w:color w:val="auto"/>
              </w:rPr>
            </w:pPr>
            <w:r>
              <w:rPr>
                <w:rFonts w:ascii="Arial" w:cs="Arial" w:eastAsia="Arial" w:hAnsi="Arial"/>
                <w:sz w:val="18"/>
                <w:szCs w:val="18"/>
                <w:color w:val="auto"/>
                <w:w w:val="92"/>
              </w:rPr>
              <w:t>Kathleen (“Leeny”) K. Oberg was appointed as Marriott’s Chief Financial Officer,</w:t>
            </w:r>
          </w:p>
        </w:tc>
      </w:tr>
      <w:tr>
        <w:trPr>
          <w:trHeight w:val="171"/>
        </w:trPr>
        <w:tc>
          <w:tcPr>
            <w:tcW w:w="3720" w:type="dxa"/>
            <w:vAlign w:val="bottom"/>
            <w:gridSpan w:val="2"/>
          </w:tcPr>
          <w:p>
            <w:pPr>
              <w:ind w:left="20"/>
              <w:spacing w:after="0" w:line="171" w:lineRule="exact"/>
              <w:rPr>
                <w:sz w:val="20"/>
                <w:szCs w:val="20"/>
                <w:color w:val="auto"/>
              </w:rPr>
            </w:pPr>
            <w:r>
              <w:rPr>
                <w:rFonts w:ascii="Arial" w:cs="Arial" w:eastAsia="Arial" w:hAnsi="Arial"/>
                <w:sz w:val="18"/>
                <w:szCs w:val="18"/>
                <w:color w:val="auto"/>
              </w:rPr>
              <w:t>Executive Vice President and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80" w:type="dxa"/>
            <w:vAlign w:val="bottom"/>
          </w:tcPr>
          <w:p>
            <w:pPr>
              <w:ind w:left="20"/>
              <w:spacing w:after="0" w:line="171" w:lineRule="exact"/>
              <w:rPr>
                <w:sz w:val="20"/>
                <w:szCs w:val="20"/>
                <w:color w:val="auto"/>
              </w:rPr>
            </w:pPr>
            <w:r>
              <w:rPr>
                <w:rFonts w:ascii="Arial" w:cs="Arial" w:eastAsia="Arial" w:hAnsi="Arial"/>
                <w:sz w:val="18"/>
                <w:szCs w:val="18"/>
                <w:color w:val="auto"/>
                <w:w w:val="90"/>
              </w:rPr>
              <w:t>effective January 1, 2016. Previously, Ms. Oberg was the Chief Financial Officer for The</w:t>
            </w:r>
          </w:p>
        </w:tc>
      </w:tr>
      <w:tr>
        <w:trPr>
          <w:trHeight w:val="171"/>
        </w:trPr>
        <w:tc>
          <w:tcPr>
            <w:tcW w:w="3720" w:type="dxa"/>
            <w:vAlign w:val="bottom"/>
            <w:gridSpan w:val="2"/>
          </w:tcPr>
          <w:p>
            <w:pPr>
              <w:ind w:left="20"/>
              <w:spacing w:after="0" w:line="171" w:lineRule="exact"/>
              <w:rPr>
                <w:sz w:val="20"/>
                <w:szCs w:val="20"/>
                <w:color w:val="auto"/>
              </w:rPr>
            </w:pPr>
            <w:r>
              <w:rPr>
                <w:rFonts w:ascii="Arial" w:cs="Arial" w:eastAsia="Arial" w:hAnsi="Arial"/>
                <w:sz w:val="18"/>
                <w:szCs w:val="18"/>
                <w:color w:val="auto"/>
              </w:rPr>
              <w:t>Chief Financial Officer</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80" w:type="dxa"/>
            <w:vAlign w:val="bottom"/>
          </w:tcPr>
          <w:p>
            <w:pPr>
              <w:ind w:left="20"/>
              <w:spacing w:after="0" w:line="171" w:lineRule="exact"/>
              <w:rPr>
                <w:sz w:val="20"/>
                <w:szCs w:val="20"/>
                <w:color w:val="auto"/>
              </w:rPr>
            </w:pPr>
            <w:r>
              <w:rPr>
                <w:rFonts w:ascii="Arial" w:cs="Arial" w:eastAsia="Arial" w:hAnsi="Arial"/>
                <w:sz w:val="18"/>
                <w:szCs w:val="18"/>
                <w:color w:val="auto"/>
                <w:w w:val="90"/>
              </w:rPr>
              <w:t>Ritz-Carlton since 2013, where she contributed significantly to the brand’s performance,</w:t>
            </w:r>
          </w:p>
        </w:tc>
      </w:tr>
      <w:tr>
        <w:trPr>
          <w:trHeight w:val="171"/>
        </w:trPr>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80" w:type="dxa"/>
            <w:vAlign w:val="bottom"/>
          </w:tcPr>
          <w:p>
            <w:pPr>
              <w:ind w:left="20"/>
              <w:spacing w:after="0" w:line="171" w:lineRule="exact"/>
              <w:rPr>
                <w:sz w:val="20"/>
                <w:szCs w:val="20"/>
                <w:color w:val="auto"/>
              </w:rPr>
            </w:pPr>
            <w:r>
              <w:rPr>
                <w:rFonts w:ascii="Arial" w:cs="Arial" w:eastAsia="Arial" w:hAnsi="Arial"/>
                <w:sz w:val="18"/>
                <w:szCs w:val="18"/>
                <w:color w:val="auto"/>
                <w:w w:val="88"/>
              </w:rPr>
              <w:t>growth, and organizational effectiveness. Prior to assuming that role, Ms. Oberg served in</w:t>
            </w:r>
          </w:p>
        </w:tc>
      </w:tr>
      <w:tr>
        <w:trPr>
          <w:trHeight w:val="171"/>
        </w:trPr>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80" w:type="dxa"/>
            <w:vAlign w:val="bottom"/>
          </w:tcPr>
          <w:p>
            <w:pPr>
              <w:ind w:left="20"/>
              <w:spacing w:after="0" w:line="171" w:lineRule="exact"/>
              <w:rPr>
                <w:sz w:val="20"/>
                <w:szCs w:val="20"/>
                <w:color w:val="auto"/>
              </w:rPr>
            </w:pPr>
            <w:r>
              <w:rPr>
                <w:rFonts w:ascii="Arial" w:cs="Arial" w:eastAsia="Arial" w:hAnsi="Arial"/>
                <w:sz w:val="18"/>
                <w:szCs w:val="18"/>
                <w:color w:val="auto"/>
                <w:w w:val="94"/>
              </w:rPr>
              <w:t>range of financial leadership positions with Marriott. From 2008 to 2013, she was the</w:t>
            </w:r>
          </w:p>
        </w:tc>
      </w:tr>
      <w:tr>
        <w:trPr>
          <w:trHeight w:val="171"/>
        </w:trPr>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80" w:type="dxa"/>
            <w:vAlign w:val="bottom"/>
          </w:tcPr>
          <w:p>
            <w:pPr>
              <w:ind w:left="20"/>
              <w:spacing w:after="0" w:line="171" w:lineRule="exact"/>
              <w:rPr>
                <w:sz w:val="20"/>
                <w:szCs w:val="20"/>
                <w:color w:val="auto"/>
              </w:rPr>
            </w:pPr>
            <w:r>
              <w:rPr>
                <w:rFonts w:ascii="Arial" w:cs="Arial" w:eastAsia="Arial" w:hAnsi="Arial"/>
                <w:sz w:val="18"/>
                <w:szCs w:val="18"/>
                <w:color w:val="auto"/>
                <w:w w:val="86"/>
              </w:rPr>
              <w:t>Company’s Senior Vice President, Corporate and Development Finance, where she led a te</w:t>
            </w:r>
          </w:p>
        </w:tc>
      </w:tr>
      <w:tr>
        <w:trPr>
          <w:trHeight w:val="171"/>
        </w:trPr>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80" w:type="dxa"/>
            <w:vAlign w:val="bottom"/>
          </w:tcPr>
          <w:p>
            <w:pPr>
              <w:ind w:left="20"/>
              <w:spacing w:after="0" w:line="171" w:lineRule="exact"/>
              <w:rPr>
                <w:sz w:val="20"/>
                <w:szCs w:val="20"/>
                <w:color w:val="auto"/>
              </w:rPr>
            </w:pPr>
            <w:r>
              <w:rPr>
                <w:rFonts w:ascii="Arial" w:cs="Arial" w:eastAsia="Arial" w:hAnsi="Arial"/>
                <w:sz w:val="18"/>
                <w:szCs w:val="18"/>
                <w:color w:val="auto"/>
                <w:w w:val="93"/>
              </w:rPr>
              <w:t>that valued new hotel development projects and merger and acquisition opportunities,</w:t>
            </w:r>
          </w:p>
        </w:tc>
      </w:tr>
      <w:tr>
        <w:trPr>
          <w:trHeight w:val="171"/>
        </w:trPr>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80" w:type="dxa"/>
            <w:vAlign w:val="bottom"/>
          </w:tcPr>
          <w:p>
            <w:pPr>
              <w:ind w:left="20"/>
              <w:spacing w:after="0" w:line="171" w:lineRule="exact"/>
              <w:rPr>
                <w:sz w:val="20"/>
                <w:szCs w:val="20"/>
                <w:color w:val="auto"/>
              </w:rPr>
            </w:pPr>
            <w:r>
              <w:rPr>
                <w:rFonts w:ascii="Arial" w:cs="Arial" w:eastAsia="Arial" w:hAnsi="Arial"/>
                <w:sz w:val="18"/>
                <w:szCs w:val="18"/>
                <w:color w:val="auto"/>
                <w:w w:val="85"/>
              </w:rPr>
              <w:t>prepared the Company’s long-range plans and annual budgets, and made recommendations</w:t>
            </w:r>
          </w:p>
        </w:tc>
      </w:tr>
      <w:tr>
        <w:trPr>
          <w:trHeight w:val="171"/>
        </w:trPr>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80" w:type="dxa"/>
            <w:vAlign w:val="bottom"/>
          </w:tcPr>
          <w:p>
            <w:pPr>
              <w:ind w:left="20"/>
              <w:spacing w:after="0" w:line="171" w:lineRule="exact"/>
              <w:rPr>
                <w:sz w:val="20"/>
                <w:szCs w:val="20"/>
                <w:color w:val="auto"/>
              </w:rPr>
            </w:pPr>
            <w:r>
              <w:rPr>
                <w:rFonts w:ascii="Arial" w:cs="Arial" w:eastAsia="Arial" w:hAnsi="Arial"/>
                <w:sz w:val="18"/>
                <w:szCs w:val="18"/>
                <w:color w:val="auto"/>
                <w:w w:val="88"/>
              </w:rPr>
              <w:t>the Company’s financial and capital allocation strategy. From 2006 to 2008, Ms. Oberg ser</w:t>
            </w:r>
          </w:p>
        </w:tc>
      </w:tr>
      <w:tr>
        <w:trPr>
          <w:trHeight w:val="171"/>
        </w:trPr>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80" w:type="dxa"/>
            <w:vAlign w:val="bottom"/>
          </w:tcPr>
          <w:p>
            <w:pPr>
              <w:ind w:left="20"/>
              <w:spacing w:after="0" w:line="171" w:lineRule="exact"/>
              <w:rPr>
                <w:sz w:val="20"/>
                <w:szCs w:val="20"/>
                <w:color w:val="auto"/>
              </w:rPr>
            </w:pPr>
            <w:r>
              <w:rPr>
                <w:rFonts w:ascii="Arial" w:cs="Arial" w:eastAsia="Arial" w:hAnsi="Arial"/>
                <w:sz w:val="18"/>
                <w:szCs w:val="18"/>
                <w:color w:val="auto"/>
                <w:w w:val="88"/>
              </w:rPr>
              <w:t>in London as Senior Vice President, International Project Finance and Asset Management</w:t>
            </w:r>
          </w:p>
        </w:tc>
      </w:tr>
      <w:tr>
        <w:trPr>
          <w:trHeight w:val="171"/>
        </w:trPr>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80" w:type="dxa"/>
            <w:vAlign w:val="bottom"/>
          </w:tcPr>
          <w:p>
            <w:pPr>
              <w:ind w:left="20"/>
              <w:spacing w:after="0" w:line="171" w:lineRule="exact"/>
              <w:rPr>
                <w:sz w:val="20"/>
                <w:szCs w:val="20"/>
                <w:color w:val="auto"/>
              </w:rPr>
            </w:pPr>
            <w:r>
              <w:rPr>
                <w:rFonts w:ascii="Arial" w:cs="Arial" w:eastAsia="Arial" w:hAnsi="Arial"/>
                <w:sz w:val="18"/>
                <w:szCs w:val="18"/>
                <w:color w:val="auto"/>
                <w:w w:val="94"/>
              </w:rPr>
              <w:t>Europe and the Middle East and Africa, and as the region’s senior finance executive.</w:t>
            </w:r>
          </w:p>
        </w:tc>
      </w:tr>
      <w:tr>
        <w:trPr>
          <w:trHeight w:val="171"/>
        </w:trPr>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80" w:type="dxa"/>
            <w:vAlign w:val="bottom"/>
          </w:tcPr>
          <w:p>
            <w:pPr>
              <w:ind w:left="20"/>
              <w:spacing w:after="0" w:line="171" w:lineRule="exact"/>
              <w:rPr>
                <w:sz w:val="20"/>
                <w:szCs w:val="20"/>
                <w:color w:val="auto"/>
              </w:rPr>
            </w:pPr>
            <w:r>
              <w:rPr>
                <w:rFonts w:ascii="Arial" w:cs="Arial" w:eastAsia="Arial" w:hAnsi="Arial"/>
                <w:sz w:val="18"/>
                <w:szCs w:val="18"/>
                <w:color w:val="auto"/>
                <w:w w:val="90"/>
              </w:rPr>
              <w:t>Ms. Oberg first joined Marriott as part of its Investor Relations group in 1999. Before joini</w:t>
            </w:r>
          </w:p>
        </w:tc>
      </w:tr>
      <w:tr>
        <w:trPr>
          <w:trHeight w:val="171"/>
        </w:trPr>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80" w:type="dxa"/>
            <w:vAlign w:val="bottom"/>
          </w:tcPr>
          <w:p>
            <w:pPr>
              <w:ind w:left="20"/>
              <w:spacing w:after="0" w:line="171" w:lineRule="exact"/>
              <w:rPr>
                <w:sz w:val="20"/>
                <w:szCs w:val="20"/>
                <w:color w:val="auto"/>
              </w:rPr>
            </w:pPr>
            <w:r>
              <w:rPr>
                <w:rFonts w:ascii="Arial" w:cs="Arial" w:eastAsia="Arial" w:hAnsi="Arial"/>
                <w:sz w:val="18"/>
                <w:szCs w:val="18"/>
                <w:color w:val="auto"/>
                <w:w w:val="89"/>
              </w:rPr>
              <w:t>Marriott, Ms. Oberg held a variety of financial leadership positions with such organization</w:t>
            </w:r>
          </w:p>
        </w:tc>
      </w:tr>
      <w:tr>
        <w:trPr>
          <w:trHeight w:val="171"/>
        </w:trPr>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80" w:type="dxa"/>
            <w:vAlign w:val="bottom"/>
          </w:tcPr>
          <w:p>
            <w:pPr>
              <w:ind w:left="20"/>
              <w:spacing w:after="0" w:line="171" w:lineRule="exact"/>
              <w:rPr>
                <w:sz w:val="20"/>
                <w:szCs w:val="20"/>
                <w:color w:val="auto"/>
              </w:rPr>
            </w:pPr>
            <w:r>
              <w:rPr>
                <w:rFonts w:ascii="Arial" w:cs="Arial" w:eastAsia="Arial" w:hAnsi="Arial"/>
                <w:sz w:val="18"/>
                <w:szCs w:val="18"/>
                <w:color w:val="auto"/>
                <w:w w:val="91"/>
              </w:rPr>
              <w:t>Sodexo (previously Sodexo Marriott Services), Sallie Mae, Goldman Sachs, and Chase</w:t>
            </w:r>
          </w:p>
        </w:tc>
      </w:tr>
      <w:tr>
        <w:trPr>
          <w:trHeight w:val="171"/>
        </w:trPr>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80" w:type="dxa"/>
            <w:vAlign w:val="bottom"/>
          </w:tcPr>
          <w:p>
            <w:pPr>
              <w:ind w:left="20"/>
              <w:spacing w:after="0" w:line="171" w:lineRule="exact"/>
              <w:rPr>
                <w:sz w:val="20"/>
                <w:szCs w:val="20"/>
                <w:color w:val="auto"/>
              </w:rPr>
            </w:pPr>
            <w:r>
              <w:rPr>
                <w:rFonts w:ascii="Arial" w:cs="Arial" w:eastAsia="Arial" w:hAnsi="Arial"/>
                <w:sz w:val="18"/>
                <w:szCs w:val="18"/>
                <w:color w:val="auto"/>
                <w:w w:val="90"/>
              </w:rPr>
              <w:t>Manhattan Bank. She currently serves on the Adobe Board of Directors. She earned her</w:t>
            </w:r>
          </w:p>
        </w:tc>
      </w:tr>
      <w:tr>
        <w:trPr>
          <w:trHeight w:val="171"/>
        </w:trPr>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80" w:type="dxa"/>
            <w:vAlign w:val="bottom"/>
          </w:tcPr>
          <w:p>
            <w:pPr>
              <w:ind w:left="20"/>
              <w:spacing w:after="0" w:line="171" w:lineRule="exact"/>
              <w:rPr>
                <w:sz w:val="20"/>
                <w:szCs w:val="20"/>
                <w:color w:val="auto"/>
              </w:rPr>
            </w:pPr>
            <w:r>
              <w:rPr>
                <w:rFonts w:ascii="Arial" w:cs="Arial" w:eastAsia="Arial" w:hAnsi="Arial"/>
                <w:sz w:val="18"/>
                <w:szCs w:val="18"/>
                <w:color w:val="auto"/>
                <w:w w:val="94"/>
              </w:rPr>
              <w:t>Bachelor of Science in Commerce, with concentrations in Finance and Management</w:t>
            </w:r>
          </w:p>
        </w:tc>
      </w:tr>
      <w:tr>
        <w:trPr>
          <w:trHeight w:val="171"/>
        </w:trPr>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80" w:type="dxa"/>
            <w:vAlign w:val="bottom"/>
          </w:tcPr>
          <w:p>
            <w:pPr>
              <w:ind w:left="20"/>
              <w:spacing w:after="0" w:line="171" w:lineRule="exact"/>
              <w:rPr>
                <w:sz w:val="20"/>
                <w:szCs w:val="20"/>
                <w:color w:val="auto"/>
              </w:rPr>
            </w:pPr>
            <w:r>
              <w:rPr>
                <w:rFonts w:ascii="Arial" w:cs="Arial" w:eastAsia="Arial" w:hAnsi="Arial"/>
                <w:sz w:val="18"/>
                <w:szCs w:val="18"/>
                <w:color w:val="auto"/>
                <w:w w:val="92"/>
              </w:rPr>
              <w:t>Information Systems from the University of Virginia, McIntire School of Commerce and</w:t>
            </w:r>
          </w:p>
        </w:tc>
      </w:tr>
      <w:tr>
        <w:trPr>
          <w:trHeight w:val="171"/>
        </w:trPr>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80" w:type="dxa"/>
            <w:vAlign w:val="bottom"/>
          </w:tcPr>
          <w:p>
            <w:pPr>
              <w:ind w:left="20"/>
              <w:spacing w:after="0" w:line="171" w:lineRule="exact"/>
              <w:rPr>
                <w:sz w:val="20"/>
                <w:szCs w:val="20"/>
                <w:color w:val="auto"/>
              </w:rPr>
            </w:pPr>
            <w:r>
              <w:rPr>
                <w:rFonts w:ascii="Arial" w:cs="Arial" w:eastAsia="Arial" w:hAnsi="Arial"/>
                <w:sz w:val="18"/>
                <w:szCs w:val="18"/>
                <w:color w:val="auto"/>
                <w:w w:val="89"/>
              </w:rPr>
              <w:t>received her Master of Business Administration from Stanford University Graduate Schoo</w:t>
            </w:r>
          </w:p>
        </w:tc>
      </w:tr>
      <w:tr>
        <w:trPr>
          <w:trHeight w:val="222"/>
        </w:trPr>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Business.</w:t>
            </w:r>
          </w:p>
        </w:tc>
      </w:tr>
      <w:tr>
        <w:trPr>
          <w:trHeight w:val="383"/>
        </w:trPr>
        <w:tc>
          <w:tcPr>
            <w:tcW w:w="3720" w:type="dxa"/>
            <w:vAlign w:val="bottom"/>
            <w:gridSpan w:val="2"/>
          </w:tcPr>
          <w:p>
            <w:pPr>
              <w:ind w:left="460"/>
              <w:spacing w:after="0"/>
              <w:rPr>
                <w:sz w:val="20"/>
                <w:szCs w:val="20"/>
                <w:color w:val="auto"/>
              </w:rPr>
            </w:pPr>
            <w:r>
              <w:rPr>
                <w:rFonts w:ascii="Arial" w:cs="Arial" w:eastAsia="Arial" w:hAnsi="Arial"/>
                <w:sz w:val="18"/>
                <w:szCs w:val="18"/>
                <w:color w:val="auto"/>
              </w:rPr>
              <w:t>Rena Hozore Reiss</w:t>
            </w:r>
          </w:p>
        </w:tc>
        <w:tc>
          <w:tcPr>
            <w:tcW w:w="700" w:type="dxa"/>
            <w:vAlign w:val="bottom"/>
          </w:tcPr>
          <w:p>
            <w:pPr>
              <w:ind w:left="46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4"/>
                <w:szCs w:val="24"/>
                <w:color w:val="auto"/>
              </w:rPr>
            </w:pPr>
          </w:p>
        </w:tc>
        <w:tc>
          <w:tcPr>
            <w:tcW w:w="6380" w:type="dxa"/>
            <w:vAlign w:val="bottom"/>
          </w:tcPr>
          <w:p>
            <w:pPr>
              <w:ind w:left="460"/>
              <w:spacing w:after="0"/>
              <w:rPr>
                <w:sz w:val="20"/>
                <w:szCs w:val="20"/>
                <w:color w:val="auto"/>
              </w:rPr>
            </w:pPr>
            <w:r>
              <w:rPr>
                <w:rFonts w:ascii="Arial" w:cs="Arial" w:eastAsia="Arial" w:hAnsi="Arial"/>
                <w:sz w:val="18"/>
                <w:szCs w:val="18"/>
                <w:color w:val="auto"/>
                <w:w w:val="86"/>
              </w:rPr>
              <w:t>Rena Hozore Reiss became Executive Vice President and General Counsel in Decem</w:t>
            </w:r>
          </w:p>
        </w:tc>
      </w:tr>
      <w:tr>
        <w:trPr>
          <w:trHeight w:val="171"/>
        </w:trPr>
        <w:tc>
          <w:tcPr>
            <w:tcW w:w="3720" w:type="dxa"/>
            <w:vAlign w:val="bottom"/>
            <w:gridSpan w:val="2"/>
          </w:tcPr>
          <w:p>
            <w:pPr>
              <w:ind w:left="20"/>
              <w:spacing w:after="0" w:line="171" w:lineRule="exact"/>
              <w:rPr>
                <w:sz w:val="20"/>
                <w:szCs w:val="20"/>
                <w:color w:val="auto"/>
              </w:rPr>
            </w:pPr>
            <w:r>
              <w:rPr>
                <w:rFonts w:ascii="Arial" w:cs="Arial" w:eastAsia="Arial" w:hAnsi="Arial"/>
                <w:sz w:val="18"/>
                <w:szCs w:val="18"/>
                <w:color w:val="auto"/>
              </w:rPr>
              <w:t>Executive Vice President and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80" w:type="dxa"/>
            <w:vAlign w:val="bottom"/>
          </w:tcPr>
          <w:p>
            <w:pPr>
              <w:ind w:left="20"/>
              <w:spacing w:after="0" w:line="171" w:lineRule="exact"/>
              <w:rPr>
                <w:sz w:val="20"/>
                <w:szCs w:val="20"/>
                <w:color w:val="auto"/>
              </w:rPr>
            </w:pPr>
            <w:r>
              <w:rPr>
                <w:rFonts w:ascii="Arial" w:cs="Arial" w:eastAsia="Arial" w:hAnsi="Arial"/>
                <w:sz w:val="18"/>
                <w:szCs w:val="18"/>
                <w:color w:val="auto"/>
                <w:w w:val="88"/>
              </w:rPr>
              <w:t>2017. Ms. Reiss previously held the position of Executive Vice President, General Counse</w:t>
            </w:r>
          </w:p>
        </w:tc>
      </w:tr>
      <w:tr>
        <w:trPr>
          <w:trHeight w:val="171"/>
        </w:trPr>
        <w:tc>
          <w:tcPr>
            <w:tcW w:w="3720" w:type="dxa"/>
            <w:vAlign w:val="bottom"/>
            <w:gridSpan w:val="2"/>
          </w:tcPr>
          <w:p>
            <w:pPr>
              <w:ind w:left="20"/>
              <w:spacing w:after="0" w:line="171" w:lineRule="exact"/>
              <w:rPr>
                <w:sz w:val="20"/>
                <w:szCs w:val="20"/>
                <w:color w:val="auto"/>
              </w:rPr>
            </w:pPr>
            <w:r>
              <w:rPr>
                <w:rFonts w:ascii="Arial" w:cs="Arial" w:eastAsia="Arial" w:hAnsi="Arial"/>
                <w:sz w:val="18"/>
                <w:szCs w:val="18"/>
                <w:color w:val="auto"/>
              </w:rPr>
              <w:t>General Counsel</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80" w:type="dxa"/>
            <w:vAlign w:val="bottom"/>
          </w:tcPr>
          <w:p>
            <w:pPr>
              <w:ind w:left="20"/>
              <w:spacing w:after="0" w:line="171" w:lineRule="exact"/>
              <w:rPr>
                <w:sz w:val="20"/>
                <w:szCs w:val="20"/>
                <w:color w:val="auto"/>
              </w:rPr>
            </w:pPr>
            <w:r>
              <w:rPr>
                <w:rFonts w:ascii="Arial" w:cs="Arial" w:eastAsia="Arial" w:hAnsi="Arial"/>
                <w:sz w:val="18"/>
                <w:szCs w:val="18"/>
                <w:color w:val="auto"/>
                <w:w w:val="88"/>
              </w:rPr>
              <w:t>and Corporate Secretary at Hyatt Hotels where she led the global legal team and oversaw</w:t>
            </w:r>
          </w:p>
        </w:tc>
      </w:tr>
      <w:tr>
        <w:trPr>
          <w:trHeight w:val="171"/>
        </w:trPr>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80" w:type="dxa"/>
            <w:vAlign w:val="bottom"/>
          </w:tcPr>
          <w:p>
            <w:pPr>
              <w:ind w:left="20"/>
              <w:spacing w:after="0" w:line="171" w:lineRule="exact"/>
              <w:rPr>
                <w:sz w:val="20"/>
                <w:szCs w:val="20"/>
                <w:color w:val="auto"/>
              </w:rPr>
            </w:pPr>
            <w:r>
              <w:rPr>
                <w:rFonts w:ascii="Arial" w:cs="Arial" w:eastAsia="Arial" w:hAnsi="Arial"/>
                <w:sz w:val="18"/>
                <w:szCs w:val="18"/>
                <w:color w:val="auto"/>
                <w:w w:val="88"/>
              </w:rPr>
              <w:t>Hyatt’s risk management team and corporate transactions group. Prior to her position with</w:t>
            </w:r>
          </w:p>
        </w:tc>
      </w:tr>
      <w:tr>
        <w:trPr>
          <w:trHeight w:val="171"/>
        </w:trPr>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80" w:type="dxa"/>
            <w:vAlign w:val="bottom"/>
          </w:tcPr>
          <w:p>
            <w:pPr>
              <w:ind w:left="20"/>
              <w:spacing w:after="0" w:line="171" w:lineRule="exact"/>
              <w:rPr>
                <w:sz w:val="20"/>
                <w:szCs w:val="20"/>
                <w:color w:val="auto"/>
              </w:rPr>
            </w:pPr>
            <w:r>
              <w:rPr>
                <w:rFonts w:ascii="Arial" w:cs="Arial" w:eastAsia="Arial" w:hAnsi="Arial"/>
                <w:sz w:val="18"/>
                <w:szCs w:val="18"/>
                <w:color w:val="auto"/>
                <w:w w:val="89"/>
              </w:rPr>
              <w:t>Hyatt, Ms. Reiss was an attorney in Marriott’s law department from 2000 to 2010 building</w:t>
            </w:r>
          </w:p>
        </w:tc>
      </w:tr>
      <w:tr>
        <w:trPr>
          <w:trHeight w:val="171"/>
        </w:trPr>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80" w:type="dxa"/>
            <w:vAlign w:val="bottom"/>
          </w:tcPr>
          <w:p>
            <w:pPr>
              <w:ind w:left="20"/>
              <w:spacing w:after="0" w:line="171" w:lineRule="exact"/>
              <w:rPr>
                <w:sz w:val="20"/>
                <w:szCs w:val="20"/>
                <w:color w:val="auto"/>
              </w:rPr>
            </w:pPr>
            <w:r>
              <w:rPr>
                <w:rFonts w:ascii="Arial" w:cs="Arial" w:eastAsia="Arial" w:hAnsi="Arial"/>
                <w:sz w:val="18"/>
                <w:szCs w:val="18"/>
                <w:color w:val="auto"/>
                <w:w w:val="90"/>
              </w:rPr>
              <w:t>career in roles with increasing responsibility, ultimately holding the position of Senior Vic</w:t>
            </w:r>
          </w:p>
        </w:tc>
      </w:tr>
      <w:tr>
        <w:trPr>
          <w:trHeight w:val="171"/>
        </w:trPr>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80" w:type="dxa"/>
            <w:vAlign w:val="bottom"/>
          </w:tcPr>
          <w:p>
            <w:pPr>
              <w:ind w:left="20"/>
              <w:spacing w:after="0" w:line="171" w:lineRule="exact"/>
              <w:rPr>
                <w:sz w:val="20"/>
                <w:szCs w:val="20"/>
                <w:color w:val="auto"/>
              </w:rPr>
            </w:pPr>
            <w:r>
              <w:rPr>
                <w:rFonts w:ascii="Arial" w:cs="Arial" w:eastAsia="Arial" w:hAnsi="Arial"/>
                <w:sz w:val="18"/>
                <w:szCs w:val="18"/>
                <w:color w:val="auto"/>
                <w:w w:val="88"/>
              </w:rPr>
              <w:t>President and Associate General Counsel in which she led Marriott’s managed developme</w:t>
            </w:r>
          </w:p>
        </w:tc>
      </w:tr>
      <w:tr>
        <w:trPr>
          <w:trHeight w:val="171"/>
        </w:trPr>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80" w:type="dxa"/>
            <w:vAlign w:val="bottom"/>
          </w:tcPr>
          <w:p>
            <w:pPr>
              <w:ind w:left="20"/>
              <w:spacing w:after="0" w:line="171" w:lineRule="exact"/>
              <w:rPr>
                <w:sz w:val="20"/>
                <w:szCs w:val="20"/>
                <w:color w:val="auto"/>
              </w:rPr>
            </w:pPr>
            <w:r>
              <w:rPr>
                <w:rFonts w:ascii="Arial" w:cs="Arial" w:eastAsia="Arial" w:hAnsi="Arial"/>
                <w:sz w:val="18"/>
                <w:szCs w:val="18"/>
                <w:color w:val="auto"/>
                <w:w w:val="89"/>
              </w:rPr>
              <w:t>efforts in the Americas region. Before joining Marriott, Ms. Reiss was a partner at Counts</w:t>
            </w:r>
          </w:p>
        </w:tc>
      </w:tr>
      <w:tr>
        <w:trPr>
          <w:trHeight w:val="171"/>
        </w:trPr>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80" w:type="dxa"/>
            <w:vAlign w:val="bottom"/>
          </w:tcPr>
          <w:p>
            <w:pPr>
              <w:ind w:left="20"/>
              <w:spacing w:after="0" w:line="171" w:lineRule="exact"/>
              <w:rPr>
                <w:sz w:val="20"/>
                <w:szCs w:val="20"/>
                <w:color w:val="auto"/>
              </w:rPr>
            </w:pPr>
            <w:r>
              <w:rPr>
                <w:rFonts w:ascii="Arial" w:cs="Arial" w:eastAsia="Arial" w:hAnsi="Arial"/>
                <w:sz w:val="18"/>
                <w:szCs w:val="18"/>
                <w:color w:val="auto"/>
                <w:w w:val="87"/>
              </w:rPr>
              <w:t>Kanne, Chartered, in Washington, D.C. and Associate General Counsel at the Miami Heral</w:t>
            </w:r>
          </w:p>
        </w:tc>
      </w:tr>
      <w:tr>
        <w:trPr>
          <w:trHeight w:val="171"/>
        </w:trPr>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80" w:type="dxa"/>
            <w:vAlign w:val="bottom"/>
          </w:tcPr>
          <w:p>
            <w:pPr>
              <w:ind w:left="20"/>
              <w:spacing w:after="0" w:line="171" w:lineRule="exact"/>
              <w:rPr>
                <w:sz w:val="20"/>
                <w:szCs w:val="20"/>
                <w:color w:val="auto"/>
              </w:rPr>
            </w:pPr>
            <w:r>
              <w:rPr>
                <w:rFonts w:ascii="Arial" w:cs="Arial" w:eastAsia="Arial" w:hAnsi="Arial"/>
                <w:sz w:val="18"/>
                <w:szCs w:val="18"/>
                <w:color w:val="auto"/>
                <w:w w:val="88"/>
              </w:rPr>
              <w:t>Publishing Company. Ms. Reiss also serves on the Board of Directors of the American Hot</w:t>
            </w:r>
          </w:p>
        </w:tc>
      </w:tr>
      <w:tr>
        <w:trPr>
          <w:trHeight w:val="171"/>
        </w:trPr>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80" w:type="dxa"/>
            <w:vAlign w:val="bottom"/>
          </w:tcPr>
          <w:p>
            <w:pPr>
              <w:ind w:left="20"/>
              <w:spacing w:after="0" w:line="171" w:lineRule="exact"/>
              <w:rPr>
                <w:sz w:val="20"/>
                <w:szCs w:val="20"/>
                <w:color w:val="auto"/>
              </w:rPr>
            </w:pPr>
            <w:r>
              <w:rPr>
                <w:rFonts w:ascii="Arial" w:cs="Arial" w:eastAsia="Arial" w:hAnsi="Arial"/>
                <w:sz w:val="18"/>
                <w:szCs w:val="18"/>
                <w:color w:val="auto"/>
                <w:w w:val="90"/>
              </w:rPr>
              <w:t>and Lodging Association. She earned her A.B. from Princeton University and her J.D. fro</w:t>
            </w:r>
          </w:p>
        </w:tc>
      </w:tr>
      <w:tr>
        <w:trPr>
          <w:trHeight w:val="222"/>
        </w:trPr>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Harvard Law School.</w:t>
            </w:r>
          </w:p>
        </w:tc>
      </w:tr>
      <w:tr>
        <w:trPr>
          <w:trHeight w:val="383"/>
        </w:trPr>
        <w:tc>
          <w:tcPr>
            <w:tcW w:w="3720" w:type="dxa"/>
            <w:vAlign w:val="bottom"/>
            <w:gridSpan w:val="2"/>
          </w:tcPr>
          <w:p>
            <w:pPr>
              <w:ind w:left="460"/>
              <w:spacing w:after="0"/>
              <w:rPr>
                <w:sz w:val="20"/>
                <w:szCs w:val="20"/>
                <w:color w:val="auto"/>
              </w:rPr>
            </w:pPr>
            <w:r>
              <w:rPr>
                <w:rFonts w:ascii="Arial" w:cs="Arial" w:eastAsia="Arial" w:hAnsi="Arial"/>
                <w:sz w:val="18"/>
                <w:szCs w:val="18"/>
                <w:color w:val="auto"/>
              </w:rPr>
              <w:t>David A. Rodriguez</w:t>
            </w:r>
          </w:p>
        </w:tc>
        <w:tc>
          <w:tcPr>
            <w:tcW w:w="700" w:type="dxa"/>
            <w:vAlign w:val="bottom"/>
          </w:tcPr>
          <w:p>
            <w:pPr>
              <w:ind w:left="46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4"/>
                <w:szCs w:val="24"/>
                <w:color w:val="auto"/>
              </w:rPr>
            </w:pPr>
          </w:p>
        </w:tc>
        <w:tc>
          <w:tcPr>
            <w:tcW w:w="6380" w:type="dxa"/>
            <w:vAlign w:val="bottom"/>
          </w:tcPr>
          <w:p>
            <w:pPr>
              <w:ind w:left="460"/>
              <w:spacing w:after="0"/>
              <w:rPr>
                <w:sz w:val="20"/>
                <w:szCs w:val="20"/>
                <w:color w:val="auto"/>
              </w:rPr>
            </w:pPr>
            <w:r>
              <w:rPr>
                <w:rFonts w:ascii="Arial" w:cs="Arial" w:eastAsia="Arial" w:hAnsi="Arial"/>
                <w:sz w:val="18"/>
                <w:szCs w:val="18"/>
                <w:color w:val="auto"/>
                <w:w w:val="89"/>
              </w:rPr>
              <w:t>David A. Rodriguez was appointed Executive Vice President and Global Chief Hum</w:t>
            </w:r>
          </w:p>
        </w:tc>
      </w:tr>
      <w:tr>
        <w:trPr>
          <w:trHeight w:val="171"/>
        </w:trPr>
        <w:tc>
          <w:tcPr>
            <w:tcW w:w="3720" w:type="dxa"/>
            <w:vAlign w:val="bottom"/>
            <w:gridSpan w:val="2"/>
          </w:tcPr>
          <w:p>
            <w:pPr>
              <w:ind w:left="20"/>
              <w:spacing w:after="0" w:line="171" w:lineRule="exact"/>
              <w:rPr>
                <w:sz w:val="20"/>
                <w:szCs w:val="20"/>
                <w:color w:val="auto"/>
              </w:rPr>
            </w:pPr>
            <w:r>
              <w:rPr>
                <w:rFonts w:ascii="Arial" w:cs="Arial" w:eastAsia="Arial" w:hAnsi="Arial"/>
                <w:sz w:val="18"/>
                <w:szCs w:val="18"/>
                <w:color w:val="auto"/>
              </w:rPr>
              <w:t>Executive Vice President</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80" w:type="dxa"/>
            <w:vAlign w:val="bottom"/>
          </w:tcPr>
          <w:p>
            <w:pPr>
              <w:ind w:left="20"/>
              <w:spacing w:after="0" w:line="171" w:lineRule="exact"/>
              <w:rPr>
                <w:sz w:val="20"/>
                <w:szCs w:val="20"/>
                <w:color w:val="auto"/>
              </w:rPr>
            </w:pPr>
            <w:r>
              <w:rPr>
                <w:rFonts w:ascii="Arial" w:cs="Arial" w:eastAsia="Arial" w:hAnsi="Arial"/>
                <w:sz w:val="18"/>
                <w:szCs w:val="18"/>
                <w:color w:val="auto"/>
                <w:w w:val="90"/>
              </w:rPr>
              <w:t>Resources Officer in 2006. Before joining Marriott in 1998, he held senior roles in human</w:t>
            </w:r>
          </w:p>
        </w:tc>
      </w:tr>
      <w:tr>
        <w:trPr>
          <w:trHeight w:val="171"/>
        </w:trPr>
        <w:tc>
          <w:tcPr>
            <w:tcW w:w="3720" w:type="dxa"/>
            <w:vAlign w:val="bottom"/>
            <w:gridSpan w:val="2"/>
          </w:tcPr>
          <w:p>
            <w:pPr>
              <w:ind w:left="20"/>
              <w:spacing w:after="0" w:line="171" w:lineRule="exact"/>
              <w:rPr>
                <w:sz w:val="20"/>
                <w:szCs w:val="20"/>
                <w:color w:val="auto"/>
              </w:rPr>
            </w:pPr>
            <w:r>
              <w:rPr>
                <w:rFonts w:ascii="Arial" w:cs="Arial" w:eastAsia="Arial" w:hAnsi="Arial"/>
                <w:sz w:val="18"/>
                <w:szCs w:val="18"/>
                <w:color w:val="auto"/>
              </w:rPr>
              <w:t>and Global Chief Human Resources Officer</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80" w:type="dxa"/>
            <w:vAlign w:val="bottom"/>
          </w:tcPr>
          <w:p>
            <w:pPr>
              <w:ind w:left="20"/>
              <w:spacing w:after="0" w:line="171" w:lineRule="exact"/>
              <w:rPr>
                <w:sz w:val="20"/>
                <w:szCs w:val="20"/>
                <w:color w:val="auto"/>
              </w:rPr>
            </w:pPr>
            <w:r>
              <w:rPr>
                <w:rFonts w:ascii="Arial" w:cs="Arial" w:eastAsia="Arial" w:hAnsi="Arial"/>
                <w:sz w:val="18"/>
                <w:szCs w:val="18"/>
                <w:color w:val="auto"/>
                <w:w w:val="94"/>
              </w:rPr>
              <w:t>resources at Citicorp (now Citigroup) from 1989 through 1998. Dr. Rodriguez holds a</w:t>
            </w:r>
          </w:p>
        </w:tc>
      </w:tr>
      <w:tr>
        <w:trPr>
          <w:trHeight w:val="171"/>
        </w:trPr>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80" w:type="dxa"/>
            <w:vAlign w:val="bottom"/>
          </w:tcPr>
          <w:p>
            <w:pPr>
              <w:ind w:left="20"/>
              <w:spacing w:after="0" w:line="171" w:lineRule="exact"/>
              <w:rPr>
                <w:sz w:val="20"/>
                <w:szCs w:val="20"/>
                <w:color w:val="auto"/>
              </w:rPr>
            </w:pPr>
            <w:r>
              <w:rPr>
                <w:rFonts w:ascii="Arial" w:cs="Arial" w:eastAsia="Arial" w:hAnsi="Arial"/>
                <w:sz w:val="18"/>
                <w:szCs w:val="18"/>
                <w:color w:val="auto"/>
                <w:w w:val="87"/>
              </w:rPr>
              <w:t>Bachelor of Arts degree and a doctorate degree in Industrial and Organizational Psycholog</w:t>
            </w:r>
          </w:p>
        </w:tc>
      </w:tr>
      <w:tr>
        <w:trPr>
          <w:trHeight w:val="185"/>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380" w:type="dxa"/>
            <w:vAlign w:val="bottom"/>
          </w:tcPr>
          <w:p>
            <w:pPr>
              <w:ind w:left="20"/>
              <w:spacing w:after="0" w:line="185" w:lineRule="exact"/>
              <w:rPr>
                <w:sz w:val="20"/>
                <w:szCs w:val="20"/>
                <w:color w:val="auto"/>
              </w:rPr>
            </w:pPr>
            <w:r>
              <w:rPr>
                <w:rFonts w:ascii="Arial" w:cs="Arial" w:eastAsia="Arial" w:hAnsi="Arial"/>
                <w:sz w:val="18"/>
                <w:szCs w:val="18"/>
                <w:color w:val="auto"/>
                <w:w w:val="98"/>
              </w:rPr>
              <w:t>from New York University. He is a member of the Board of Directors at American</w:t>
            </w:r>
          </w:p>
        </w:tc>
      </w:tr>
    </w:tbl>
    <w:p>
      <w:pPr>
        <w:ind w:left="4980"/>
        <w:spacing w:after="0" w:line="239" w:lineRule="auto"/>
        <w:rPr>
          <w:sz w:val="20"/>
          <w:szCs w:val="20"/>
          <w:color w:val="auto"/>
        </w:rPr>
      </w:pPr>
      <w:r>
        <w:rPr>
          <w:rFonts w:ascii="Arial" w:cs="Arial" w:eastAsia="Arial" w:hAnsi="Arial"/>
          <w:sz w:val="16"/>
          <w:szCs w:val="16"/>
          <w:color w:val="auto"/>
        </w:rPr>
        <w:t>Woodmark. He is an elected fellow of the National Academy of Human Resources, chairm of the American Health Policy Institute, vice chair of the Human Resources Policy Association, and a governor on the board of the Health Transformation Alliance.</w:t>
      </w:r>
    </w:p>
    <w:p>
      <w:pPr>
        <w:sectPr>
          <w:pgSz w:w="11900" w:h="16838" w:orient="portrait"/>
          <w:cols w:equalWidth="0" w:num="1">
            <w:col w:w="11340"/>
          </w:cols>
          <w:pgMar w:left="320" w:top="127" w:right="239" w:bottom="1440" w:gutter="0" w:footer="0" w:header="0"/>
        </w:sectPr>
      </w:pPr>
    </w:p>
    <w:p>
      <w:pPr>
        <w:spacing w:after="0" w:line="19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Craig S. Smith</w:t>
      </w:r>
    </w:p>
    <w:p>
      <w:pPr>
        <w:ind w:left="460"/>
        <w:spacing w:after="0"/>
        <w:rPr>
          <w:sz w:val="20"/>
          <w:szCs w:val="20"/>
          <w:color w:val="auto"/>
        </w:rPr>
      </w:pPr>
      <w:r>
        <w:rPr>
          <w:rFonts w:ascii="Arial" w:cs="Arial" w:eastAsia="Arial" w:hAnsi="Arial"/>
          <w:sz w:val="15"/>
          <w:szCs w:val="15"/>
          <w:color w:val="auto"/>
        </w:rPr>
        <w:t>Group President, International</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365" w:hanging="365"/>
        <w:spacing w:after="0" w:line="227" w:lineRule="auto"/>
        <w:tabs>
          <w:tab w:leader="none" w:pos="799" w:val="left"/>
        </w:tabs>
        <w:numPr>
          <w:ilvl w:val="0"/>
          <w:numId w:val="28"/>
        </w:numPr>
        <w:rPr>
          <w:rFonts w:ascii="Arial" w:cs="Arial" w:eastAsia="Arial" w:hAnsi="Arial"/>
          <w:sz w:val="29"/>
          <w:szCs w:val="29"/>
          <w:color w:val="auto"/>
          <w:vertAlign w:val="superscript"/>
        </w:rPr>
      </w:pPr>
      <w:r>
        <w:rPr>
          <w:rFonts w:ascii="Arial" w:cs="Arial" w:eastAsia="Arial" w:hAnsi="Arial"/>
          <w:sz w:val="15"/>
          <w:szCs w:val="15"/>
          <w:color w:val="auto"/>
        </w:rPr>
        <w:t>Craig S. Smith became Group President, International effective in January 2021. Fro October 2019 until December 2020, Mr. Smith was Group President and Managing Direct of Asia Pacific, and he previously served as President and Managing Director of Asia Paci since June 2015, assuming the responsibility for the strategic leadership of all operational development functions spanning the region. Mr. Smith began his career with Marriott in 19 Before becoming President and Managing Director of Asia Pacific, Mr. Smith served as President of Marriott’s Caribbean and Latin America region from 2013 to 2015. Before moving to the Caribbean and Latin America region in 2013, he was Executive Vice Presid and Chief Operations Officer for Asia Pacific. As the son of an American diplomat, Mr. S has lived in 13 countries, working in North America, the Caribbean, Latin America, Asia Pacific, and Australia. He is fluent in Spanish and conversant in Portuguese. Mr. Smith ear his Master of Business Administration from the Rotman School of Management at the University of Toronto and a Bachelor of Science from Brigham Young University.</w:t>
      </w:r>
    </w:p>
    <w:p>
      <w:pPr>
        <w:spacing w:after="0" w:line="200" w:lineRule="exact"/>
        <w:rPr>
          <w:sz w:val="20"/>
          <w:szCs w:val="20"/>
          <w:color w:val="auto"/>
        </w:rPr>
      </w:pPr>
    </w:p>
    <w:p>
      <w:pPr>
        <w:sectPr>
          <w:pgSz w:w="11900" w:h="16838" w:orient="portrait"/>
          <w:cols w:equalWidth="0" w:num="2">
            <w:col w:w="3895" w:space="720"/>
            <w:col w:w="6725"/>
          </w:cols>
          <w:pgMar w:left="320" w:top="127" w:right="239" w:bottom="1440" w:gutter="0" w:footer="0" w:header="0"/>
          <w:type w:val="continuous"/>
        </w:sectPr>
      </w:pPr>
    </w:p>
    <w:p>
      <w:pPr>
        <w:spacing w:after="0" w:line="200" w:lineRule="exact"/>
        <w:rPr>
          <w:sz w:val="20"/>
          <w:szCs w:val="20"/>
          <w:color w:val="auto"/>
        </w:rPr>
      </w:pPr>
    </w:p>
    <w:p>
      <w:pPr>
        <w:spacing w:after="0" w:line="248"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089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and Business Conduct Guide</w:t>
      </w:r>
    </w:p>
    <w:p>
      <w:pPr>
        <w:spacing w:after="0" w:line="167" w:lineRule="exact"/>
        <w:rPr>
          <w:sz w:val="20"/>
          <w:szCs w:val="20"/>
          <w:color w:val="auto"/>
        </w:rPr>
      </w:pPr>
    </w:p>
    <w:p>
      <w:pPr>
        <w:ind w:firstLine="434"/>
        <w:spacing w:after="0" w:line="247" w:lineRule="auto"/>
        <w:rPr>
          <w:sz w:val="20"/>
          <w:szCs w:val="20"/>
          <w:color w:val="auto"/>
        </w:rPr>
      </w:pPr>
      <w:r>
        <w:rPr>
          <w:rFonts w:ascii="Arial" w:cs="Arial" w:eastAsia="Arial" w:hAnsi="Arial"/>
          <w:sz w:val="18"/>
          <w:szCs w:val="18"/>
          <w:color w:val="auto"/>
        </w:rPr>
        <w:t>The Company has long maintained and enforced a Code of Ethics that applies to all Marriott associates, including our Chairman of the Board, Acting Co-Principal Executive Officers, Chief Financial Officer, and Principal Accounting Officer, and to each member of the Board. The Code of Ethics is encompassed in our Business Conduct Guide, which is available in the Investor Relations section of our website (Marriott.com/investor) by clicking on “Governance” and then “Documents &amp; Charters.” We intend to post on that website any future changes or amendments to our Code of Ethics, and any waiver of our Code of Ethics that applies to our Chairman of the Board, any of our executive officers, or a member of our Board within four business days following the date of the amendment or waiver.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6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LIST OF DOCUMENTS FILED AS PART OF THIS REPORT</w:t>
      </w:r>
    </w:p>
    <w:p>
      <w:pPr>
        <w:spacing w:after="0" w:line="16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(1) FINANCIAL STATEMENTS</w:t>
      </w:r>
    </w:p>
    <w:p>
      <w:pPr>
        <w:spacing w:after="0" w:line="16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We include this portion of Item 15 under Part II, Item 8 of this Annual Report on Form 10-K.</w:t>
      </w:r>
    </w:p>
    <w:p>
      <w:pPr>
        <w:spacing w:after="0" w:line="16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(2) FINANCIAL STATEMENT SCHEDULES</w:t>
      </w:r>
    </w:p>
    <w:p>
      <w:pPr>
        <w:spacing w:after="0" w:line="161" w:lineRule="exact"/>
        <w:rPr>
          <w:sz w:val="20"/>
          <w:szCs w:val="20"/>
          <w:color w:val="auto"/>
        </w:rPr>
      </w:pPr>
    </w:p>
    <w:p>
      <w:pPr>
        <w:ind w:left="1120" w:right="540"/>
        <w:spacing w:after="0" w:line="261" w:lineRule="auto"/>
        <w:rPr>
          <w:sz w:val="20"/>
          <w:szCs w:val="20"/>
          <w:color w:val="auto"/>
        </w:rPr>
      </w:pPr>
      <w:r>
        <w:rPr>
          <w:rFonts w:ascii="Arial" w:cs="Arial" w:eastAsia="Arial" w:hAnsi="Arial"/>
          <w:sz w:val="18"/>
          <w:szCs w:val="18"/>
          <w:color w:val="auto"/>
        </w:rPr>
        <w:t>We include the financial statement schedule information required by the applicable accounting regulations of the SEC in the notes to our financial statements and incorporate that information in this Item 15 by reference.</w:t>
      </w:r>
    </w:p>
    <w:p>
      <w:pPr>
        <w:spacing w:after="0" w:line="1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(3) EXHIBITS</w:t>
      </w:r>
    </w:p>
    <w:p>
      <w:pPr>
        <w:spacing w:after="0" w:line="161" w:lineRule="exact"/>
        <w:rPr>
          <w:sz w:val="20"/>
          <w:szCs w:val="20"/>
          <w:color w:val="auto"/>
        </w:rPr>
      </w:pPr>
    </w:p>
    <w:p>
      <w:pPr>
        <w:ind w:left="1120" w:right="20"/>
        <w:spacing w:after="0" w:line="252" w:lineRule="auto"/>
        <w:rPr>
          <w:sz w:val="20"/>
          <w:szCs w:val="20"/>
          <w:color w:val="auto"/>
        </w:rPr>
      </w:pPr>
      <w:r>
        <w:rPr>
          <w:rFonts w:ascii="Arial" w:cs="Arial" w:eastAsia="Arial" w:hAnsi="Arial"/>
          <w:sz w:val="18"/>
          <w:szCs w:val="18"/>
          <w:color w:val="auto"/>
        </w:rPr>
        <w:t>Any stockholder who wants a copy of the following Exhibits may obtain one from us upon request at a charge that reflects the reproduction cost of such Exhibits. Requests should be made to the Secretary, Marriott International, Inc., 10400 Fernwood Road, Department 52/862, Bethesda, MD 20817.</w:t>
      </w:r>
    </w:p>
    <w:p>
      <w:pPr>
        <w:spacing w:after="0" w:line="138" w:lineRule="exact"/>
        <w:rPr>
          <w:sz w:val="20"/>
          <w:szCs w:val="20"/>
          <w:color w:val="auto"/>
        </w:rPr>
      </w:pPr>
    </w:p>
    <w:p>
      <w:pPr>
        <w:ind w:left="1120"/>
        <w:spacing w:after="0" w:line="291" w:lineRule="auto"/>
        <w:rPr>
          <w:sz w:val="20"/>
          <w:szCs w:val="20"/>
          <w:color w:val="auto"/>
        </w:rPr>
      </w:pPr>
      <w:r>
        <w:rPr>
          <w:rFonts w:ascii="Arial" w:cs="Arial" w:eastAsia="Arial" w:hAnsi="Arial"/>
          <w:sz w:val="16"/>
          <w:szCs w:val="16"/>
          <w:color w:val="auto"/>
        </w:rPr>
        <w:t>We have not filed as exhibits certain instruments defining the rights of holders of the long-term debt of Marriott or its subsidiary Starwood Hotels &amp; Resorts Worldwide, LLC, pursuant to Item 601(b)(4)(iii) of Regulation S-K promulgated under the Exchange Act, because the amount of debt authorized and outstanding under each such instrument does not exceed 10 percent of the total assets of the Company’s and its consolidated subsidiaries. The Company agrees to furnish a copy of any such instrument to the Commission upon request.</w:t>
      </w:r>
    </w:p>
    <w:p>
      <w:pPr>
        <w:spacing w:after="0" w:line="11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4"/>
                <w:szCs w:val="14"/>
                <w:b w:val="1"/>
                <w:bCs w:val="1"/>
                <w:color w:val="auto"/>
                <w:w w:val="98"/>
              </w:rPr>
              <w:t>Incorporation by Reference (where a report is indicated below, that</w:t>
            </w:r>
          </w:p>
        </w:tc>
        <w:tc>
          <w:tcPr>
            <w:tcW w:w="0" w:type="dxa"/>
            <w:vAlign w:val="bottom"/>
          </w:tcPr>
          <w:p>
            <w:pPr>
              <w:spacing w:after="0"/>
              <w:rPr>
                <w:sz w:val="1"/>
                <w:szCs w:val="1"/>
                <w:color w:val="auto"/>
              </w:rPr>
            </w:pPr>
          </w:p>
        </w:tc>
      </w:tr>
      <w:tr>
        <w:trPr>
          <w:trHeight w:val="132"/>
        </w:trPr>
        <w:tc>
          <w:tcPr>
            <w:tcW w:w="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 No.</w:t>
            </w:r>
          </w:p>
        </w:tc>
        <w:tc>
          <w:tcPr>
            <w:tcW w:w="260" w:type="dxa"/>
            <w:vAlign w:val="bottom"/>
            <w:vMerge w:val="restart"/>
          </w:tcPr>
          <w:p>
            <w:pPr>
              <w:spacing w:after="0"/>
              <w:rPr>
                <w:sz w:val="11"/>
                <w:szCs w:val="11"/>
                <w:color w:val="auto"/>
              </w:rPr>
            </w:pPr>
          </w:p>
        </w:tc>
        <w:tc>
          <w:tcPr>
            <w:tcW w:w="4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1"/>
                <w:szCs w:val="11"/>
                <w:color w:val="auto"/>
              </w:rPr>
            </w:pPr>
          </w:p>
        </w:tc>
        <w:tc>
          <w:tcPr>
            <w:tcW w:w="4420" w:type="dxa"/>
            <w:vAlign w:val="bottom"/>
          </w:tcPr>
          <w:p>
            <w:pPr>
              <w:spacing w:after="0" w:line="132" w:lineRule="exact"/>
              <w:rPr>
                <w:sz w:val="20"/>
                <w:szCs w:val="20"/>
                <w:color w:val="auto"/>
              </w:rPr>
            </w:pPr>
            <w:r>
              <w:rPr>
                <w:rFonts w:ascii="Arial" w:cs="Arial" w:eastAsia="Arial" w:hAnsi="Arial"/>
                <w:sz w:val="14"/>
                <w:szCs w:val="14"/>
                <w:b w:val="1"/>
                <w:bCs w:val="1"/>
                <w:color w:val="auto"/>
                <w:w w:val="96"/>
              </w:rPr>
              <w:t>document has been previously filed with the SEC and the applicable</w:t>
            </w:r>
          </w:p>
        </w:tc>
        <w:tc>
          <w:tcPr>
            <w:tcW w:w="0" w:type="dxa"/>
            <w:vAlign w:val="bottom"/>
          </w:tcPr>
          <w:p>
            <w:pPr>
              <w:spacing w:after="0"/>
              <w:rPr>
                <w:sz w:val="1"/>
                <w:szCs w:val="1"/>
                <w:color w:val="auto"/>
              </w:rPr>
            </w:pPr>
          </w:p>
        </w:tc>
      </w:tr>
      <w:tr>
        <w:trPr>
          <w:trHeight w:val="184"/>
        </w:trPr>
        <w:tc>
          <w:tcPr>
            <w:tcW w:w="90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44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is incorporated by reference thereto)</w:t>
            </w:r>
          </w:p>
        </w:tc>
        <w:tc>
          <w:tcPr>
            <w:tcW w:w="0" w:type="dxa"/>
            <w:vAlign w:val="bottom"/>
          </w:tcPr>
          <w:p>
            <w:pPr>
              <w:spacing w:after="0"/>
              <w:rPr>
                <w:sz w:val="1"/>
                <w:szCs w:val="1"/>
                <w:color w:val="auto"/>
              </w:rPr>
            </w:pPr>
          </w:p>
        </w:tc>
      </w:tr>
    </w:tbl>
    <w:p>
      <w:pPr>
        <w:spacing w:after="0" w:line="40" w:lineRule="exact"/>
        <w:rPr>
          <w:sz w:val="20"/>
          <w:szCs w:val="20"/>
          <w:color w:val="auto"/>
        </w:rPr>
      </w:pPr>
    </w:p>
    <w:p>
      <w:pPr>
        <w:sectPr>
          <w:pgSz w:w="11900" w:h="16838" w:orient="portrait"/>
          <w:cols w:equalWidth="0" w:num="1">
            <w:col w:w="11240"/>
          </w:cols>
          <w:pgMar w:left="320" w:top="127" w:right="339" w:bottom="1440" w:gutter="0" w:footer="0" w:header="0"/>
        </w:sectPr>
      </w:pPr>
    </w:p>
    <w:tbl>
      <w:tblPr>
        <w:tblLayout w:type="fixed"/>
        <w:tblInd w:w="600"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3.1</w:t>
            </w:r>
          </w:p>
        </w:tc>
        <w:tc>
          <w:tcPr>
            <w:tcW w:w="4700" w:type="dxa"/>
            <w:vAlign w:val="bottom"/>
          </w:tcPr>
          <w:p>
            <w:pPr>
              <w:ind w:left="360"/>
              <w:spacing w:after="0"/>
              <w:rPr>
                <w:sz w:val="20"/>
                <w:szCs w:val="20"/>
                <w:color w:val="auto"/>
              </w:rPr>
            </w:pPr>
            <w:r>
              <w:rPr>
                <w:rFonts w:ascii="Arial" w:cs="Arial" w:eastAsia="Arial" w:hAnsi="Arial"/>
                <w:sz w:val="18"/>
                <w:szCs w:val="18"/>
                <w:color w:val="auto"/>
              </w:rPr>
              <w:t>Restated Certificate of Incorporation.</w:t>
            </w:r>
          </w:p>
        </w:tc>
      </w:tr>
      <w:tr>
        <w:trPr>
          <w:trHeight w:val="461"/>
        </w:trPr>
        <w:tc>
          <w:tcPr>
            <w:tcW w:w="800" w:type="dxa"/>
            <w:vAlign w:val="bottom"/>
          </w:tcPr>
          <w:p>
            <w:pPr>
              <w:spacing w:after="0"/>
              <w:rPr>
                <w:sz w:val="20"/>
                <w:szCs w:val="20"/>
                <w:color w:val="auto"/>
              </w:rPr>
            </w:pPr>
            <w:r>
              <w:rPr>
                <w:rFonts w:ascii="Arial" w:cs="Arial" w:eastAsia="Arial" w:hAnsi="Arial"/>
                <w:sz w:val="18"/>
                <w:szCs w:val="18"/>
                <w:color w:val="auto"/>
              </w:rPr>
              <w:t>3.2</w:t>
            </w:r>
          </w:p>
        </w:tc>
        <w:tc>
          <w:tcPr>
            <w:tcW w:w="4700" w:type="dxa"/>
            <w:vAlign w:val="bottom"/>
          </w:tcPr>
          <w:p>
            <w:pPr>
              <w:ind w:left="360"/>
              <w:spacing w:after="0"/>
              <w:rPr>
                <w:sz w:val="20"/>
                <w:szCs w:val="20"/>
                <w:color w:val="auto"/>
              </w:rPr>
            </w:pPr>
            <w:r>
              <w:rPr>
                <w:rFonts w:ascii="Arial" w:cs="Arial" w:eastAsia="Arial" w:hAnsi="Arial"/>
                <w:sz w:val="18"/>
                <w:szCs w:val="18"/>
                <w:color w:val="auto"/>
              </w:rPr>
              <w:t>Amended and Restated Bylaws.</w:t>
            </w:r>
          </w:p>
        </w:tc>
      </w:tr>
      <w:tr>
        <w:trPr>
          <w:trHeight w:val="447"/>
        </w:trPr>
        <w:tc>
          <w:tcPr>
            <w:tcW w:w="800" w:type="dxa"/>
            <w:vAlign w:val="bottom"/>
          </w:tcPr>
          <w:p>
            <w:pPr>
              <w:spacing w:after="0"/>
              <w:rPr>
                <w:sz w:val="20"/>
                <w:szCs w:val="20"/>
                <w:color w:val="auto"/>
              </w:rPr>
            </w:pPr>
            <w:r>
              <w:rPr>
                <w:rFonts w:ascii="Arial" w:cs="Arial" w:eastAsia="Arial" w:hAnsi="Arial"/>
                <w:sz w:val="18"/>
                <w:szCs w:val="18"/>
                <w:color w:val="auto"/>
              </w:rPr>
              <w:t>4.1</w:t>
            </w:r>
          </w:p>
        </w:tc>
        <w:tc>
          <w:tcPr>
            <w:tcW w:w="4700" w:type="dxa"/>
            <w:vAlign w:val="bottom"/>
          </w:tcPr>
          <w:p>
            <w:pPr>
              <w:ind w:left="360"/>
              <w:spacing w:after="0"/>
              <w:rPr>
                <w:sz w:val="20"/>
                <w:szCs w:val="20"/>
                <w:color w:val="auto"/>
              </w:rPr>
            </w:pPr>
            <w:r>
              <w:rPr>
                <w:rFonts w:ascii="Arial" w:cs="Arial" w:eastAsia="Arial" w:hAnsi="Arial"/>
                <w:sz w:val="18"/>
                <w:szCs w:val="18"/>
                <w:color w:val="auto"/>
              </w:rPr>
              <w:t>Form of Common Stock Certificate.</w:t>
            </w:r>
          </w:p>
        </w:tc>
      </w:tr>
      <w:tr>
        <w:trPr>
          <w:trHeight w:val="409"/>
        </w:trPr>
        <w:tc>
          <w:tcPr>
            <w:tcW w:w="800" w:type="dxa"/>
            <w:vAlign w:val="bottom"/>
          </w:tcPr>
          <w:p>
            <w:pPr>
              <w:spacing w:after="0"/>
              <w:rPr>
                <w:sz w:val="20"/>
                <w:szCs w:val="20"/>
                <w:color w:val="auto"/>
              </w:rPr>
            </w:pPr>
            <w:r>
              <w:rPr>
                <w:rFonts w:ascii="Arial" w:cs="Arial" w:eastAsia="Arial" w:hAnsi="Arial"/>
                <w:sz w:val="18"/>
                <w:szCs w:val="18"/>
                <w:color w:val="auto"/>
              </w:rPr>
              <w:t>4.2</w:t>
            </w:r>
          </w:p>
        </w:tc>
        <w:tc>
          <w:tcPr>
            <w:tcW w:w="4700" w:type="dxa"/>
            <w:vAlign w:val="bottom"/>
          </w:tcPr>
          <w:p>
            <w:pPr>
              <w:ind w:left="360"/>
              <w:spacing w:after="0"/>
              <w:rPr>
                <w:sz w:val="20"/>
                <w:szCs w:val="20"/>
                <w:color w:val="auto"/>
              </w:rPr>
            </w:pPr>
            <w:r>
              <w:rPr>
                <w:rFonts w:ascii="Arial" w:cs="Arial" w:eastAsia="Arial" w:hAnsi="Arial"/>
                <w:sz w:val="18"/>
                <w:szCs w:val="18"/>
                <w:color w:val="auto"/>
                <w:w w:val="96"/>
              </w:rPr>
              <w:t>Indenture, dated as of November 16, 1998, between the</w:t>
            </w:r>
          </w:p>
        </w:tc>
      </w:tr>
      <w:tr>
        <w:trPr>
          <w:trHeight w:val="171"/>
        </w:trPr>
        <w:tc>
          <w:tcPr>
            <w:tcW w:w="800" w:type="dxa"/>
            <w:vAlign w:val="bottom"/>
          </w:tcPr>
          <w:p>
            <w:pPr>
              <w:spacing w:after="0"/>
              <w:rPr>
                <w:sz w:val="14"/>
                <w:szCs w:val="14"/>
                <w:color w:val="auto"/>
              </w:rPr>
            </w:pPr>
          </w:p>
        </w:tc>
        <w:tc>
          <w:tcPr>
            <w:tcW w:w="4700" w:type="dxa"/>
            <w:vAlign w:val="bottom"/>
          </w:tcPr>
          <w:p>
            <w:pPr>
              <w:ind w:left="360"/>
              <w:spacing w:after="0" w:line="171" w:lineRule="exact"/>
              <w:rPr>
                <w:sz w:val="20"/>
                <w:szCs w:val="20"/>
                <w:color w:val="auto"/>
              </w:rPr>
            </w:pPr>
            <w:r>
              <w:rPr>
                <w:rFonts w:ascii="Arial" w:cs="Arial" w:eastAsia="Arial" w:hAnsi="Arial"/>
                <w:sz w:val="18"/>
                <w:szCs w:val="18"/>
                <w:color w:val="auto"/>
                <w:w w:val="88"/>
              </w:rPr>
              <w:t>Company and The Bank of New York Mellon, as successor to</w:t>
            </w:r>
          </w:p>
        </w:tc>
      </w:tr>
      <w:tr>
        <w:trPr>
          <w:trHeight w:val="171"/>
        </w:trPr>
        <w:tc>
          <w:tcPr>
            <w:tcW w:w="800" w:type="dxa"/>
            <w:vAlign w:val="bottom"/>
          </w:tcPr>
          <w:p>
            <w:pPr>
              <w:spacing w:after="0"/>
              <w:rPr>
                <w:sz w:val="14"/>
                <w:szCs w:val="14"/>
                <w:color w:val="auto"/>
              </w:rPr>
            </w:pPr>
          </w:p>
        </w:tc>
        <w:tc>
          <w:tcPr>
            <w:tcW w:w="4700" w:type="dxa"/>
            <w:vAlign w:val="bottom"/>
          </w:tcPr>
          <w:p>
            <w:pPr>
              <w:ind w:left="360"/>
              <w:spacing w:after="0" w:line="171" w:lineRule="exact"/>
              <w:rPr>
                <w:sz w:val="20"/>
                <w:szCs w:val="20"/>
                <w:color w:val="auto"/>
              </w:rPr>
            </w:pPr>
            <w:r>
              <w:rPr>
                <w:rFonts w:ascii="Arial" w:cs="Arial" w:eastAsia="Arial" w:hAnsi="Arial"/>
                <w:sz w:val="18"/>
                <w:szCs w:val="18"/>
                <w:color w:val="auto"/>
                <w:w w:val="90"/>
              </w:rPr>
              <w:t>JPMorgan Chase Bank, N.A., formerly known as The Chase</w:t>
            </w:r>
          </w:p>
        </w:tc>
      </w:tr>
      <w:tr>
        <w:trPr>
          <w:trHeight w:val="222"/>
        </w:trPr>
        <w:tc>
          <w:tcPr>
            <w:tcW w:w="800" w:type="dxa"/>
            <w:vAlign w:val="bottom"/>
          </w:tcPr>
          <w:p>
            <w:pPr>
              <w:spacing w:after="0"/>
              <w:rPr>
                <w:sz w:val="19"/>
                <w:szCs w:val="19"/>
                <w:color w:val="auto"/>
              </w:rPr>
            </w:pPr>
          </w:p>
        </w:tc>
        <w:tc>
          <w:tcPr>
            <w:tcW w:w="4700" w:type="dxa"/>
            <w:vAlign w:val="bottom"/>
          </w:tcPr>
          <w:p>
            <w:pPr>
              <w:ind w:left="360"/>
              <w:spacing w:after="0"/>
              <w:rPr>
                <w:sz w:val="20"/>
                <w:szCs w:val="20"/>
                <w:color w:val="auto"/>
              </w:rPr>
            </w:pPr>
            <w:r>
              <w:rPr>
                <w:rFonts w:ascii="Arial" w:cs="Arial" w:eastAsia="Arial" w:hAnsi="Arial"/>
                <w:sz w:val="18"/>
                <w:szCs w:val="18"/>
                <w:color w:val="auto"/>
              </w:rPr>
              <w:t>Manhattan Bank.</w:t>
            </w:r>
          </w:p>
        </w:tc>
      </w:tr>
      <w:tr>
        <w:trPr>
          <w:trHeight w:val="276"/>
        </w:trPr>
        <w:tc>
          <w:tcPr>
            <w:tcW w:w="800" w:type="dxa"/>
            <w:vAlign w:val="bottom"/>
          </w:tcPr>
          <w:p>
            <w:pPr>
              <w:spacing w:after="0"/>
              <w:rPr>
                <w:sz w:val="20"/>
                <w:szCs w:val="20"/>
                <w:color w:val="auto"/>
              </w:rPr>
            </w:pPr>
            <w:r>
              <w:rPr>
                <w:rFonts w:ascii="Arial" w:cs="Arial" w:eastAsia="Arial" w:hAnsi="Arial"/>
                <w:sz w:val="18"/>
                <w:szCs w:val="18"/>
                <w:color w:val="auto"/>
              </w:rPr>
              <w:t>4.3</w:t>
            </w:r>
          </w:p>
        </w:tc>
        <w:tc>
          <w:tcPr>
            <w:tcW w:w="4700" w:type="dxa"/>
            <w:vAlign w:val="bottom"/>
          </w:tcPr>
          <w:p>
            <w:pPr>
              <w:ind w:left="360"/>
              <w:spacing w:after="0"/>
              <w:rPr>
                <w:sz w:val="20"/>
                <w:szCs w:val="20"/>
                <w:color w:val="auto"/>
              </w:rPr>
            </w:pPr>
            <w:r>
              <w:rPr>
                <w:rFonts w:ascii="Arial" w:cs="Arial" w:eastAsia="Arial" w:hAnsi="Arial"/>
                <w:sz w:val="18"/>
                <w:szCs w:val="18"/>
                <w:color w:val="auto"/>
              </w:rPr>
              <w:t>Description of Registrant’s Securities</w:t>
            </w:r>
          </w:p>
        </w:tc>
      </w:tr>
      <w:tr>
        <w:trPr>
          <w:trHeight w:val="396"/>
        </w:trPr>
        <w:tc>
          <w:tcPr>
            <w:tcW w:w="800" w:type="dxa"/>
            <w:vAlign w:val="bottom"/>
          </w:tcPr>
          <w:p>
            <w:pPr>
              <w:spacing w:after="0"/>
              <w:rPr>
                <w:sz w:val="20"/>
                <w:szCs w:val="20"/>
                <w:color w:val="auto"/>
              </w:rPr>
            </w:pPr>
            <w:r>
              <w:rPr>
                <w:rFonts w:ascii="Arial" w:cs="Arial" w:eastAsia="Arial" w:hAnsi="Arial"/>
                <w:sz w:val="18"/>
                <w:szCs w:val="18"/>
                <w:color w:val="auto"/>
              </w:rPr>
              <w:t>10.1.1</w:t>
            </w:r>
          </w:p>
        </w:tc>
        <w:tc>
          <w:tcPr>
            <w:tcW w:w="4700" w:type="dxa"/>
            <w:vAlign w:val="bottom"/>
          </w:tcPr>
          <w:p>
            <w:pPr>
              <w:ind w:left="360"/>
              <w:spacing w:after="0"/>
              <w:rPr>
                <w:sz w:val="20"/>
                <w:szCs w:val="20"/>
                <w:color w:val="auto"/>
              </w:rPr>
            </w:pPr>
            <w:r>
              <w:rPr>
                <w:rFonts w:ascii="Arial" w:cs="Arial" w:eastAsia="Arial" w:hAnsi="Arial"/>
                <w:sz w:val="18"/>
                <w:szCs w:val="18"/>
                <w:color w:val="auto"/>
              </w:rPr>
              <w:t>U.S. $4,500,000 Fifth Amended and Restated Credit</w:t>
            </w:r>
          </w:p>
        </w:tc>
      </w:tr>
      <w:tr>
        <w:trPr>
          <w:trHeight w:val="171"/>
        </w:trPr>
        <w:tc>
          <w:tcPr>
            <w:tcW w:w="800" w:type="dxa"/>
            <w:vAlign w:val="bottom"/>
          </w:tcPr>
          <w:p>
            <w:pPr>
              <w:spacing w:after="0"/>
              <w:rPr>
                <w:sz w:val="14"/>
                <w:szCs w:val="14"/>
                <w:color w:val="auto"/>
              </w:rPr>
            </w:pPr>
          </w:p>
        </w:tc>
        <w:tc>
          <w:tcPr>
            <w:tcW w:w="4700" w:type="dxa"/>
            <w:vAlign w:val="bottom"/>
          </w:tcPr>
          <w:p>
            <w:pPr>
              <w:ind w:left="360"/>
              <w:spacing w:after="0" w:line="171" w:lineRule="exact"/>
              <w:rPr>
                <w:sz w:val="20"/>
                <w:szCs w:val="20"/>
                <w:color w:val="auto"/>
              </w:rPr>
            </w:pPr>
            <w:r>
              <w:rPr>
                <w:rFonts w:ascii="Arial" w:cs="Arial" w:eastAsia="Arial" w:hAnsi="Arial"/>
                <w:sz w:val="18"/>
                <w:szCs w:val="18"/>
                <w:color w:val="auto"/>
                <w:w w:val="89"/>
              </w:rPr>
              <w:t>Agreement dated as of June 28, 2019 with Bank of America,</w:t>
            </w:r>
          </w:p>
        </w:tc>
      </w:tr>
      <w:tr>
        <w:trPr>
          <w:trHeight w:val="222"/>
        </w:trPr>
        <w:tc>
          <w:tcPr>
            <w:tcW w:w="800" w:type="dxa"/>
            <w:vAlign w:val="bottom"/>
          </w:tcPr>
          <w:p>
            <w:pPr>
              <w:spacing w:after="0"/>
              <w:rPr>
                <w:sz w:val="19"/>
                <w:szCs w:val="19"/>
                <w:color w:val="auto"/>
              </w:rPr>
            </w:pPr>
          </w:p>
        </w:tc>
        <w:tc>
          <w:tcPr>
            <w:tcW w:w="4700" w:type="dxa"/>
            <w:vAlign w:val="bottom"/>
          </w:tcPr>
          <w:p>
            <w:pPr>
              <w:ind w:left="360"/>
              <w:spacing w:after="0"/>
              <w:rPr>
                <w:sz w:val="20"/>
                <w:szCs w:val="20"/>
                <w:color w:val="auto"/>
              </w:rPr>
            </w:pPr>
            <w:r>
              <w:rPr>
                <w:rFonts w:ascii="Arial" w:cs="Arial" w:eastAsia="Arial" w:hAnsi="Arial"/>
                <w:sz w:val="18"/>
                <w:szCs w:val="18"/>
                <w:color w:val="auto"/>
              </w:rPr>
              <w:t>N.A. as administrative agent and certain banks.</w:t>
            </w:r>
          </w:p>
        </w:tc>
      </w:tr>
      <w:tr>
        <w:trPr>
          <w:trHeight w:val="225"/>
        </w:trPr>
        <w:tc>
          <w:tcPr>
            <w:tcW w:w="800" w:type="dxa"/>
            <w:vAlign w:val="bottom"/>
          </w:tcPr>
          <w:p>
            <w:pPr>
              <w:spacing w:after="0"/>
              <w:rPr>
                <w:sz w:val="20"/>
                <w:szCs w:val="20"/>
                <w:color w:val="auto"/>
              </w:rPr>
            </w:pPr>
            <w:r>
              <w:rPr>
                <w:rFonts w:ascii="Arial" w:cs="Arial" w:eastAsia="Arial" w:hAnsi="Arial"/>
                <w:sz w:val="18"/>
                <w:szCs w:val="18"/>
                <w:color w:val="auto"/>
              </w:rPr>
              <w:t>10.1.2</w:t>
            </w:r>
          </w:p>
        </w:tc>
        <w:tc>
          <w:tcPr>
            <w:tcW w:w="4700" w:type="dxa"/>
            <w:vAlign w:val="bottom"/>
          </w:tcPr>
          <w:p>
            <w:pPr>
              <w:ind w:left="360"/>
              <w:spacing w:after="0"/>
              <w:rPr>
                <w:sz w:val="20"/>
                <w:szCs w:val="20"/>
                <w:color w:val="auto"/>
              </w:rPr>
            </w:pPr>
            <w:r>
              <w:rPr>
                <w:rFonts w:ascii="Arial" w:cs="Arial" w:eastAsia="Arial" w:hAnsi="Arial"/>
                <w:sz w:val="18"/>
                <w:szCs w:val="18"/>
                <w:color w:val="auto"/>
                <w:w w:val="96"/>
              </w:rPr>
              <w:t>First Amendment, dated as of April 13, 2020, to the Fifth</w:t>
            </w:r>
          </w:p>
        </w:tc>
      </w:tr>
      <w:tr>
        <w:trPr>
          <w:trHeight w:val="171"/>
        </w:trPr>
        <w:tc>
          <w:tcPr>
            <w:tcW w:w="800" w:type="dxa"/>
            <w:vAlign w:val="bottom"/>
          </w:tcPr>
          <w:p>
            <w:pPr>
              <w:spacing w:after="0"/>
              <w:rPr>
                <w:sz w:val="14"/>
                <w:szCs w:val="14"/>
                <w:color w:val="auto"/>
              </w:rPr>
            </w:pPr>
          </w:p>
        </w:tc>
        <w:tc>
          <w:tcPr>
            <w:tcW w:w="4700" w:type="dxa"/>
            <w:vAlign w:val="bottom"/>
          </w:tcPr>
          <w:p>
            <w:pPr>
              <w:ind w:left="360"/>
              <w:spacing w:after="0" w:line="171" w:lineRule="exact"/>
              <w:rPr>
                <w:sz w:val="20"/>
                <w:szCs w:val="20"/>
                <w:color w:val="auto"/>
              </w:rPr>
            </w:pPr>
            <w:r>
              <w:rPr>
                <w:rFonts w:ascii="Arial" w:cs="Arial" w:eastAsia="Arial" w:hAnsi="Arial"/>
                <w:sz w:val="18"/>
                <w:szCs w:val="18"/>
                <w:color w:val="auto"/>
                <w:w w:val="98"/>
              </w:rPr>
              <w:t>Amended and Restated Credit Agreement with Bank of</w:t>
            </w:r>
          </w:p>
        </w:tc>
      </w:tr>
      <w:tr>
        <w:trPr>
          <w:trHeight w:val="171"/>
        </w:trPr>
        <w:tc>
          <w:tcPr>
            <w:tcW w:w="800" w:type="dxa"/>
            <w:vAlign w:val="bottom"/>
          </w:tcPr>
          <w:p>
            <w:pPr>
              <w:spacing w:after="0"/>
              <w:rPr>
                <w:sz w:val="14"/>
                <w:szCs w:val="14"/>
                <w:color w:val="auto"/>
              </w:rPr>
            </w:pPr>
          </w:p>
        </w:tc>
        <w:tc>
          <w:tcPr>
            <w:tcW w:w="4700" w:type="dxa"/>
            <w:vAlign w:val="bottom"/>
          </w:tcPr>
          <w:p>
            <w:pPr>
              <w:ind w:left="360"/>
              <w:spacing w:after="0" w:line="171" w:lineRule="exact"/>
              <w:rPr>
                <w:sz w:val="20"/>
                <w:szCs w:val="20"/>
                <w:color w:val="auto"/>
              </w:rPr>
            </w:pPr>
            <w:r>
              <w:rPr>
                <w:rFonts w:ascii="Arial" w:cs="Arial" w:eastAsia="Arial" w:hAnsi="Arial"/>
                <w:sz w:val="18"/>
                <w:szCs w:val="18"/>
                <w:color w:val="auto"/>
                <w:w w:val="94"/>
              </w:rPr>
              <w:t>America, N.A. as administrative agent, and certain banks,</w:t>
            </w:r>
          </w:p>
        </w:tc>
      </w:tr>
      <w:tr>
        <w:trPr>
          <w:trHeight w:val="222"/>
        </w:trPr>
        <w:tc>
          <w:tcPr>
            <w:tcW w:w="800" w:type="dxa"/>
            <w:vAlign w:val="bottom"/>
          </w:tcPr>
          <w:p>
            <w:pPr>
              <w:spacing w:after="0"/>
              <w:rPr>
                <w:sz w:val="19"/>
                <w:szCs w:val="19"/>
                <w:color w:val="auto"/>
              </w:rPr>
            </w:pPr>
          </w:p>
        </w:tc>
        <w:tc>
          <w:tcPr>
            <w:tcW w:w="4700" w:type="dxa"/>
            <w:vAlign w:val="bottom"/>
          </w:tcPr>
          <w:p>
            <w:pPr>
              <w:ind w:left="360"/>
              <w:spacing w:after="0"/>
              <w:rPr>
                <w:sz w:val="20"/>
                <w:szCs w:val="20"/>
                <w:color w:val="auto"/>
              </w:rPr>
            </w:pPr>
            <w:r>
              <w:rPr>
                <w:rFonts w:ascii="Arial" w:cs="Arial" w:eastAsia="Arial" w:hAnsi="Arial"/>
                <w:sz w:val="18"/>
                <w:szCs w:val="18"/>
                <w:color w:val="auto"/>
              </w:rPr>
              <w:t>dated as of June 28, 2019.</w:t>
            </w:r>
          </w:p>
        </w:tc>
      </w:tr>
    </w:tbl>
    <w:p>
      <w:pPr>
        <w:spacing w:after="0" w:line="20" w:lineRule="exact"/>
        <w:rPr>
          <w:sz w:val="20"/>
          <w:szCs w:val="20"/>
          <w:color w:val="auto"/>
        </w:rPr>
      </w:pPr>
      <w:r>
        <w:rPr>
          <w:sz w:val="20"/>
          <w:szCs w:val="20"/>
          <w:color w:val="auto"/>
        </w:rPr>
        <w:br w:type="column"/>
      </w:r>
    </w:p>
    <w:p>
      <w:pPr>
        <w:ind w:right="660"/>
        <w:spacing w:after="0" w:line="228" w:lineRule="auto"/>
        <w:rPr>
          <w:rFonts w:ascii="Arial" w:cs="Arial" w:eastAsia="Arial" w:hAnsi="Arial"/>
          <w:sz w:val="18"/>
          <w:szCs w:val="18"/>
          <w:u w:val="single" w:color="auto"/>
          <w:color w:val="0000FF"/>
        </w:rPr>
      </w:pPr>
      <w:hyperlink r:id="rId112">
        <w:r>
          <w:rPr>
            <w:rFonts w:ascii="Arial" w:cs="Arial" w:eastAsia="Arial" w:hAnsi="Arial"/>
            <w:sz w:val="18"/>
            <w:szCs w:val="18"/>
            <w:u w:val="single" w:color="auto"/>
            <w:color w:val="0000FF"/>
          </w:rPr>
          <w:t>Exhibit No. 3.(i) to our Form 8-K filed August 22, 2006 (File</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No. 001-13881).</w:t>
        </w:r>
      </w:hyperlink>
    </w:p>
    <w:p>
      <w:pPr>
        <w:spacing w:after="0" w:line="67" w:lineRule="exact"/>
        <w:rPr>
          <w:sz w:val="20"/>
          <w:szCs w:val="20"/>
          <w:color w:val="auto"/>
        </w:rPr>
      </w:pPr>
    </w:p>
    <w:p>
      <w:pPr>
        <w:ind w:right="620"/>
        <w:spacing w:after="0" w:line="228" w:lineRule="auto"/>
        <w:rPr>
          <w:rFonts w:ascii="Arial" w:cs="Arial" w:eastAsia="Arial" w:hAnsi="Arial"/>
          <w:sz w:val="18"/>
          <w:szCs w:val="18"/>
          <w:u w:val="single" w:color="auto"/>
          <w:color w:val="0000FF"/>
        </w:rPr>
      </w:pPr>
      <w:hyperlink r:id="rId113">
        <w:r>
          <w:rPr>
            <w:rFonts w:ascii="Arial" w:cs="Arial" w:eastAsia="Arial" w:hAnsi="Arial"/>
            <w:sz w:val="18"/>
            <w:szCs w:val="18"/>
            <w:u w:val="single" w:color="auto"/>
            <w:color w:val="0000FF"/>
          </w:rPr>
          <w:t>Exhibit No. 3.(ii) to our Form 8-K filed August 14, 2019 (File</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No. 001-13881).</w:t>
        </w:r>
      </w:hyperlink>
    </w:p>
    <w:p>
      <w:pPr>
        <w:spacing w:after="0" w:line="54" w:lineRule="exact"/>
        <w:rPr>
          <w:sz w:val="20"/>
          <w:szCs w:val="20"/>
          <w:color w:val="auto"/>
        </w:rPr>
      </w:pPr>
    </w:p>
    <w:p>
      <w:pPr>
        <w:ind w:right="680"/>
        <w:spacing w:after="0" w:line="228" w:lineRule="auto"/>
        <w:rPr>
          <w:rFonts w:ascii="Arial" w:cs="Arial" w:eastAsia="Arial" w:hAnsi="Arial"/>
          <w:sz w:val="18"/>
          <w:szCs w:val="18"/>
          <w:u w:val="single" w:color="auto"/>
          <w:color w:val="0000FF"/>
        </w:rPr>
      </w:pPr>
      <w:hyperlink r:id="rId114">
        <w:r>
          <w:rPr>
            <w:rFonts w:ascii="Arial" w:cs="Arial" w:eastAsia="Arial" w:hAnsi="Arial"/>
            <w:sz w:val="18"/>
            <w:szCs w:val="18"/>
            <w:u w:val="single" w:color="auto"/>
            <w:color w:val="0000FF"/>
          </w:rPr>
          <w:t>Exhibit No. 4.5 to our Form S-3ASR filed December 8, 2005</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(File No. 333-130212).</w:t>
        </w:r>
      </w:hyperlink>
    </w:p>
    <w:p>
      <w:pPr>
        <w:spacing w:after="0" w:line="67" w:lineRule="exact"/>
        <w:rPr>
          <w:sz w:val="20"/>
          <w:szCs w:val="20"/>
          <w:color w:val="auto"/>
        </w:rPr>
      </w:pPr>
    </w:p>
    <w:p>
      <w:pPr>
        <w:ind w:right="820"/>
        <w:spacing w:after="0" w:line="228" w:lineRule="auto"/>
        <w:rPr>
          <w:rFonts w:ascii="Arial" w:cs="Arial" w:eastAsia="Arial" w:hAnsi="Arial"/>
          <w:sz w:val="18"/>
          <w:szCs w:val="18"/>
          <w:u w:val="single" w:color="auto"/>
          <w:color w:val="0000FF"/>
        </w:rPr>
      </w:pPr>
      <w:hyperlink r:id="rId115">
        <w:r>
          <w:rPr>
            <w:rFonts w:ascii="Arial" w:cs="Arial" w:eastAsia="Arial" w:hAnsi="Arial"/>
            <w:sz w:val="18"/>
            <w:szCs w:val="18"/>
            <w:u w:val="single" w:color="auto"/>
            <w:color w:val="0000FF"/>
          </w:rPr>
          <w:t>Exhibit No. 4.1 to our Form 10-K for the fiscal year- ended</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January 1, 1999 (File No. 001-13881).</w:t>
        </w:r>
      </w:hyperlink>
    </w:p>
    <w:p>
      <w:pPr>
        <w:spacing w:after="0" w:line="396" w:lineRule="exact"/>
        <w:rPr>
          <w:sz w:val="20"/>
          <w:szCs w:val="20"/>
          <w:color w:val="auto"/>
        </w:rPr>
      </w:pPr>
    </w:p>
    <w:p>
      <w:pPr>
        <w:ind w:right="860"/>
        <w:spacing w:after="0" w:line="228" w:lineRule="auto"/>
        <w:rPr>
          <w:rFonts w:ascii="Arial" w:cs="Arial" w:eastAsia="Arial" w:hAnsi="Arial"/>
          <w:sz w:val="18"/>
          <w:szCs w:val="18"/>
          <w:u w:val="single" w:color="auto"/>
          <w:color w:val="0000FF"/>
        </w:rPr>
      </w:pPr>
      <w:hyperlink r:id="rId116">
        <w:r>
          <w:rPr>
            <w:rFonts w:ascii="Arial" w:cs="Arial" w:eastAsia="Arial" w:hAnsi="Arial"/>
            <w:sz w:val="18"/>
            <w:szCs w:val="18"/>
            <w:u w:val="single" w:color="auto"/>
            <w:color w:val="0000FF"/>
          </w:rPr>
          <w:t>Exhibit No. 4.3 to our Form 10-K for the fiscal year-ended</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December 31, 2019 (File No. 001-13881).</w:t>
        </w:r>
      </w:hyperlink>
    </w:p>
    <w:p>
      <w:pPr>
        <w:spacing w:after="0" w:line="67" w:lineRule="exact"/>
        <w:rPr>
          <w:sz w:val="20"/>
          <w:szCs w:val="20"/>
          <w:color w:val="auto"/>
        </w:rPr>
      </w:pPr>
    </w:p>
    <w:p>
      <w:pPr>
        <w:spacing w:after="0"/>
        <w:rPr>
          <w:rFonts w:ascii="Arial" w:cs="Arial" w:eastAsia="Arial" w:hAnsi="Arial"/>
          <w:sz w:val="16"/>
          <w:szCs w:val="16"/>
          <w:u w:val="single" w:color="auto"/>
          <w:color w:val="0000FF"/>
        </w:rPr>
      </w:pPr>
      <w:hyperlink r:id="rId117">
        <w:r>
          <w:rPr>
            <w:rFonts w:ascii="Arial" w:cs="Arial" w:eastAsia="Arial" w:hAnsi="Arial"/>
            <w:sz w:val="16"/>
            <w:szCs w:val="16"/>
            <w:u w:val="single" w:color="auto"/>
            <w:color w:val="0000FF"/>
          </w:rPr>
          <w:t>Exhibit No. 10 to our Form 8-K filed July 1, 2019 (File No.</w:t>
        </w:r>
      </w:hyperlink>
    </w:p>
    <w:p>
      <w:pPr>
        <w:spacing w:after="0" w:line="27" w:lineRule="exact"/>
        <w:rPr>
          <w:sz w:val="20"/>
          <w:szCs w:val="20"/>
          <w:color w:val="auto"/>
        </w:rPr>
      </w:pPr>
    </w:p>
    <w:p>
      <w:pPr>
        <w:spacing w:after="0"/>
        <w:rPr>
          <w:rFonts w:ascii="Arial" w:cs="Arial" w:eastAsia="Arial" w:hAnsi="Arial"/>
          <w:sz w:val="18"/>
          <w:szCs w:val="18"/>
          <w:u w:val="single" w:color="auto"/>
          <w:color w:val="0000FF"/>
        </w:rPr>
      </w:pPr>
      <w:hyperlink r:id="rId117">
        <w:r>
          <w:rPr>
            <w:rFonts w:ascii="Arial" w:cs="Arial" w:eastAsia="Arial" w:hAnsi="Arial"/>
            <w:sz w:val="18"/>
            <w:szCs w:val="18"/>
            <w:u w:val="single" w:color="auto"/>
            <w:color w:val="0000FF"/>
          </w:rPr>
          <w:t>001-13881).</w:t>
        </w:r>
      </w:hyperlink>
    </w:p>
    <w:p>
      <w:pPr>
        <w:spacing w:after="0" w:line="187" w:lineRule="exact"/>
        <w:rPr>
          <w:sz w:val="20"/>
          <w:szCs w:val="20"/>
          <w:color w:val="auto"/>
        </w:rPr>
      </w:pPr>
    </w:p>
    <w:p>
      <w:pPr>
        <w:spacing w:after="0"/>
        <w:rPr>
          <w:rFonts w:ascii="Arial" w:cs="Arial" w:eastAsia="Arial" w:hAnsi="Arial"/>
          <w:sz w:val="16"/>
          <w:szCs w:val="16"/>
          <w:u w:val="single" w:color="auto"/>
          <w:color w:val="0000FF"/>
        </w:rPr>
      </w:pPr>
      <w:hyperlink r:id="rId118">
        <w:r>
          <w:rPr>
            <w:rFonts w:ascii="Arial" w:cs="Arial" w:eastAsia="Arial" w:hAnsi="Arial"/>
            <w:sz w:val="16"/>
            <w:szCs w:val="16"/>
            <w:u w:val="single" w:color="auto"/>
            <w:color w:val="0000FF"/>
          </w:rPr>
          <w:t>Exhibit No. 10 to our Form 10-Q filed May 11, 2020 (File No.</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118">
        <w:r>
          <w:rPr>
            <w:rFonts w:ascii="Arial" w:cs="Arial" w:eastAsia="Arial" w:hAnsi="Arial"/>
            <w:sz w:val="18"/>
            <w:szCs w:val="18"/>
            <w:u w:val="single" w:color="auto"/>
            <w:color w:val="0000FF"/>
          </w:rPr>
          <w:t>001-13881).</w:t>
        </w:r>
      </w:hyperlink>
    </w:p>
    <w:p>
      <w:pPr>
        <w:spacing w:after="0" w:line="543" w:lineRule="exact"/>
        <w:rPr>
          <w:sz w:val="20"/>
          <w:szCs w:val="20"/>
          <w:color w:val="auto"/>
        </w:rPr>
      </w:pPr>
    </w:p>
    <w:p>
      <w:pPr>
        <w:sectPr>
          <w:pgSz w:w="11900" w:h="16838" w:orient="portrait"/>
          <w:cols w:equalWidth="0" w:num="2">
            <w:col w:w="6100" w:space="160"/>
            <w:col w:w="4980"/>
          </w:cols>
          <w:pgMar w:left="320" w:top="127" w:right="339" w:bottom="1440" w:gutter="0" w:footer="0" w:header="0"/>
          <w:type w:val="continuous"/>
        </w:sect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170"/>
        </w:trPr>
        <w:tc>
          <w:tcPr>
            <w:tcW w:w="90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8"/>
                <w:szCs w:val="18"/>
                <w:color w:val="auto"/>
              </w:rPr>
              <w:t>10.1.3</w:t>
            </w:r>
          </w:p>
        </w:tc>
        <w:tc>
          <w:tcPr>
            <w:tcW w:w="260" w:type="dxa"/>
            <w:vAlign w:val="bottom"/>
          </w:tcPr>
          <w:p>
            <w:pPr>
              <w:spacing w:after="0"/>
              <w:rPr>
                <w:sz w:val="14"/>
                <w:szCs w:val="14"/>
                <w:color w:val="auto"/>
              </w:rPr>
            </w:pPr>
          </w:p>
        </w:tc>
        <w:tc>
          <w:tcPr>
            <w:tcW w:w="442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8"/>
                <w:szCs w:val="18"/>
                <w:color w:val="auto"/>
                <w:w w:val="94"/>
              </w:rPr>
              <w:t>Second Amendment, dated as of January 26, 2021, to the</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w w:val="91"/>
              </w:rPr>
              <w:t>Fifth Amended and Restated Credit Agreement with Bank of</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w w:val="94"/>
              </w:rPr>
              <w:t>America, N.A., as administrative agent, and certain banks,</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dated as of June 28, 2019.</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10.1.4</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0"/>
              </w:rPr>
              <w:t>Third Amendment, dated as of January 26, 2021, to the Fifth</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w w:val="99"/>
              </w:rPr>
              <w:t>Amended and Restated Credit Agreement with Bank of</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w w:val="94"/>
              </w:rPr>
              <w:t>America, N.A., as administrative agent, and certain banks,</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dated as of June 28, 2019.</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10.2.1</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1"/>
              </w:rPr>
              <w:t>License, Services and Development Agreement entered into</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rPr>
              <w:t>on November 17, 2011, among the Company, Marriott</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rPr>
              <w:t>Worldwide Corporation, Marriott Vacations Worldwide</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Corporation, and the other signatories thereto.</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10.2.2</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6"/>
              </w:rPr>
              <w:t>First Amendment to License, Services, and Development</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w w:val="94"/>
              </w:rPr>
              <w:t>Agreement for Marriott Projects, dated February 26, 2018,</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rPr>
              <w:t>among the Company, Marriott Worldwide Corporation,</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w w:val="97"/>
              </w:rPr>
              <w:t>Marriott Vacations Worldwide Corporation, and the other</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signatories thereto.</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10.2.3</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8"/>
              </w:rPr>
              <w:t>Letter of Agreement, effective as of September 1, 2018,</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rPr>
              <w:t>among Marriott International, Inc., Marriott Worldwide</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w w:val="98"/>
              </w:rPr>
              <w:t>Corporation, Marriott Rewards, LLC, Starwood Hotels &amp;</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w w:val="99"/>
              </w:rPr>
              <w:t>Resorts Worldwide, LLC, Marriott Vacations Worldwide</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rPr>
              <w:t>Corporation, Marriott Ownership Resorts, Inc., Vistana</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Signature Experiences, Inc. and ILG, LLC.</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10.3.1</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1"/>
              </w:rPr>
              <w:t>License, Services and Development Agreement entered into</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rPr>
              <w:t>on November 17, 2011, among The Ritz-Carlton Hotel</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w w:val="90"/>
              </w:rPr>
              <w:t>Company, L.L.C., Marriott Vacations Worldwide Corporation,</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and the other signatories thereto.</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10.3.2</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6"/>
              </w:rPr>
              <w:t>First Amendment to License, Services, and Development</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w w:val="98"/>
              </w:rPr>
              <w:t>Agreement for Ritz-Carlton Projects, dated February 26,</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rPr>
              <w:t>2018, among The Ritz-Carlton Hotel Company, L.L.C.,</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w w:val="97"/>
              </w:rPr>
              <w:t>Marriott Vacations Worldwide Corporation, and the other</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signatories thereto.</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10.4.1</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Marriott Rewards Affiliation Agreement entered into on</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w w:val="89"/>
              </w:rPr>
              <w:t>November 17, 2011, among the Company, Marriott Rewards,</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rPr>
              <w:t>L.L.C., Marriott Vacations Worldwide Corporation and</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w w:val="93"/>
              </w:rPr>
              <w:t>certain of its subsidiaries, Marriott Ownership Resorts, Inc.,</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and the other signatories thereto.</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10.4.2</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First Amendment to the Marriott Rewards Affiliation</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w w:val="91"/>
              </w:rPr>
              <w:t>Agreement, dated February 26, 2018, among the Company,</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rPr>
              <w:t>Marriott Rewards, LLC, Marriott Vacations Worldwide</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Corporation, and Marriott Ownership Resorts, Inc.</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10.4.3</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Second Amendment to Marriott Rewards Affiliation</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w w:val="89"/>
              </w:rPr>
              <w:t>Agreement, dated November 25, 2019, among the Company,</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rPr>
              <w:t>Marriott Rewards, LLC, Marriott Vacations Worldwide</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Corporation, and Marriott Ownership Resorts, Inc.</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*10.5.1</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0"/>
              </w:rPr>
              <w:t>Marriott International, Inc. Stock and Cash Incentive Plan, as</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Amended Through February 13, 2014.</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*10.5.2</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Amendment dated August 7, 2014 to the Marriott</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International, Inc. Stock and Cash Incentive Plan.</w:t>
            </w:r>
          </w:p>
        </w:tc>
      </w:tr>
      <w:tr>
        <w:trPr>
          <w:trHeight w:val="895"/>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20" w:type="dxa"/>
            <w:vAlign w:val="bottom"/>
          </w:tcPr>
          <w:p>
            <w:pPr>
              <w:ind w:left="3800"/>
              <w:spacing w:after="0"/>
              <w:rPr>
                <w:sz w:val="20"/>
                <w:szCs w:val="20"/>
                <w:color w:val="auto"/>
              </w:rPr>
            </w:pPr>
            <w:r>
              <w:rPr>
                <w:rFonts w:ascii="Arial" w:cs="Arial" w:eastAsia="Arial" w:hAnsi="Arial"/>
                <w:sz w:val="18"/>
                <w:szCs w:val="18"/>
                <w:color w:val="auto"/>
              </w:rPr>
              <w:t>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54610</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right="280"/>
        <w:spacing w:after="0" w:line="238" w:lineRule="auto"/>
        <w:rPr>
          <w:sz w:val="20"/>
          <w:szCs w:val="20"/>
          <w:color w:val="auto"/>
        </w:rPr>
      </w:pPr>
      <w:r>
        <w:rPr>
          <w:rFonts w:ascii="Arial" w:cs="Arial" w:eastAsia="Arial" w:hAnsi="Arial"/>
          <w:sz w:val="13"/>
          <w:szCs w:val="13"/>
          <w:b w:val="1"/>
          <w:bCs w:val="1"/>
          <w:color w:val="auto"/>
        </w:rPr>
        <w:t>Incorporation by Reference (where a report is indicated below, that document has been previously filed with the SEC and the applicable exhibit is incorporated by reference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28073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2807335" cy="8255"/>
                    </a:xfrm>
                    <a:prstGeom prst="rect">
                      <a:avLst/>
                    </a:prstGeom>
                    <a:noFill/>
                  </pic:spPr>
                </pic:pic>
              </a:graphicData>
            </a:graphic>
          </wp:anchor>
        </w:drawing>
      </w:r>
    </w:p>
    <w:p>
      <w:pPr>
        <w:spacing w:after="0" w:line="6" w:lineRule="exact"/>
        <w:rPr>
          <w:sz w:val="20"/>
          <w:szCs w:val="20"/>
          <w:color w:val="auto"/>
        </w:rPr>
      </w:pPr>
    </w:p>
    <w:p>
      <w:pPr>
        <w:spacing w:after="0" w:line="228" w:lineRule="auto"/>
        <w:rPr>
          <w:rFonts w:ascii="Arial" w:cs="Arial" w:eastAsia="Arial" w:hAnsi="Arial"/>
          <w:sz w:val="18"/>
          <w:szCs w:val="18"/>
          <w:u w:val="single" w:color="auto"/>
          <w:color w:val="0000FF"/>
        </w:rPr>
      </w:pPr>
      <w:hyperlink r:id="rId122">
        <w:r>
          <w:rPr>
            <w:rFonts w:ascii="Arial" w:cs="Arial" w:eastAsia="Arial" w:hAnsi="Arial"/>
            <w:sz w:val="18"/>
            <w:szCs w:val="18"/>
            <w:u w:val="single" w:color="auto"/>
            <w:color w:val="0000FF"/>
          </w:rPr>
          <w:t>Exhibit No. 10.1 to our Form 8-K filed January 28, 2021 (File</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No. 001-13881).</w:t>
        </w:r>
      </w:hyperlink>
    </w:p>
    <w:p>
      <w:pPr>
        <w:spacing w:after="0" w:line="396" w:lineRule="exact"/>
        <w:rPr>
          <w:sz w:val="20"/>
          <w:szCs w:val="20"/>
          <w:color w:val="auto"/>
        </w:rPr>
      </w:pPr>
    </w:p>
    <w:p>
      <w:pPr>
        <w:spacing w:after="0" w:line="228" w:lineRule="auto"/>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Exhibit No. 10.2 to our Form 8-K filed January 28, 2021 (File</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No. 001-13881).</w:t>
        </w:r>
      </w:hyperlink>
    </w:p>
    <w:p>
      <w:pPr>
        <w:spacing w:after="0" w:line="396" w:lineRule="exact"/>
        <w:rPr>
          <w:sz w:val="20"/>
          <w:szCs w:val="20"/>
          <w:color w:val="auto"/>
        </w:rPr>
      </w:pPr>
    </w:p>
    <w:p>
      <w:pPr>
        <w:ind w:right="180"/>
        <w:spacing w:after="0" w:line="228" w:lineRule="auto"/>
        <w:rPr>
          <w:rFonts w:ascii="Arial" w:cs="Arial" w:eastAsia="Arial" w:hAnsi="Arial"/>
          <w:sz w:val="18"/>
          <w:szCs w:val="18"/>
          <w:u w:val="single" w:color="auto"/>
          <w:color w:val="0000FF"/>
        </w:rPr>
      </w:pPr>
      <w:hyperlink r:id="rId124">
        <w:r>
          <w:rPr>
            <w:rFonts w:ascii="Arial" w:cs="Arial" w:eastAsia="Arial" w:hAnsi="Arial"/>
            <w:sz w:val="18"/>
            <w:szCs w:val="18"/>
            <w:u w:val="single" w:color="auto"/>
            <w:color w:val="0000FF"/>
          </w:rPr>
          <w:t>Exhibit No. 10.1 to our Form 8-K filed November 21, 2011</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(File No. 001-13881).</w:t>
        </w:r>
      </w:hyperlink>
    </w:p>
    <w:p>
      <w:pPr>
        <w:spacing w:after="0" w:line="396" w:lineRule="exact"/>
        <w:rPr>
          <w:sz w:val="20"/>
          <w:szCs w:val="20"/>
          <w:color w:val="auto"/>
        </w:rPr>
      </w:pPr>
    </w:p>
    <w:p>
      <w:pPr>
        <w:ind w:right="280"/>
        <w:spacing w:after="0" w:line="228" w:lineRule="auto"/>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Exhibit No. 10.1 to our Form 8-K filed February 27, 2018</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(File No. 001-13881).</w:t>
        </w:r>
      </w:hyperlink>
    </w:p>
    <w:p>
      <w:pPr>
        <w:spacing w:after="0" w:line="200" w:lineRule="exact"/>
        <w:rPr>
          <w:sz w:val="20"/>
          <w:szCs w:val="20"/>
          <w:color w:val="auto"/>
        </w:rPr>
      </w:pPr>
    </w:p>
    <w:p>
      <w:pPr>
        <w:spacing w:after="0" w:line="367" w:lineRule="exact"/>
        <w:rPr>
          <w:sz w:val="20"/>
          <w:szCs w:val="20"/>
          <w:color w:val="auto"/>
        </w:rPr>
      </w:pPr>
    </w:p>
    <w:p>
      <w:pPr>
        <w:ind w:right="180"/>
        <w:spacing w:after="0" w:line="228" w:lineRule="auto"/>
        <w:rPr>
          <w:rFonts w:ascii="Arial" w:cs="Arial" w:eastAsia="Arial" w:hAnsi="Arial"/>
          <w:sz w:val="18"/>
          <w:szCs w:val="18"/>
          <w:u w:val="single" w:color="auto"/>
          <w:color w:val="0000FF"/>
        </w:rPr>
      </w:pPr>
      <w:hyperlink r:id="rId126">
        <w:r>
          <w:rPr>
            <w:rFonts w:ascii="Arial" w:cs="Arial" w:eastAsia="Arial" w:hAnsi="Arial"/>
            <w:sz w:val="18"/>
            <w:szCs w:val="18"/>
            <w:u w:val="single" w:color="auto"/>
            <w:color w:val="0000FF"/>
          </w:rPr>
          <w:t>Exhibit No. 10.2 to our Form 10-Q filed November 6, 2018</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(File No. 001-13881).</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80"/>
        <w:spacing w:after="0" w:line="228" w:lineRule="auto"/>
        <w:rPr>
          <w:rFonts w:ascii="Arial" w:cs="Arial" w:eastAsia="Arial" w:hAnsi="Arial"/>
          <w:sz w:val="18"/>
          <w:szCs w:val="18"/>
          <w:u w:val="single" w:color="auto"/>
          <w:color w:val="0000FF"/>
        </w:rPr>
      </w:pPr>
      <w:hyperlink r:id="rId127">
        <w:r>
          <w:rPr>
            <w:rFonts w:ascii="Arial" w:cs="Arial" w:eastAsia="Arial" w:hAnsi="Arial"/>
            <w:sz w:val="18"/>
            <w:szCs w:val="18"/>
            <w:u w:val="single" w:color="auto"/>
            <w:color w:val="0000FF"/>
          </w:rPr>
          <w:t>Exhibit No. 10.2 to our Form 8-K filed November 21, 2011</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(File No. 001-13881).</w:t>
        </w:r>
      </w:hyperlink>
    </w:p>
    <w:p>
      <w:pPr>
        <w:spacing w:after="0" w:line="396" w:lineRule="exact"/>
        <w:rPr>
          <w:sz w:val="20"/>
          <w:szCs w:val="20"/>
          <w:color w:val="auto"/>
        </w:rPr>
      </w:pPr>
    </w:p>
    <w:p>
      <w:pPr>
        <w:ind w:right="280"/>
        <w:spacing w:after="0" w:line="228" w:lineRule="auto"/>
        <w:rPr>
          <w:rFonts w:ascii="Arial" w:cs="Arial" w:eastAsia="Arial" w:hAnsi="Arial"/>
          <w:sz w:val="18"/>
          <w:szCs w:val="18"/>
          <w:u w:val="single" w:color="auto"/>
          <w:color w:val="0000FF"/>
        </w:rPr>
      </w:pPr>
      <w:hyperlink r:id="rId128">
        <w:r>
          <w:rPr>
            <w:rFonts w:ascii="Arial" w:cs="Arial" w:eastAsia="Arial" w:hAnsi="Arial"/>
            <w:sz w:val="18"/>
            <w:szCs w:val="18"/>
            <w:u w:val="single" w:color="auto"/>
            <w:color w:val="0000FF"/>
          </w:rPr>
          <w:t>Exhibit No. 10.2 to our Form 8-K filed February 27, 2018</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(File No. 001-13881).</w:t>
        </w:r>
      </w:hyperlink>
    </w:p>
    <w:p>
      <w:pPr>
        <w:spacing w:after="0" w:line="200" w:lineRule="exact"/>
        <w:rPr>
          <w:sz w:val="20"/>
          <w:szCs w:val="20"/>
          <w:color w:val="auto"/>
        </w:rPr>
      </w:pPr>
    </w:p>
    <w:p>
      <w:pPr>
        <w:spacing w:after="0" w:line="367" w:lineRule="exact"/>
        <w:rPr>
          <w:sz w:val="20"/>
          <w:szCs w:val="20"/>
          <w:color w:val="auto"/>
        </w:rPr>
      </w:pPr>
    </w:p>
    <w:p>
      <w:pPr>
        <w:ind w:right="180"/>
        <w:spacing w:after="0" w:line="228" w:lineRule="auto"/>
        <w:rPr>
          <w:rFonts w:ascii="Arial" w:cs="Arial" w:eastAsia="Arial" w:hAnsi="Arial"/>
          <w:sz w:val="18"/>
          <w:szCs w:val="18"/>
          <w:u w:val="single" w:color="auto"/>
          <w:color w:val="0000FF"/>
        </w:rPr>
      </w:pPr>
      <w:hyperlink r:id="rId129">
        <w:r>
          <w:rPr>
            <w:rFonts w:ascii="Arial" w:cs="Arial" w:eastAsia="Arial" w:hAnsi="Arial"/>
            <w:sz w:val="18"/>
            <w:szCs w:val="18"/>
            <w:u w:val="single" w:color="auto"/>
            <w:color w:val="0000FF"/>
          </w:rPr>
          <w:t>Exhibit No. 10.5 to our Form 8-K filed November 21, 2011</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(File No. 001-13881).</w:t>
        </w:r>
      </w:hyperlink>
    </w:p>
    <w:p>
      <w:pPr>
        <w:spacing w:after="0" w:line="200" w:lineRule="exact"/>
        <w:rPr>
          <w:sz w:val="20"/>
          <w:szCs w:val="20"/>
          <w:color w:val="auto"/>
        </w:rPr>
      </w:pPr>
    </w:p>
    <w:p>
      <w:pPr>
        <w:spacing w:after="0" w:line="367" w:lineRule="exact"/>
        <w:rPr>
          <w:sz w:val="20"/>
          <w:szCs w:val="20"/>
          <w:color w:val="auto"/>
        </w:rPr>
      </w:pPr>
    </w:p>
    <w:p>
      <w:pPr>
        <w:ind w:right="280"/>
        <w:spacing w:after="0" w:line="228" w:lineRule="auto"/>
        <w:rPr>
          <w:rFonts w:ascii="Arial" w:cs="Arial" w:eastAsia="Arial" w:hAnsi="Arial"/>
          <w:sz w:val="18"/>
          <w:szCs w:val="18"/>
          <w:u w:val="single" w:color="auto"/>
          <w:color w:val="0000FF"/>
        </w:rPr>
      </w:pPr>
      <w:hyperlink r:id="rId130">
        <w:r>
          <w:rPr>
            <w:rFonts w:ascii="Arial" w:cs="Arial" w:eastAsia="Arial" w:hAnsi="Arial"/>
            <w:sz w:val="18"/>
            <w:szCs w:val="18"/>
            <w:u w:val="single" w:color="auto"/>
            <w:color w:val="0000FF"/>
          </w:rPr>
          <w:t>Exhibit No. 10.3 to our Form 8-K filed February 27, 2018</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(File No. 001-13881).</w:t>
        </w:r>
      </w:hyperlink>
    </w:p>
    <w:p>
      <w:pPr>
        <w:spacing w:after="0" w:line="396" w:lineRule="exact"/>
        <w:rPr>
          <w:sz w:val="20"/>
          <w:szCs w:val="20"/>
          <w:color w:val="auto"/>
        </w:rPr>
      </w:pPr>
    </w:p>
    <w:p>
      <w:pPr>
        <w:ind w:right="20"/>
        <w:spacing w:after="0" w:line="228" w:lineRule="auto"/>
        <w:rPr>
          <w:rFonts w:ascii="Arial" w:cs="Arial" w:eastAsia="Arial" w:hAnsi="Arial"/>
          <w:sz w:val="18"/>
          <w:szCs w:val="18"/>
          <w:u w:val="single" w:color="auto"/>
          <w:color w:val="0000FF"/>
        </w:rPr>
      </w:pPr>
      <w:hyperlink r:id="rId131">
        <w:r>
          <w:rPr>
            <w:rFonts w:ascii="Arial" w:cs="Arial" w:eastAsia="Arial" w:hAnsi="Arial"/>
            <w:sz w:val="18"/>
            <w:szCs w:val="18"/>
            <w:u w:val="single" w:color="auto"/>
            <w:color w:val="0000FF"/>
          </w:rPr>
          <w:t>Exhibit No. 10.4.3 to our Form 10-K for the fiscal year-ended</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December 31, 2019 (File No. 001-13881).</w:t>
        </w:r>
      </w:hyperlink>
    </w:p>
    <w:p>
      <w:pPr>
        <w:spacing w:after="0" w:line="396" w:lineRule="exact"/>
        <w:rPr>
          <w:sz w:val="20"/>
          <w:szCs w:val="20"/>
          <w:color w:val="auto"/>
        </w:rPr>
      </w:pPr>
    </w:p>
    <w:p>
      <w:pPr>
        <w:ind w:right="300"/>
        <w:spacing w:after="0" w:line="228" w:lineRule="auto"/>
        <w:rPr>
          <w:rFonts w:ascii="Arial" w:cs="Arial" w:eastAsia="Arial" w:hAnsi="Arial"/>
          <w:sz w:val="18"/>
          <w:szCs w:val="18"/>
          <w:u w:val="single" w:color="auto"/>
          <w:color w:val="0000FF"/>
        </w:rPr>
      </w:pPr>
      <w:hyperlink r:id="rId132">
        <w:r>
          <w:rPr>
            <w:rFonts w:ascii="Arial" w:cs="Arial" w:eastAsia="Arial" w:hAnsi="Arial"/>
            <w:sz w:val="18"/>
            <w:szCs w:val="18"/>
            <w:u w:val="single" w:color="auto"/>
            <w:color w:val="0000FF"/>
          </w:rPr>
          <w:t>Exhibit A to our Definitive Proxy Statement filed April 4,</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2014 (File No. 001-13881).</w:t>
        </w:r>
      </w:hyperlink>
    </w:p>
    <w:p>
      <w:pPr>
        <w:spacing w:after="0" w:line="54" w:lineRule="exact"/>
        <w:rPr>
          <w:sz w:val="20"/>
          <w:szCs w:val="20"/>
          <w:color w:val="auto"/>
        </w:rPr>
      </w:pPr>
    </w:p>
    <w:p>
      <w:pPr>
        <w:ind w:right="20"/>
        <w:spacing w:after="0" w:line="228" w:lineRule="auto"/>
        <w:rPr>
          <w:rFonts w:ascii="Arial" w:cs="Arial" w:eastAsia="Arial" w:hAnsi="Arial"/>
          <w:sz w:val="18"/>
          <w:szCs w:val="18"/>
          <w:u w:val="single" w:color="auto"/>
          <w:color w:val="0000FF"/>
        </w:rPr>
      </w:pPr>
      <w:hyperlink r:id="rId133">
        <w:r>
          <w:rPr>
            <w:rFonts w:ascii="Arial" w:cs="Arial" w:eastAsia="Arial" w:hAnsi="Arial"/>
            <w:sz w:val="18"/>
            <w:szCs w:val="18"/>
            <w:u w:val="single" w:color="auto"/>
            <w:color w:val="0000FF"/>
          </w:rPr>
          <w:t>Exhibit No. 10 to our Form 10-Q filed October 29, 2014 (File</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No. 001-13881).</w:t>
        </w:r>
      </w:hyperlink>
    </w:p>
    <w:p>
      <w:pPr>
        <w:sectPr>
          <w:pgSz w:w="11900" w:h="16838" w:orient="portrait"/>
          <w:cols w:equalWidth="0" w:num="2">
            <w:col w:w="6160" w:space="100"/>
            <w:col w:w="4360"/>
          </w:cols>
          <w:pgMar w:left="320" w:top="127" w:right="95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170"/>
        </w:trPr>
        <w:tc>
          <w:tcPr>
            <w:tcW w:w="90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8"/>
                <w:szCs w:val="18"/>
                <w:color w:val="auto"/>
              </w:rPr>
              <w:t>*10.5.3</w:t>
            </w:r>
          </w:p>
        </w:tc>
        <w:tc>
          <w:tcPr>
            <w:tcW w:w="260" w:type="dxa"/>
            <w:vAlign w:val="bottom"/>
          </w:tcPr>
          <w:p>
            <w:pPr>
              <w:spacing w:after="0"/>
              <w:rPr>
                <w:sz w:val="14"/>
                <w:szCs w:val="14"/>
                <w:color w:val="auto"/>
              </w:rPr>
            </w:pPr>
          </w:p>
        </w:tc>
        <w:tc>
          <w:tcPr>
            <w:tcW w:w="442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8"/>
                <w:szCs w:val="18"/>
                <w:color w:val="auto"/>
              </w:rPr>
              <w:t>Amendment dated September 23, 2016 to the Marriott</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International, Inc. Stock and Cash Incentive Plan.</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*10.5.4</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1"/>
              </w:rPr>
              <w:t>Amendment dated May 5, 2017 to the Marriott International,</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Inc. Stock and Cash Incentive Plan.</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*10.5.5</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Amendment dated February 15, 2019 to the Marriott</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International, Inc. Stock and Cash Incentive Plan.</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*10.5.6</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0"/>
              </w:rPr>
              <w:t>Amendment dated May 10, 2019 to the Marriott International,</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Inc. Stock and Cash Incentive Plan.</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*10.5.7</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1"/>
              </w:rPr>
              <w:t>Amendment dated May 8, 2020 to the Marriott International,</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Inc. Stock and Cash Incentive Plan.</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*10.6.1</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0"/>
              </w:rPr>
              <w:t>Marriott International, Inc. Executive Deferred Compensation</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Plan, Amended and Restated as of January 1, 2009.</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*10.6.2</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9"/>
              </w:rPr>
              <w:t>Amendment to the Marriott International, Inc. Executive</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7"/>
              </w:rPr>
              <w:t>Deferred Compensation Plan, effective January 1, 2010.</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*10.6.3</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9"/>
              </w:rPr>
              <w:t>Amendment to the Marriott International, Inc. Executive</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Deferred Compensation Plan, effective April 1, 2010.</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*10.6.4</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9"/>
              </w:rPr>
              <w:t>Amendment to the Marriott International, Inc. Executive</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5"/>
              </w:rPr>
              <w:t>Deferred Compensation Plan, effective October 25, 2011.</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*10.6.5</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9"/>
              </w:rPr>
              <w:t>Amendment to the Marriott International, Inc. Executive</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1"/>
              </w:rPr>
              <w:t>Deferred Compensation Plan, effective November 19, 2011.</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*10.6.6</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9"/>
              </w:rPr>
              <w:t>Amendment to the Marriott International, Inc. Executive</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7"/>
              </w:rPr>
              <w:t>Deferred Compensation Plan, effective January 1, 2013.</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*10.6.7</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9"/>
              </w:rPr>
              <w:t>Amendment to the Marriott International, Inc. Executive</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w w:val="91"/>
              </w:rPr>
              <w:t>Deferred Compensation Plan, effective September 23, 2016</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(409A).</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*10.6.8</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9"/>
              </w:rPr>
              <w:t>Amendment to the Marriott International, Inc. Executive</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w w:val="91"/>
              </w:rPr>
              <w:t>Deferred Compensation Plan, effective September 23, 2016</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(Starwood deferral elections).</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*10.6.9</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9"/>
              </w:rPr>
              <w:t>Amendment to the Marriott International, Inc. Executive</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7"/>
              </w:rPr>
              <w:t>Deferred Compensation Plan, effective January 1, 2019.</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*10.7.1</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4"/>
              </w:rPr>
              <w:t>Form of Employee Non-Qualified Stock Option Agreement</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w w:val="93"/>
              </w:rPr>
              <w:t>for the Marriott International, Inc. Stock and Cash Incentive</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Plan.</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*10.7.2</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0"/>
              </w:rPr>
              <w:t>Form of Senior Executive Supplemental Non-Qualified Stock</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w w:val="94"/>
              </w:rPr>
              <w:t>Option Agreement for the Marriott International, Inc. Stock</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and Cash Incentive Plan.</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*10.8.1</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Form of Executive Restricted Stock Unit/MI Shares</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w w:val="90"/>
              </w:rPr>
              <w:t>Agreement for the Marriott International, Inc. Stock and Cash</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Incentive Plan (pre-February 2018).</w:t>
            </w:r>
          </w:p>
        </w:tc>
      </w:tr>
      <w:tr>
        <w:trPr>
          <w:trHeight w:val="895"/>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20" w:type="dxa"/>
            <w:vAlign w:val="bottom"/>
          </w:tcPr>
          <w:p>
            <w:pPr>
              <w:ind w:left="3800"/>
              <w:spacing w:after="0"/>
              <w:rPr>
                <w:sz w:val="20"/>
                <w:szCs w:val="20"/>
                <w:color w:val="auto"/>
              </w:rPr>
            </w:pPr>
            <w:r>
              <w:rPr>
                <w:rFonts w:ascii="Arial" w:cs="Arial" w:eastAsia="Arial" w:hAnsi="Arial"/>
                <w:sz w:val="18"/>
                <w:szCs w:val="18"/>
                <w:color w:val="auto"/>
              </w:rPr>
              <w:t>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54610</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right="280"/>
        <w:spacing w:after="0" w:line="238" w:lineRule="auto"/>
        <w:rPr>
          <w:sz w:val="20"/>
          <w:szCs w:val="20"/>
          <w:color w:val="auto"/>
        </w:rPr>
      </w:pPr>
      <w:r>
        <w:rPr>
          <w:rFonts w:ascii="Arial" w:cs="Arial" w:eastAsia="Arial" w:hAnsi="Arial"/>
          <w:sz w:val="13"/>
          <w:szCs w:val="13"/>
          <w:b w:val="1"/>
          <w:bCs w:val="1"/>
          <w:color w:val="auto"/>
        </w:rPr>
        <w:t>Incorporation by Reference (where a report is indicated below, that document has been previously filed with the SEC and the applicable exhibit is incorporated by reference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28073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5">
                      <a:extLst>
                        <a:ext uri="{28A0092B-C50C-407E-A947-70E740481C1C}"/>
                      </a:extLst>
                    </a:blip>
                    <a:srcRect/>
                    <a:stretch>
                      <a:fillRect/>
                    </a:stretch>
                  </pic:blipFill>
                  <pic:spPr bwMode="auto">
                    <a:xfrm>
                      <a:off x="0" y="0"/>
                      <a:ext cx="2807335" cy="8255"/>
                    </a:xfrm>
                    <a:prstGeom prst="rect">
                      <a:avLst/>
                    </a:prstGeom>
                    <a:noFill/>
                  </pic:spPr>
                </pic:pic>
              </a:graphicData>
            </a:graphic>
          </wp:anchor>
        </w:drawing>
      </w:r>
    </w:p>
    <w:p>
      <w:pPr>
        <w:spacing w:after="0" w:line="6" w:lineRule="exact"/>
        <w:rPr>
          <w:sz w:val="20"/>
          <w:szCs w:val="20"/>
          <w:color w:val="auto"/>
        </w:rPr>
      </w:pPr>
    </w:p>
    <w:p>
      <w:pPr>
        <w:spacing w:after="0" w:line="228" w:lineRule="auto"/>
        <w:rPr>
          <w:rFonts w:ascii="Arial" w:cs="Arial" w:eastAsia="Arial" w:hAnsi="Arial"/>
          <w:sz w:val="18"/>
          <w:szCs w:val="18"/>
          <w:u w:val="single" w:color="auto"/>
          <w:color w:val="0000FF"/>
        </w:rPr>
      </w:pPr>
      <w:hyperlink r:id="rId136">
        <w:r>
          <w:rPr>
            <w:rFonts w:ascii="Arial" w:cs="Arial" w:eastAsia="Arial" w:hAnsi="Arial"/>
            <w:sz w:val="18"/>
            <w:szCs w:val="18"/>
            <w:u w:val="single" w:color="auto"/>
            <w:color w:val="0000FF"/>
          </w:rPr>
          <w:t>Exhibit 10.8.2 to our Form 10-K filed February 15, 2018 (File</w:t>
        </w:r>
      </w:hyperlink>
      <w:r>
        <w:rPr>
          <w:rFonts w:ascii="Arial" w:cs="Arial" w:eastAsia="Arial" w:hAnsi="Arial"/>
          <w:sz w:val="18"/>
          <w:szCs w:val="18"/>
          <w:u w:val="single" w:color="auto"/>
          <w:color w:val="0000FF"/>
        </w:rPr>
        <w:t xml:space="preserve"> </w:t>
      </w:r>
      <w:hyperlink r:id="rId136">
        <w:r>
          <w:rPr>
            <w:rFonts w:ascii="Arial" w:cs="Arial" w:eastAsia="Arial" w:hAnsi="Arial"/>
            <w:sz w:val="18"/>
            <w:szCs w:val="18"/>
            <w:u w:val="single" w:color="auto"/>
            <w:color w:val="0000FF"/>
          </w:rPr>
          <w:t>No. 001-13881).</w:t>
        </w:r>
      </w:hyperlink>
    </w:p>
    <w:p>
      <w:pPr>
        <w:spacing w:after="0" w:line="54" w:lineRule="exact"/>
        <w:rPr>
          <w:sz w:val="20"/>
          <w:szCs w:val="20"/>
          <w:color w:val="auto"/>
        </w:rPr>
      </w:pPr>
    </w:p>
    <w:p>
      <w:pPr>
        <w:spacing w:after="0" w:line="228" w:lineRule="auto"/>
        <w:rPr>
          <w:rFonts w:ascii="Arial" w:cs="Arial" w:eastAsia="Arial" w:hAnsi="Arial"/>
          <w:sz w:val="18"/>
          <w:szCs w:val="18"/>
          <w:u w:val="single" w:color="auto"/>
          <w:color w:val="0000FF"/>
        </w:rPr>
      </w:pPr>
      <w:hyperlink r:id="rId137">
        <w:r>
          <w:rPr>
            <w:rFonts w:ascii="Arial" w:cs="Arial" w:eastAsia="Arial" w:hAnsi="Arial"/>
            <w:sz w:val="18"/>
            <w:szCs w:val="18"/>
            <w:u w:val="single" w:color="auto"/>
            <w:color w:val="0000FF"/>
          </w:rPr>
          <w:t>Exhibit 10.8.3 to our Form 10-K filed February 15, 2018 (File</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No. 001-13881).</w:t>
        </w:r>
      </w:hyperlink>
    </w:p>
    <w:p>
      <w:pPr>
        <w:spacing w:after="0" w:line="54" w:lineRule="exact"/>
        <w:rPr>
          <w:sz w:val="20"/>
          <w:szCs w:val="20"/>
          <w:color w:val="auto"/>
        </w:rPr>
      </w:pPr>
    </w:p>
    <w:p>
      <w:pPr>
        <w:ind w:right="260"/>
        <w:spacing w:after="0" w:line="228" w:lineRule="auto"/>
        <w:rPr>
          <w:rFonts w:ascii="Arial" w:cs="Arial" w:eastAsia="Arial" w:hAnsi="Arial"/>
          <w:sz w:val="18"/>
          <w:szCs w:val="18"/>
          <w:u w:val="single" w:color="auto"/>
          <w:color w:val="0000FF"/>
        </w:rPr>
      </w:pPr>
      <w:hyperlink r:id="rId138">
        <w:r>
          <w:rPr>
            <w:rFonts w:ascii="Arial" w:cs="Arial" w:eastAsia="Arial" w:hAnsi="Arial"/>
            <w:sz w:val="18"/>
            <w:szCs w:val="18"/>
            <w:u w:val="single" w:color="auto"/>
            <w:color w:val="0000FF"/>
          </w:rPr>
          <w:t>Exhibit 10.7.5 to our Form 10-K filed March 1, 2019 (File</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No. 001-13881).</w:t>
        </w:r>
      </w:hyperlink>
    </w:p>
    <w:p>
      <w:pPr>
        <w:spacing w:after="0" w:line="54" w:lineRule="exact"/>
        <w:rPr>
          <w:sz w:val="20"/>
          <w:szCs w:val="20"/>
          <w:color w:val="auto"/>
        </w:rPr>
      </w:pPr>
    </w:p>
    <w:p>
      <w:pPr>
        <w:spacing w:after="0"/>
        <w:rPr>
          <w:rFonts w:ascii="Arial" w:cs="Arial" w:eastAsia="Arial" w:hAnsi="Arial"/>
          <w:sz w:val="16"/>
          <w:szCs w:val="16"/>
          <w:u w:val="single" w:color="auto"/>
          <w:color w:val="0000FF"/>
        </w:rPr>
      </w:pPr>
      <w:hyperlink r:id="rId139">
        <w:r>
          <w:rPr>
            <w:rFonts w:ascii="Arial" w:cs="Arial" w:eastAsia="Arial" w:hAnsi="Arial"/>
            <w:sz w:val="16"/>
            <w:szCs w:val="16"/>
            <w:u w:val="single" w:color="auto"/>
            <w:color w:val="0000FF"/>
          </w:rPr>
          <w:t>Exhibit 10.1 to our Form 10-Q filed August 6, 2019 (File No.</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139">
        <w:r>
          <w:rPr>
            <w:rFonts w:ascii="Arial" w:cs="Arial" w:eastAsia="Arial" w:hAnsi="Arial"/>
            <w:sz w:val="18"/>
            <w:szCs w:val="18"/>
            <w:u w:val="single" w:color="auto"/>
            <w:color w:val="0000FF"/>
          </w:rPr>
          <w:t>001-13881).</w:t>
        </w:r>
      </w:hyperlink>
    </w:p>
    <w:p>
      <w:pPr>
        <w:spacing w:after="0" w:line="55" w:lineRule="exact"/>
        <w:rPr>
          <w:sz w:val="20"/>
          <w:szCs w:val="20"/>
          <w:color w:val="auto"/>
        </w:rPr>
      </w:pPr>
    </w:p>
    <w:p>
      <w:pPr>
        <w:ind w:right="260"/>
        <w:spacing w:after="0" w:line="228" w:lineRule="auto"/>
        <w:rPr>
          <w:rFonts w:ascii="Arial" w:cs="Arial" w:eastAsia="Arial" w:hAnsi="Arial"/>
          <w:sz w:val="18"/>
          <w:szCs w:val="18"/>
          <w:u w:val="single" w:color="auto"/>
          <w:color w:val="0000FF"/>
        </w:rPr>
      </w:pPr>
      <w:hyperlink r:id="rId140">
        <w:r>
          <w:rPr>
            <w:rFonts w:ascii="Arial" w:cs="Arial" w:eastAsia="Arial" w:hAnsi="Arial"/>
            <w:sz w:val="18"/>
            <w:szCs w:val="18"/>
            <w:u w:val="single" w:color="auto"/>
            <w:color w:val="0000FF"/>
          </w:rPr>
          <w:t>Exhibit 10.1 to our Form 10-Q filed August 10, 2020 (File</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No. 001-13881).</w:t>
        </w:r>
      </w:hyperlink>
    </w:p>
    <w:p>
      <w:pPr>
        <w:spacing w:after="0" w:line="54" w:lineRule="exact"/>
        <w:rPr>
          <w:sz w:val="20"/>
          <w:szCs w:val="20"/>
          <w:color w:val="auto"/>
        </w:rPr>
      </w:pPr>
    </w:p>
    <w:p>
      <w:pPr>
        <w:ind w:right="260"/>
        <w:spacing w:after="0" w:line="228" w:lineRule="auto"/>
        <w:rPr>
          <w:rFonts w:ascii="Arial" w:cs="Arial" w:eastAsia="Arial" w:hAnsi="Arial"/>
          <w:sz w:val="18"/>
          <w:szCs w:val="18"/>
          <w:u w:val="single" w:color="auto"/>
          <w:color w:val="0000FF"/>
        </w:rPr>
      </w:pPr>
      <w:hyperlink r:id="rId141">
        <w:r>
          <w:rPr>
            <w:rFonts w:ascii="Arial" w:cs="Arial" w:eastAsia="Arial" w:hAnsi="Arial"/>
            <w:sz w:val="18"/>
            <w:szCs w:val="18"/>
            <w:u w:val="single" w:color="auto"/>
            <w:color w:val="0000FF"/>
          </w:rPr>
          <w:t>Exhibit No. 99 to our Form 8-K filed August 6, 2009 (File</w:t>
        </w:r>
      </w:hyperlink>
      <w:r>
        <w:rPr>
          <w:rFonts w:ascii="Arial" w:cs="Arial" w:eastAsia="Arial" w:hAnsi="Arial"/>
          <w:sz w:val="18"/>
          <w:szCs w:val="18"/>
          <w:u w:val="single" w:color="auto"/>
          <w:color w:val="0000FF"/>
        </w:rPr>
        <w:t xml:space="preserve"> </w:t>
      </w:r>
      <w:hyperlink r:id="rId141">
        <w:r>
          <w:rPr>
            <w:rFonts w:ascii="Arial" w:cs="Arial" w:eastAsia="Arial" w:hAnsi="Arial"/>
            <w:sz w:val="18"/>
            <w:szCs w:val="18"/>
            <w:u w:val="single" w:color="auto"/>
            <w:color w:val="0000FF"/>
          </w:rPr>
          <w:t>No. 001-13881).</w:t>
        </w:r>
      </w:hyperlink>
    </w:p>
    <w:p>
      <w:pPr>
        <w:spacing w:after="0" w:line="54" w:lineRule="exact"/>
        <w:rPr>
          <w:sz w:val="20"/>
          <w:szCs w:val="20"/>
          <w:color w:val="auto"/>
        </w:rPr>
      </w:pPr>
    </w:p>
    <w:p>
      <w:pPr>
        <w:spacing w:after="0" w:line="228" w:lineRule="auto"/>
        <w:rPr>
          <w:rFonts w:ascii="Arial" w:cs="Arial" w:eastAsia="Arial" w:hAnsi="Arial"/>
          <w:sz w:val="18"/>
          <w:szCs w:val="18"/>
          <w:u w:val="single" w:color="auto"/>
          <w:color w:val="0000FF"/>
        </w:rPr>
      </w:pPr>
      <w:hyperlink r:id="rId142">
        <w:r>
          <w:rPr>
            <w:rFonts w:ascii="Arial" w:cs="Arial" w:eastAsia="Arial" w:hAnsi="Arial"/>
            <w:sz w:val="18"/>
            <w:szCs w:val="18"/>
            <w:u w:val="single" w:color="auto"/>
            <w:color w:val="0000FF"/>
          </w:rPr>
          <w:t>Exhibit 10.9.1 to our Form 10-K filed February 15, 2018 (File</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No. 001-13881).</w:t>
        </w:r>
      </w:hyperlink>
    </w:p>
    <w:p>
      <w:pPr>
        <w:spacing w:after="0" w:line="54" w:lineRule="exact"/>
        <w:rPr>
          <w:sz w:val="20"/>
          <w:szCs w:val="20"/>
          <w:color w:val="auto"/>
        </w:rPr>
      </w:pPr>
    </w:p>
    <w:p>
      <w:pPr>
        <w:spacing w:after="0" w:line="228" w:lineRule="auto"/>
        <w:rPr>
          <w:rFonts w:ascii="Arial" w:cs="Arial" w:eastAsia="Arial" w:hAnsi="Arial"/>
          <w:sz w:val="18"/>
          <w:szCs w:val="18"/>
          <w:u w:val="single" w:color="auto"/>
          <w:color w:val="0000FF"/>
        </w:rPr>
      </w:pPr>
      <w:hyperlink r:id="rId143">
        <w:r>
          <w:rPr>
            <w:rFonts w:ascii="Arial" w:cs="Arial" w:eastAsia="Arial" w:hAnsi="Arial"/>
            <w:sz w:val="18"/>
            <w:szCs w:val="18"/>
            <w:u w:val="single" w:color="auto"/>
            <w:color w:val="0000FF"/>
          </w:rPr>
          <w:t>Exhibit 10.9.2 to our Form 10-K filed February 15, 2018 (File</w:t>
        </w:r>
      </w:hyperlink>
      <w:r>
        <w:rPr>
          <w:rFonts w:ascii="Arial" w:cs="Arial" w:eastAsia="Arial" w:hAnsi="Arial"/>
          <w:sz w:val="18"/>
          <w:szCs w:val="18"/>
          <w:u w:val="single" w:color="auto"/>
          <w:color w:val="0000FF"/>
        </w:rPr>
        <w:t xml:space="preserve"> </w:t>
      </w:r>
      <w:hyperlink r:id="rId143">
        <w:r>
          <w:rPr>
            <w:rFonts w:ascii="Arial" w:cs="Arial" w:eastAsia="Arial" w:hAnsi="Arial"/>
            <w:sz w:val="18"/>
            <w:szCs w:val="18"/>
            <w:u w:val="single" w:color="auto"/>
            <w:color w:val="0000FF"/>
          </w:rPr>
          <w:t>No. 001-13881).</w:t>
        </w:r>
      </w:hyperlink>
    </w:p>
    <w:p>
      <w:pPr>
        <w:spacing w:after="0" w:line="54" w:lineRule="exact"/>
        <w:rPr>
          <w:sz w:val="20"/>
          <w:szCs w:val="20"/>
          <w:color w:val="auto"/>
        </w:rPr>
      </w:pPr>
    </w:p>
    <w:p>
      <w:pPr>
        <w:spacing w:after="0" w:line="228" w:lineRule="auto"/>
        <w:rPr>
          <w:rFonts w:ascii="Arial" w:cs="Arial" w:eastAsia="Arial" w:hAnsi="Arial"/>
          <w:sz w:val="18"/>
          <w:szCs w:val="18"/>
          <w:u w:val="single" w:color="auto"/>
          <w:color w:val="0000FF"/>
        </w:rPr>
      </w:pPr>
      <w:hyperlink r:id="rId144">
        <w:r>
          <w:rPr>
            <w:rFonts w:ascii="Arial" w:cs="Arial" w:eastAsia="Arial" w:hAnsi="Arial"/>
            <w:sz w:val="18"/>
            <w:szCs w:val="18"/>
            <w:u w:val="single" w:color="auto"/>
            <w:color w:val="0000FF"/>
          </w:rPr>
          <w:t>Exhibit 10.9.3 to our Form 10-K filed February 15, 2018 (File</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No. 001-13881).</w:t>
        </w:r>
      </w:hyperlink>
    </w:p>
    <w:p>
      <w:pPr>
        <w:spacing w:after="0" w:line="54" w:lineRule="exact"/>
        <w:rPr>
          <w:sz w:val="20"/>
          <w:szCs w:val="20"/>
          <w:color w:val="auto"/>
        </w:rPr>
      </w:pPr>
    </w:p>
    <w:p>
      <w:pPr>
        <w:spacing w:after="0" w:line="228" w:lineRule="auto"/>
        <w:rPr>
          <w:rFonts w:ascii="Arial" w:cs="Arial" w:eastAsia="Arial" w:hAnsi="Arial"/>
          <w:sz w:val="18"/>
          <w:szCs w:val="18"/>
          <w:u w:val="single" w:color="auto"/>
          <w:color w:val="0000FF"/>
        </w:rPr>
      </w:pPr>
      <w:hyperlink r:id="rId145">
        <w:r>
          <w:rPr>
            <w:rFonts w:ascii="Arial" w:cs="Arial" w:eastAsia="Arial" w:hAnsi="Arial"/>
            <w:sz w:val="18"/>
            <w:szCs w:val="18"/>
            <w:u w:val="single" w:color="auto"/>
            <w:color w:val="0000FF"/>
          </w:rPr>
          <w:t>Exhibit 10.9.4 to our Form 10-K filed February 15, 2018 (File</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No. 001-13881).</w:t>
        </w:r>
      </w:hyperlink>
    </w:p>
    <w:p>
      <w:pPr>
        <w:spacing w:after="0" w:line="54" w:lineRule="exact"/>
        <w:rPr>
          <w:sz w:val="20"/>
          <w:szCs w:val="20"/>
          <w:color w:val="auto"/>
        </w:rPr>
      </w:pPr>
    </w:p>
    <w:p>
      <w:pPr>
        <w:spacing w:after="0" w:line="228" w:lineRule="auto"/>
        <w:rPr>
          <w:rFonts w:ascii="Arial" w:cs="Arial" w:eastAsia="Arial" w:hAnsi="Arial"/>
          <w:sz w:val="18"/>
          <w:szCs w:val="18"/>
          <w:u w:val="single" w:color="auto"/>
          <w:color w:val="0000FF"/>
        </w:rPr>
      </w:pPr>
      <w:hyperlink r:id="rId146">
        <w:r>
          <w:rPr>
            <w:rFonts w:ascii="Arial" w:cs="Arial" w:eastAsia="Arial" w:hAnsi="Arial"/>
            <w:sz w:val="18"/>
            <w:szCs w:val="18"/>
            <w:u w:val="single" w:color="auto"/>
            <w:color w:val="0000FF"/>
          </w:rPr>
          <w:t>Exhibit 10.9.5 to our Form 10-K filed February 15, 2018 (File</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No. 001-13881).</w:t>
        </w:r>
      </w:hyperlink>
    </w:p>
    <w:p>
      <w:pPr>
        <w:spacing w:after="0" w:line="54" w:lineRule="exact"/>
        <w:rPr>
          <w:sz w:val="20"/>
          <w:szCs w:val="20"/>
          <w:color w:val="auto"/>
        </w:rPr>
      </w:pPr>
    </w:p>
    <w:p>
      <w:pPr>
        <w:spacing w:after="0" w:line="228" w:lineRule="auto"/>
        <w:rPr>
          <w:rFonts w:ascii="Arial" w:cs="Arial" w:eastAsia="Arial" w:hAnsi="Arial"/>
          <w:sz w:val="18"/>
          <w:szCs w:val="18"/>
          <w:u w:val="single" w:color="auto"/>
          <w:color w:val="0000FF"/>
        </w:rPr>
      </w:pPr>
      <w:hyperlink r:id="rId147">
        <w:r>
          <w:rPr>
            <w:rFonts w:ascii="Arial" w:cs="Arial" w:eastAsia="Arial" w:hAnsi="Arial"/>
            <w:sz w:val="18"/>
            <w:szCs w:val="18"/>
            <w:u w:val="single" w:color="auto"/>
            <w:color w:val="0000FF"/>
          </w:rPr>
          <w:t>Exhibit 10.9.6 to our Form 10-K filed February 15, 2018 (File</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No. 001-13881).</w:t>
        </w:r>
      </w:hyperlink>
    </w:p>
    <w:p>
      <w:pPr>
        <w:spacing w:after="0" w:line="225" w:lineRule="exact"/>
        <w:rPr>
          <w:sz w:val="20"/>
          <w:szCs w:val="20"/>
          <w:color w:val="auto"/>
        </w:rPr>
      </w:pPr>
    </w:p>
    <w:p>
      <w:pPr>
        <w:spacing w:after="0" w:line="228" w:lineRule="auto"/>
        <w:rPr>
          <w:rFonts w:ascii="Arial" w:cs="Arial" w:eastAsia="Arial" w:hAnsi="Arial"/>
          <w:sz w:val="18"/>
          <w:szCs w:val="18"/>
          <w:u w:val="single" w:color="auto"/>
          <w:color w:val="0000FF"/>
        </w:rPr>
      </w:pPr>
      <w:hyperlink r:id="rId148">
        <w:r>
          <w:rPr>
            <w:rFonts w:ascii="Arial" w:cs="Arial" w:eastAsia="Arial" w:hAnsi="Arial"/>
            <w:sz w:val="18"/>
            <w:szCs w:val="18"/>
            <w:u w:val="single" w:color="auto"/>
            <w:color w:val="0000FF"/>
          </w:rPr>
          <w:t>Exhibit 10.9.7 to our Form 10-K filed February 15, 2018 (File</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No. 001-13881).</w:t>
        </w:r>
      </w:hyperlink>
    </w:p>
    <w:p>
      <w:pPr>
        <w:spacing w:after="0" w:line="225" w:lineRule="exact"/>
        <w:rPr>
          <w:sz w:val="20"/>
          <w:szCs w:val="20"/>
          <w:color w:val="auto"/>
        </w:rPr>
      </w:pPr>
    </w:p>
    <w:p>
      <w:pPr>
        <w:ind w:right="260"/>
        <w:spacing w:after="0" w:line="228" w:lineRule="auto"/>
        <w:rPr>
          <w:rFonts w:ascii="Arial" w:cs="Arial" w:eastAsia="Arial" w:hAnsi="Arial"/>
          <w:sz w:val="18"/>
          <w:szCs w:val="18"/>
          <w:u w:val="single" w:color="auto"/>
          <w:color w:val="0000FF"/>
        </w:rPr>
      </w:pPr>
      <w:hyperlink r:id="rId149">
        <w:r>
          <w:rPr>
            <w:rFonts w:ascii="Arial" w:cs="Arial" w:eastAsia="Arial" w:hAnsi="Arial"/>
            <w:sz w:val="18"/>
            <w:szCs w:val="18"/>
            <w:u w:val="single" w:color="auto"/>
            <w:color w:val="0000FF"/>
          </w:rPr>
          <w:t>Exhibit 10.8.9 to our Form 10-K filed March 1, 2019 (File</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No. 001-13881).</w:t>
        </w:r>
      </w:hyperlink>
    </w:p>
    <w:p>
      <w:pPr>
        <w:spacing w:after="0" w:line="54" w:lineRule="exact"/>
        <w:rPr>
          <w:sz w:val="20"/>
          <w:szCs w:val="20"/>
          <w:color w:val="auto"/>
        </w:rPr>
      </w:pPr>
    </w:p>
    <w:p>
      <w:pPr>
        <w:ind w:right="40"/>
        <w:spacing w:after="0" w:line="228" w:lineRule="auto"/>
        <w:rPr>
          <w:rFonts w:ascii="Arial" w:cs="Arial" w:eastAsia="Arial" w:hAnsi="Arial"/>
          <w:sz w:val="18"/>
          <w:szCs w:val="18"/>
          <w:u w:val="single" w:color="auto"/>
          <w:color w:val="0000FF"/>
        </w:rPr>
      </w:pPr>
      <w:hyperlink r:id="rId150">
        <w:r>
          <w:rPr>
            <w:rFonts w:ascii="Arial" w:cs="Arial" w:eastAsia="Arial" w:hAnsi="Arial"/>
            <w:sz w:val="18"/>
            <w:szCs w:val="18"/>
            <w:u w:val="single" w:color="auto"/>
            <w:color w:val="0000FF"/>
          </w:rPr>
          <w:t>Exhibit 10.10 to our Form 10-K filed February 15, 2018 (File</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No. 001-13881).</w:t>
        </w:r>
      </w:hyperlink>
    </w:p>
    <w:p>
      <w:pPr>
        <w:spacing w:after="0" w:line="225" w:lineRule="exact"/>
        <w:rPr>
          <w:sz w:val="20"/>
          <w:szCs w:val="20"/>
          <w:color w:val="auto"/>
        </w:rPr>
      </w:pPr>
    </w:p>
    <w:p>
      <w:pPr>
        <w:ind w:right="280"/>
        <w:spacing w:after="0" w:line="228" w:lineRule="auto"/>
        <w:rPr>
          <w:rFonts w:ascii="Arial" w:cs="Arial" w:eastAsia="Arial" w:hAnsi="Arial"/>
          <w:sz w:val="18"/>
          <w:szCs w:val="18"/>
          <w:u w:val="single" w:color="auto"/>
          <w:color w:val="0000FF"/>
        </w:rPr>
      </w:pPr>
      <w:hyperlink r:id="rId151">
        <w:r>
          <w:rPr>
            <w:rFonts w:ascii="Arial" w:cs="Arial" w:eastAsia="Arial" w:hAnsi="Arial"/>
            <w:sz w:val="18"/>
            <w:szCs w:val="18"/>
            <w:u w:val="single" w:color="auto"/>
            <w:color w:val="0000FF"/>
          </w:rPr>
          <w:t>Exhibit 10.10.1 to our Form 10-K filed February 15, 2018</w:t>
        </w:r>
      </w:hyperlink>
      <w:r>
        <w:rPr>
          <w:rFonts w:ascii="Arial" w:cs="Arial" w:eastAsia="Arial" w:hAnsi="Arial"/>
          <w:sz w:val="18"/>
          <w:szCs w:val="18"/>
          <w:u w:val="single" w:color="auto"/>
          <w:color w:val="0000FF"/>
        </w:rPr>
        <w:t xml:space="preserve"> </w:t>
      </w:r>
      <w:hyperlink r:id="rId151">
        <w:r>
          <w:rPr>
            <w:rFonts w:ascii="Arial" w:cs="Arial" w:eastAsia="Arial" w:hAnsi="Arial"/>
            <w:sz w:val="18"/>
            <w:szCs w:val="18"/>
            <w:u w:val="single" w:color="auto"/>
            <w:color w:val="0000FF"/>
          </w:rPr>
          <w:t>(File No. 001-13881).</w:t>
        </w:r>
      </w:hyperlink>
    </w:p>
    <w:p>
      <w:pPr>
        <w:spacing w:after="0" w:line="225" w:lineRule="exact"/>
        <w:rPr>
          <w:sz w:val="20"/>
          <w:szCs w:val="20"/>
          <w:color w:val="auto"/>
        </w:rPr>
      </w:pPr>
    </w:p>
    <w:p>
      <w:pPr>
        <w:ind w:right="40"/>
        <w:spacing w:after="0" w:line="228" w:lineRule="auto"/>
        <w:rPr>
          <w:rFonts w:ascii="Arial" w:cs="Arial" w:eastAsia="Arial" w:hAnsi="Arial"/>
          <w:sz w:val="18"/>
          <w:szCs w:val="18"/>
          <w:u w:val="single" w:color="auto"/>
          <w:color w:val="0000FF"/>
        </w:rPr>
      </w:pPr>
      <w:hyperlink r:id="rId152">
        <w:r>
          <w:rPr>
            <w:rFonts w:ascii="Arial" w:cs="Arial" w:eastAsia="Arial" w:hAnsi="Arial"/>
            <w:sz w:val="18"/>
            <w:szCs w:val="18"/>
            <w:u w:val="single" w:color="auto"/>
            <w:color w:val="0000FF"/>
          </w:rPr>
          <w:t>Exhibit 10.11 to our Form 10-K filed February 15, 2018 (File</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No. 001-13881).</w:t>
        </w:r>
      </w:hyperlink>
    </w:p>
    <w:p>
      <w:pPr>
        <w:sectPr>
          <w:pgSz w:w="11900" w:h="16838" w:orient="portrait"/>
          <w:cols w:equalWidth="0" w:num="2">
            <w:col w:w="6160" w:space="100"/>
            <w:col w:w="4360"/>
          </w:cols>
          <w:pgMar w:left="320" w:top="127" w:right="95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170"/>
        </w:trPr>
        <w:tc>
          <w:tcPr>
            <w:tcW w:w="90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8"/>
                <w:szCs w:val="18"/>
                <w:color w:val="auto"/>
              </w:rPr>
              <w:t>*10.8.2</w:t>
            </w:r>
          </w:p>
        </w:tc>
        <w:tc>
          <w:tcPr>
            <w:tcW w:w="260" w:type="dxa"/>
            <w:vAlign w:val="bottom"/>
          </w:tcPr>
          <w:p>
            <w:pPr>
              <w:spacing w:after="0"/>
              <w:rPr>
                <w:sz w:val="14"/>
                <w:szCs w:val="14"/>
                <w:color w:val="auto"/>
              </w:rPr>
            </w:pPr>
          </w:p>
        </w:tc>
        <w:tc>
          <w:tcPr>
            <w:tcW w:w="442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8"/>
                <w:szCs w:val="18"/>
                <w:color w:val="auto"/>
              </w:rPr>
              <w:t>Form of Executive Restricted Stock Unit/MI Shares</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w w:val="90"/>
              </w:rPr>
              <w:t>Agreement for the Marriott International, Inc. Stock and Cash</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Incentive Plan (February 2018).</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*10.8.3</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Form of Retention Executive Restricted Stock Unit</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w w:val="90"/>
              </w:rPr>
              <w:t>Agreement for the Marriott International, Inc. Stock and Cash</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Incentive Plan (February 2018).</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*10.8.4</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2"/>
              </w:rPr>
              <w:t>Form of MI Shares Agreement for the Marriott International,</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Inc. Stock and Cash Incentive Plan (March 2019).</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*10.8.5</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Form of Retention Executive Restricted Stock Unit</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w w:val="90"/>
              </w:rPr>
              <w:t>Agreement for the Marriott International, Inc. Stock and Cash</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Incentive Plan (March 2019).</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*10.9.1</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1"/>
              </w:rPr>
              <w:t>Form of Stock Appreciation Right Agreement for the Marriott</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rPr>
              <w:t>International, Inc. Stock and Cash Incentive Plan (pre-</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February 2018).</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*10.9.2</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2"/>
              </w:rPr>
              <w:t>Form of Senior Executive Supplemental Stock Appreciation</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w w:val="97"/>
              </w:rPr>
              <w:t>Right Agreement for the Marriott International, Inc. Stock</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and Cash Incentive Plan.</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*10.9.3</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1"/>
              </w:rPr>
              <w:t>Form of Stock Appreciation Right Agreement for the Marriott</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w w:val="93"/>
              </w:rPr>
              <w:t>International, Inc. Stock and Cash Incentive Plan (For Non-</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Employee Directors).</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*10.9.4</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Form of Stock Appreciation Rights Agreement for the</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w w:val="96"/>
              </w:rPr>
              <w:t>Marriott International, Inc. Stock and Cash Incentive Plan</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(February 2018).</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*10.9.5</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Form of Stock Appreciation Rights Agreement for the</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w w:val="96"/>
              </w:rPr>
              <w:t>Marriott International, Inc. Stock and Cash Incentive Plan</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(March 2019).</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*10.10.1</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4"/>
              </w:rPr>
              <w:t>Form of Performance Share Unit Award Agreement for the</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w w:val="96"/>
              </w:rPr>
              <w:t>Marriott International, Inc. Stock and Cash Incentive Plan</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(February 2018).</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*10.10.2</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4"/>
              </w:rPr>
              <w:t>Form of Performance Share Unit Award Agreement for the</w:t>
            </w: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8"/>
                <w:szCs w:val="18"/>
                <w:color w:val="auto"/>
                <w:w w:val="96"/>
              </w:rPr>
              <w:t>Marriott International, Inc. Stock and Cash Incentive Plan</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(March 2019).</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*10.11</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Summary of Marriott International, Inc. Director</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Compensation.</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*10.12</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6"/>
              </w:rPr>
              <w:t>Marriott International, Inc. Executive Officer Annual Cash</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Incentive Program.</w:t>
            </w:r>
          </w:p>
        </w:tc>
      </w:tr>
      <w:tr>
        <w:trPr>
          <w:trHeight w:val="276"/>
        </w:trPr>
        <w:tc>
          <w:tcPr>
            <w:tcW w:w="900" w:type="dxa"/>
            <w:vAlign w:val="bottom"/>
          </w:tcPr>
          <w:p>
            <w:pPr>
              <w:ind w:left="20"/>
              <w:spacing w:after="0"/>
              <w:rPr>
                <w:sz w:val="20"/>
                <w:szCs w:val="20"/>
                <w:color w:val="auto"/>
              </w:rPr>
            </w:pPr>
            <w:r>
              <w:rPr>
                <w:rFonts w:ascii="Arial" w:cs="Arial" w:eastAsia="Arial" w:hAnsi="Arial"/>
                <w:sz w:val="18"/>
                <w:szCs w:val="18"/>
                <w:color w:val="auto"/>
              </w:rPr>
              <w:t>*10.13.1</w:t>
            </w:r>
          </w:p>
        </w:tc>
        <w:tc>
          <w:tcPr>
            <w:tcW w:w="260" w:type="dxa"/>
            <w:vAlign w:val="bottom"/>
          </w:tcPr>
          <w:p>
            <w:pPr>
              <w:spacing w:after="0"/>
              <w:rPr>
                <w:sz w:val="24"/>
                <w:szCs w:val="24"/>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5"/>
              </w:rPr>
              <w:t>Starwood 1999 Long-Term Incentive Compensation Plan.</w:t>
            </w:r>
          </w:p>
        </w:tc>
      </w:tr>
      <w:tr>
        <w:trPr>
          <w:trHeight w:val="396"/>
        </w:trPr>
        <w:tc>
          <w:tcPr>
            <w:tcW w:w="900" w:type="dxa"/>
            <w:vAlign w:val="bottom"/>
          </w:tcPr>
          <w:p>
            <w:pPr>
              <w:ind w:left="20"/>
              <w:spacing w:after="0"/>
              <w:rPr>
                <w:sz w:val="20"/>
                <w:szCs w:val="20"/>
                <w:color w:val="auto"/>
              </w:rPr>
            </w:pPr>
            <w:r>
              <w:rPr>
                <w:rFonts w:ascii="Arial" w:cs="Arial" w:eastAsia="Arial" w:hAnsi="Arial"/>
                <w:sz w:val="18"/>
                <w:szCs w:val="18"/>
                <w:color w:val="auto"/>
              </w:rPr>
              <w:t>*10.13.2</w:t>
            </w:r>
          </w:p>
        </w:tc>
        <w:tc>
          <w:tcPr>
            <w:tcW w:w="260" w:type="dxa"/>
            <w:vAlign w:val="bottom"/>
          </w:tcPr>
          <w:p>
            <w:pPr>
              <w:spacing w:after="0"/>
              <w:rPr>
                <w:sz w:val="24"/>
                <w:szCs w:val="24"/>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0"/>
              </w:rPr>
              <w:t>First Amendment to the Starwood 1999 Long-Term Incentive</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Compensation Plan, dated as of August 1, 2001.</w:t>
            </w: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*10.13.3</w:t>
            </w: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Second Amendment to the Starwood 1999 Long-Term</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Incentive Compensation Plan.</w:t>
            </w:r>
          </w:p>
        </w:tc>
      </w:tr>
      <w:tr>
        <w:trPr>
          <w:trHeight w:val="276"/>
        </w:trPr>
        <w:tc>
          <w:tcPr>
            <w:tcW w:w="900" w:type="dxa"/>
            <w:vAlign w:val="bottom"/>
          </w:tcPr>
          <w:p>
            <w:pPr>
              <w:ind w:left="20"/>
              <w:spacing w:after="0"/>
              <w:rPr>
                <w:sz w:val="20"/>
                <w:szCs w:val="20"/>
                <w:color w:val="auto"/>
              </w:rPr>
            </w:pPr>
            <w:r>
              <w:rPr>
                <w:rFonts w:ascii="Arial" w:cs="Arial" w:eastAsia="Arial" w:hAnsi="Arial"/>
                <w:sz w:val="18"/>
                <w:szCs w:val="18"/>
                <w:color w:val="auto"/>
              </w:rPr>
              <w:t>*10.14.1</w:t>
            </w:r>
          </w:p>
        </w:tc>
        <w:tc>
          <w:tcPr>
            <w:tcW w:w="260" w:type="dxa"/>
            <w:vAlign w:val="bottom"/>
          </w:tcPr>
          <w:p>
            <w:pPr>
              <w:spacing w:after="0"/>
              <w:rPr>
                <w:sz w:val="24"/>
                <w:szCs w:val="24"/>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5"/>
              </w:rPr>
              <w:t>Starwood 2002 Long-Term Incentive Compensation Plan.</w:t>
            </w:r>
          </w:p>
        </w:tc>
      </w:tr>
      <w:tr>
        <w:trPr>
          <w:trHeight w:val="396"/>
        </w:trPr>
        <w:tc>
          <w:tcPr>
            <w:tcW w:w="900" w:type="dxa"/>
            <w:vAlign w:val="bottom"/>
          </w:tcPr>
          <w:p>
            <w:pPr>
              <w:ind w:left="20"/>
              <w:spacing w:after="0"/>
              <w:rPr>
                <w:sz w:val="20"/>
                <w:szCs w:val="20"/>
                <w:color w:val="auto"/>
              </w:rPr>
            </w:pPr>
            <w:r>
              <w:rPr>
                <w:rFonts w:ascii="Arial" w:cs="Arial" w:eastAsia="Arial" w:hAnsi="Arial"/>
                <w:sz w:val="18"/>
                <w:szCs w:val="18"/>
                <w:color w:val="auto"/>
              </w:rPr>
              <w:t>*10.14.2</w:t>
            </w:r>
          </w:p>
        </w:tc>
        <w:tc>
          <w:tcPr>
            <w:tcW w:w="260" w:type="dxa"/>
            <w:vAlign w:val="bottom"/>
          </w:tcPr>
          <w:p>
            <w:pPr>
              <w:spacing w:after="0"/>
              <w:rPr>
                <w:sz w:val="24"/>
                <w:szCs w:val="24"/>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0"/>
              </w:rPr>
              <w:t>First Amendment to the Starwood 2002 Long-Term Incentive</w:t>
            </w: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Compensation Plan.</w:t>
            </w:r>
          </w:p>
        </w:tc>
      </w:tr>
      <w:tr>
        <w:trPr>
          <w:trHeight w:val="842"/>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20" w:type="dxa"/>
            <w:vAlign w:val="bottom"/>
          </w:tcPr>
          <w:p>
            <w:pPr>
              <w:ind w:left="3800"/>
              <w:spacing w:after="0"/>
              <w:rPr>
                <w:sz w:val="20"/>
                <w:szCs w:val="20"/>
                <w:color w:val="auto"/>
              </w:rPr>
            </w:pPr>
            <w:r>
              <w:rPr>
                <w:rFonts w:ascii="Arial" w:cs="Arial" w:eastAsia="Arial" w:hAnsi="Arial"/>
                <w:sz w:val="18"/>
                <w:szCs w:val="18"/>
                <w:color w:val="auto"/>
              </w:rPr>
              <w:t>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54610</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right="320"/>
        <w:spacing w:after="0" w:line="238" w:lineRule="auto"/>
        <w:rPr>
          <w:sz w:val="20"/>
          <w:szCs w:val="20"/>
          <w:color w:val="auto"/>
        </w:rPr>
      </w:pPr>
      <w:r>
        <w:rPr>
          <w:rFonts w:ascii="Arial" w:cs="Arial" w:eastAsia="Arial" w:hAnsi="Arial"/>
          <w:sz w:val="13"/>
          <w:szCs w:val="13"/>
          <w:b w:val="1"/>
          <w:bCs w:val="1"/>
          <w:color w:val="auto"/>
        </w:rPr>
        <w:t>Incorporation by Reference (where a report is indicated below, that document has been previously filed with the SEC and the applicable exhibit is incorporated by reference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28073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4">
                      <a:extLst>
                        <a:ext uri="{28A0092B-C50C-407E-A947-70E740481C1C}"/>
                      </a:extLst>
                    </a:blip>
                    <a:srcRect/>
                    <a:stretch>
                      <a:fillRect/>
                    </a:stretch>
                  </pic:blipFill>
                  <pic:spPr bwMode="auto">
                    <a:xfrm>
                      <a:off x="0" y="0"/>
                      <a:ext cx="2807335" cy="8255"/>
                    </a:xfrm>
                    <a:prstGeom prst="rect">
                      <a:avLst/>
                    </a:prstGeom>
                    <a:noFill/>
                  </pic:spPr>
                </pic:pic>
              </a:graphicData>
            </a:graphic>
          </wp:anchor>
        </w:drawing>
      </w:r>
    </w:p>
    <w:p>
      <w:pPr>
        <w:spacing w:after="0" w:line="6" w:lineRule="exact"/>
        <w:rPr>
          <w:sz w:val="20"/>
          <w:szCs w:val="20"/>
          <w:color w:val="auto"/>
        </w:rPr>
      </w:pPr>
    </w:p>
    <w:p>
      <w:pPr>
        <w:spacing w:after="0"/>
        <w:rPr>
          <w:rFonts w:ascii="Arial" w:cs="Arial" w:eastAsia="Arial" w:hAnsi="Arial"/>
          <w:sz w:val="16"/>
          <w:szCs w:val="16"/>
          <w:u w:val="single" w:color="auto"/>
          <w:color w:val="0000FF"/>
        </w:rPr>
      </w:pPr>
      <w:hyperlink r:id="rId155">
        <w:r>
          <w:rPr>
            <w:rFonts w:ascii="Arial" w:cs="Arial" w:eastAsia="Arial" w:hAnsi="Arial"/>
            <w:sz w:val="16"/>
            <w:szCs w:val="16"/>
            <w:u w:val="single" w:color="auto"/>
            <w:color w:val="0000FF"/>
          </w:rPr>
          <w:t>Exhibit 10.6.1 to our Form 10-Q filed May 10, 2018 (File No.</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155">
        <w:r>
          <w:rPr>
            <w:rFonts w:ascii="Arial" w:cs="Arial" w:eastAsia="Arial" w:hAnsi="Arial"/>
            <w:sz w:val="18"/>
            <w:szCs w:val="18"/>
            <w:u w:val="single" w:color="auto"/>
            <w:color w:val="0000FF"/>
          </w:rPr>
          <w:t>001-13881).</w:t>
        </w:r>
      </w:hyperlink>
    </w:p>
    <w:p>
      <w:pPr>
        <w:spacing w:after="0" w:line="226" w:lineRule="exact"/>
        <w:rPr>
          <w:sz w:val="20"/>
          <w:szCs w:val="20"/>
          <w:color w:val="auto"/>
        </w:rPr>
      </w:pPr>
    </w:p>
    <w:p>
      <w:pPr>
        <w:spacing w:after="0"/>
        <w:rPr>
          <w:rFonts w:ascii="Arial" w:cs="Arial" w:eastAsia="Arial" w:hAnsi="Arial"/>
          <w:sz w:val="16"/>
          <w:szCs w:val="16"/>
          <w:u w:val="single" w:color="auto"/>
          <w:color w:val="0000FF"/>
        </w:rPr>
      </w:pPr>
      <w:hyperlink r:id="rId156">
        <w:r>
          <w:rPr>
            <w:rFonts w:ascii="Arial" w:cs="Arial" w:eastAsia="Arial" w:hAnsi="Arial"/>
            <w:sz w:val="16"/>
            <w:szCs w:val="16"/>
            <w:u w:val="single" w:color="auto"/>
            <w:color w:val="0000FF"/>
          </w:rPr>
          <w:t>Exhibit 10.6.2 to our Form 10-Q filed May 10, 2018 (File No.</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156">
        <w:r>
          <w:rPr>
            <w:rFonts w:ascii="Arial" w:cs="Arial" w:eastAsia="Arial" w:hAnsi="Arial"/>
            <w:sz w:val="18"/>
            <w:szCs w:val="18"/>
            <w:u w:val="single" w:color="auto"/>
            <w:color w:val="0000FF"/>
          </w:rPr>
          <w:t>001-13881).</w:t>
        </w:r>
      </w:hyperlink>
    </w:p>
    <w:p>
      <w:pPr>
        <w:spacing w:after="0" w:line="226" w:lineRule="exact"/>
        <w:rPr>
          <w:sz w:val="20"/>
          <w:szCs w:val="20"/>
          <w:color w:val="auto"/>
        </w:rPr>
      </w:pPr>
    </w:p>
    <w:p>
      <w:pPr>
        <w:spacing w:after="0"/>
        <w:rPr>
          <w:rFonts w:ascii="Arial" w:cs="Arial" w:eastAsia="Arial" w:hAnsi="Arial"/>
          <w:sz w:val="16"/>
          <w:szCs w:val="16"/>
          <w:u w:val="single" w:color="auto"/>
          <w:color w:val="0000FF"/>
        </w:rPr>
      </w:pPr>
      <w:hyperlink r:id="rId157">
        <w:r>
          <w:rPr>
            <w:rFonts w:ascii="Arial" w:cs="Arial" w:eastAsia="Arial" w:hAnsi="Arial"/>
            <w:sz w:val="16"/>
            <w:szCs w:val="16"/>
            <w:u w:val="single" w:color="auto"/>
            <w:color w:val="0000FF"/>
          </w:rPr>
          <w:t>Exhibit 10.1 to our Form 10-Q filed May 10, 2019 (File No.</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157">
        <w:r>
          <w:rPr>
            <w:rFonts w:ascii="Arial" w:cs="Arial" w:eastAsia="Arial" w:hAnsi="Arial"/>
            <w:sz w:val="18"/>
            <w:szCs w:val="18"/>
            <w:u w:val="single" w:color="auto"/>
            <w:color w:val="0000FF"/>
          </w:rPr>
          <w:t>001-13881).</w:t>
        </w:r>
      </w:hyperlink>
    </w:p>
    <w:p>
      <w:pPr>
        <w:spacing w:after="0" w:line="55" w:lineRule="exact"/>
        <w:rPr>
          <w:sz w:val="20"/>
          <w:szCs w:val="20"/>
          <w:color w:val="auto"/>
        </w:rPr>
      </w:pPr>
    </w:p>
    <w:p>
      <w:pPr>
        <w:spacing w:after="0"/>
        <w:rPr>
          <w:rFonts w:ascii="Arial" w:cs="Arial" w:eastAsia="Arial" w:hAnsi="Arial"/>
          <w:sz w:val="16"/>
          <w:szCs w:val="16"/>
          <w:u w:val="single" w:color="auto"/>
          <w:color w:val="0000FF"/>
        </w:rPr>
      </w:pPr>
      <w:hyperlink r:id="rId158">
        <w:r>
          <w:rPr>
            <w:rFonts w:ascii="Arial" w:cs="Arial" w:eastAsia="Arial" w:hAnsi="Arial"/>
            <w:sz w:val="16"/>
            <w:szCs w:val="16"/>
            <w:u w:val="single" w:color="auto"/>
            <w:color w:val="0000FF"/>
          </w:rPr>
          <w:t>Exhibit 10.2 to our Form 10-Q filed May 10, 2019 (File No.</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158">
        <w:r>
          <w:rPr>
            <w:rFonts w:ascii="Arial" w:cs="Arial" w:eastAsia="Arial" w:hAnsi="Arial"/>
            <w:sz w:val="18"/>
            <w:szCs w:val="18"/>
            <w:u w:val="single" w:color="auto"/>
            <w:color w:val="0000FF"/>
          </w:rPr>
          <w:t>001-13881).</w:t>
        </w:r>
      </w:hyperlink>
    </w:p>
    <w:p>
      <w:pPr>
        <w:spacing w:after="0" w:line="226" w:lineRule="exact"/>
        <w:rPr>
          <w:sz w:val="20"/>
          <w:szCs w:val="20"/>
          <w:color w:val="auto"/>
        </w:rPr>
      </w:pPr>
    </w:p>
    <w:p>
      <w:pPr>
        <w:ind w:right="80"/>
        <w:spacing w:after="0" w:line="228" w:lineRule="auto"/>
        <w:rPr>
          <w:rFonts w:ascii="Arial" w:cs="Arial" w:eastAsia="Arial" w:hAnsi="Arial"/>
          <w:sz w:val="18"/>
          <w:szCs w:val="18"/>
          <w:u w:val="single" w:color="auto"/>
          <w:color w:val="0000FF"/>
        </w:rPr>
      </w:pPr>
      <w:hyperlink r:id="rId159">
        <w:r>
          <w:rPr>
            <w:rFonts w:ascii="Arial" w:cs="Arial" w:eastAsia="Arial" w:hAnsi="Arial"/>
            <w:sz w:val="18"/>
            <w:szCs w:val="18"/>
            <w:u w:val="single" w:color="auto"/>
            <w:color w:val="0000FF"/>
          </w:rPr>
          <w:t>Exhibit 10.12 to our Form 10-K filed February 15, 2018 (File</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No. 001-13881).</w:t>
        </w:r>
      </w:hyperlink>
    </w:p>
    <w:p>
      <w:pPr>
        <w:spacing w:after="0" w:line="225" w:lineRule="exact"/>
        <w:rPr>
          <w:sz w:val="20"/>
          <w:szCs w:val="20"/>
          <w:color w:val="auto"/>
        </w:rPr>
      </w:pPr>
    </w:p>
    <w:p>
      <w:pPr>
        <w:ind w:right="320"/>
        <w:spacing w:after="0" w:line="228" w:lineRule="auto"/>
        <w:rPr>
          <w:rFonts w:ascii="Arial" w:cs="Arial" w:eastAsia="Arial" w:hAnsi="Arial"/>
          <w:sz w:val="18"/>
          <w:szCs w:val="18"/>
          <w:u w:val="single" w:color="auto"/>
          <w:color w:val="0000FF"/>
        </w:rPr>
      </w:pPr>
      <w:hyperlink r:id="rId160">
        <w:r>
          <w:rPr>
            <w:rFonts w:ascii="Arial" w:cs="Arial" w:eastAsia="Arial" w:hAnsi="Arial"/>
            <w:sz w:val="18"/>
            <w:szCs w:val="18"/>
            <w:u w:val="single" w:color="auto"/>
            <w:color w:val="0000FF"/>
          </w:rPr>
          <w:t>Exhibit 10.12.1 to our Form 10-K filed February 15, 2018</w:t>
        </w:r>
      </w:hyperlink>
      <w:r>
        <w:rPr>
          <w:rFonts w:ascii="Arial" w:cs="Arial" w:eastAsia="Arial" w:hAnsi="Arial"/>
          <w:sz w:val="18"/>
          <w:szCs w:val="18"/>
          <w:u w:val="single" w:color="auto"/>
          <w:color w:val="0000FF"/>
        </w:rPr>
        <w:t xml:space="preserve"> </w:t>
      </w:r>
      <w:hyperlink r:id="rId160">
        <w:r>
          <w:rPr>
            <w:rFonts w:ascii="Arial" w:cs="Arial" w:eastAsia="Arial" w:hAnsi="Arial"/>
            <w:sz w:val="18"/>
            <w:szCs w:val="18"/>
            <w:u w:val="single" w:color="auto"/>
            <w:color w:val="0000FF"/>
          </w:rPr>
          <w:t>(File No. 001-13881).</w:t>
        </w:r>
      </w:hyperlink>
    </w:p>
    <w:p>
      <w:pPr>
        <w:spacing w:after="0" w:line="225" w:lineRule="exact"/>
        <w:rPr>
          <w:sz w:val="20"/>
          <w:szCs w:val="20"/>
          <w:color w:val="auto"/>
        </w:rPr>
      </w:pPr>
    </w:p>
    <w:p>
      <w:pPr>
        <w:ind w:right="320"/>
        <w:spacing w:after="0" w:line="228" w:lineRule="auto"/>
        <w:rPr>
          <w:rFonts w:ascii="Arial" w:cs="Arial" w:eastAsia="Arial" w:hAnsi="Arial"/>
          <w:sz w:val="18"/>
          <w:szCs w:val="18"/>
          <w:u w:val="single" w:color="auto"/>
          <w:color w:val="0000FF"/>
        </w:rPr>
      </w:pPr>
      <w:hyperlink r:id="rId161">
        <w:r>
          <w:rPr>
            <w:rFonts w:ascii="Arial" w:cs="Arial" w:eastAsia="Arial" w:hAnsi="Arial"/>
            <w:sz w:val="18"/>
            <w:szCs w:val="18"/>
            <w:u w:val="single" w:color="auto"/>
            <w:color w:val="0000FF"/>
          </w:rPr>
          <w:t>Exhibit 10.12.2 to our Form 10-K filed February 15, 2018</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(File No. 001-13881).</w:t>
        </w:r>
      </w:hyperlink>
    </w:p>
    <w:p>
      <w:pPr>
        <w:spacing w:after="0" w:line="225" w:lineRule="exact"/>
        <w:rPr>
          <w:sz w:val="20"/>
          <w:szCs w:val="20"/>
          <w:color w:val="auto"/>
        </w:rPr>
      </w:pPr>
    </w:p>
    <w:p>
      <w:pPr>
        <w:spacing w:after="0"/>
        <w:rPr>
          <w:rFonts w:ascii="Arial" w:cs="Arial" w:eastAsia="Arial" w:hAnsi="Arial"/>
          <w:sz w:val="16"/>
          <w:szCs w:val="16"/>
          <w:u w:val="single" w:color="auto"/>
          <w:color w:val="0000FF"/>
        </w:rPr>
      </w:pPr>
      <w:hyperlink r:id="rId162">
        <w:r>
          <w:rPr>
            <w:rFonts w:ascii="Arial" w:cs="Arial" w:eastAsia="Arial" w:hAnsi="Arial"/>
            <w:sz w:val="16"/>
            <w:szCs w:val="16"/>
            <w:u w:val="single" w:color="auto"/>
            <w:color w:val="0000FF"/>
          </w:rPr>
          <w:t>Exhibit 10.7 to our Form 10-Q filed May 10, 2018 (File No.</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162">
        <w:r>
          <w:rPr>
            <w:rFonts w:ascii="Arial" w:cs="Arial" w:eastAsia="Arial" w:hAnsi="Arial"/>
            <w:sz w:val="18"/>
            <w:szCs w:val="18"/>
            <w:u w:val="single" w:color="auto"/>
            <w:color w:val="0000FF"/>
          </w:rPr>
          <w:t>001-13881).</w:t>
        </w:r>
      </w:hyperlink>
    </w:p>
    <w:p>
      <w:pPr>
        <w:spacing w:after="0" w:line="226" w:lineRule="exact"/>
        <w:rPr>
          <w:sz w:val="20"/>
          <w:szCs w:val="20"/>
          <w:color w:val="auto"/>
        </w:rPr>
      </w:pPr>
    </w:p>
    <w:p>
      <w:pPr>
        <w:spacing w:after="0"/>
        <w:rPr>
          <w:rFonts w:ascii="Arial" w:cs="Arial" w:eastAsia="Arial" w:hAnsi="Arial"/>
          <w:sz w:val="16"/>
          <w:szCs w:val="16"/>
          <w:u w:val="single" w:color="auto"/>
          <w:color w:val="0000FF"/>
        </w:rPr>
      </w:pPr>
      <w:hyperlink r:id="rId163">
        <w:r>
          <w:rPr>
            <w:rFonts w:ascii="Arial" w:cs="Arial" w:eastAsia="Arial" w:hAnsi="Arial"/>
            <w:sz w:val="16"/>
            <w:szCs w:val="16"/>
            <w:u w:val="single" w:color="auto"/>
            <w:color w:val="0000FF"/>
          </w:rPr>
          <w:t>Exhibit 10.3 to our Form 10-Q filed May 10, 2019 (File No.</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163">
        <w:r>
          <w:rPr>
            <w:rFonts w:ascii="Arial" w:cs="Arial" w:eastAsia="Arial" w:hAnsi="Arial"/>
            <w:sz w:val="18"/>
            <w:szCs w:val="18"/>
            <w:u w:val="single" w:color="auto"/>
            <w:color w:val="0000FF"/>
          </w:rPr>
          <w:t>001-13881).</w:t>
        </w:r>
      </w:hyperlink>
    </w:p>
    <w:p>
      <w:pPr>
        <w:spacing w:after="0" w:line="226" w:lineRule="exact"/>
        <w:rPr>
          <w:sz w:val="20"/>
          <w:szCs w:val="20"/>
          <w:color w:val="auto"/>
        </w:rPr>
      </w:pPr>
    </w:p>
    <w:p>
      <w:pPr>
        <w:spacing w:after="0"/>
        <w:rPr>
          <w:rFonts w:ascii="Arial" w:cs="Arial" w:eastAsia="Arial" w:hAnsi="Arial"/>
          <w:sz w:val="16"/>
          <w:szCs w:val="16"/>
          <w:u w:val="single" w:color="auto"/>
          <w:color w:val="0000FF"/>
        </w:rPr>
      </w:pPr>
      <w:hyperlink r:id="rId164">
        <w:r>
          <w:rPr>
            <w:rFonts w:ascii="Arial" w:cs="Arial" w:eastAsia="Arial" w:hAnsi="Arial"/>
            <w:sz w:val="16"/>
            <w:szCs w:val="16"/>
            <w:u w:val="single" w:color="auto"/>
            <w:color w:val="0000FF"/>
          </w:rPr>
          <w:t>Exhibit 10.8 to our Form 10-Q filed May 10, 2018 (File No.</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164">
        <w:r>
          <w:rPr>
            <w:rFonts w:ascii="Arial" w:cs="Arial" w:eastAsia="Arial" w:hAnsi="Arial"/>
            <w:sz w:val="18"/>
            <w:szCs w:val="18"/>
            <w:u w:val="single" w:color="auto"/>
            <w:color w:val="0000FF"/>
          </w:rPr>
          <w:t>001-13881).</w:t>
        </w:r>
      </w:hyperlink>
    </w:p>
    <w:p>
      <w:pPr>
        <w:spacing w:after="0" w:line="226" w:lineRule="exact"/>
        <w:rPr>
          <w:sz w:val="20"/>
          <w:szCs w:val="20"/>
          <w:color w:val="auto"/>
        </w:rPr>
      </w:pPr>
    </w:p>
    <w:p>
      <w:pPr>
        <w:spacing w:after="0"/>
        <w:rPr>
          <w:rFonts w:ascii="Arial" w:cs="Arial" w:eastAsia="Arial" w:hAnsi="Arial"/>
          <w:sz w:val="16"/>
          <w:szCs w:val="16"/>
          <w:u w:val="single" w:color="auto"/>
          <w:color w:val="0000FF"/>
        </w:rPr>
      </w:pPr>
      <w:hyperlink r:id="rId165">
        <w:r>
          <w:rPr>
            <w:rFonts w:ascii="Arial" w:cs="Arial" w:eastAsia="Arial" w:hAnsi="Arial"/>
            <w:sz w:val="16"/>
            <w:szCs w:val="16"/>
            <w:u w:val="single" w:color="auto"/>
            <w:color w:val="0000FF"/>
          </w:rPr>
          <w:t>Exhibit 10.4 to our Form 10-Q filed May 10, 2019 (File No.</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001-13881).</w:t>
        </w:r>
      </w:hyperlink>
    </w:p>
    <w:p>
      <w:pPr>
        <w:spacing w:after="0" w:line="226" w:lineRule="exact"/>
        <w:rPr>
          <w:sz w:val="20"/>
          <w:szCs w:val="20"/>
          <w:color w:val="auto"/>
        </w:rPr>
      </w:pPr>
    </w:p>
    <w:p>
      <w:pPr>
        <w:ind w:right="300"/>
        <w:spacing w:after="0" w:line="228" w:lineRule="auto"/>
        <w:rPr>
          <w:rFonts w:ascii="Arial" w:cs="Arial" w:eastAsia="Arial" w:hAnsi="Arial"/>
          <w:sz w:val="18"/>
          <w:szCs w:val="18"/>
          <w:u w:val="single" w:color="auto"/>
          <w:color w:val="0000FF"/>
        </w:rPr>
      </w:pPr>
      <w:hyperlink r:id="rId166">
        <w:r>
          <w:rPr>
            <w:rFonts w:ascii="Arial" w:cs="Arial" w:eastAsia="Arial" w:hAnsi="Arial"/>
            <w:sz w:val="18"/>
            <w:szCs w:val="18"/>
            <w:u w:val="single" w:color="auto"/>
            <w:color w:val="0000FF"/>
          </w:rPr>
          <w:t>Exhibit 10.2 to our Form 10-Q filed August 10, 2020 (File</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No. 001-13881).</w:t>
        </w:r>
      </w:hyperlink>
    </w:p>
    <w:p>
      <w:pPr>
        <w:spacing w:after="0" w:line="54" w:lineRule="exact"/>
        <w:rPr>
          <w:sz w:val="20"/>
          <w:szCs w:val="20"/>
          <w:color w:val="auto"/>
        </w:rPr>
      </w:pPr>
    </w:p>
    <w:p>
      <w:pPr>
        <w:spacing w:after="0"/>
        <w:rPr>
          <w:rFonts w:ascii="Arial" w:cs="Arial" w:eastAsia="Arial" w:hAnsi="Arial"/>
          <w:sz w:val="16"/>
          <w:szCs w:val="16"/>
          <w:u w:val="single" w:color="auto"/>
          <w:color w:val="0000FF"/>
        </w:rPr>
      </w:pPr>
      <w:hyperlink r:id="rId167">
        <w:r>
          <w:rPr>
            <w:rFonts w:ascii="Arial" w:cs="Arial" w:eastAsia="Arial" w:hAnsi="Arial"/>
            <w:sz w:val="16"/>
            <w:szCs w:val="16"/>
            <w:u w:val="single" w:color="auto"/>
            <w:color w:val="0000FF"/>
          </w:rPr>
          <w:t>Exhibit 10.9 to our Form 10-Q filed May 10, 2018 (File No.</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167">
        <w:r>
          <w:rPr>
            <w:rFonts w:ascii="Arial" w:cs="Arial" w:eastAsia="Arial" w:hAnsi="Arial"/>
            <w:sz w:val="18"/>
            <w:szCs w:val="18"/>
            <w:u w:val="single" w:color="auto"/>
            <w:color w:val="0000FF"/>
          </w:rPr>
          <w:t>001-13881).</w:t>
        </w:r>
      </w:hyperlink>
    </w:p>
    <w:p>
      <w:pPr>
        <w:spacing w:after="0" w:line="55" w:lineRule="exact"/>
        <w:rPr>
          <w:sz w:val="20"/>
          <w:szCs w:val="20"/>
          <w:color w:val="auto"/>
        </w:rPr>
      </w:pPr>
    </w:p>
    <w:p>
      <w:pPr>
        <w:spacing w:after="0" w:line="228" w:lineRule="auto"/>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Exhibit 10.4 to Starwood’s Form 10-Q for the quarterly period</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ended June 30, 1999 (File No. 001-07959).</w:t>
        </w:r>
      </w:hyperlink>
    </w:p>
    <w:p>
      <w:pPr>
        <w:spacing w:after="0" w:line="54" w:lineRule="exact"/>
        <w:rPr>
          <w:sz w:val="20"/>
          <w:szCs w:val="20"/>
          <w:color w:val="auto"/>
        </w:rPr>
      </w:pPr>
    </w:p>
    <w:p>
      <w:pPr>
        <w:spacing w:after="0" w:line="273" w:lineRule="auto"/>
        <w:rPr>
          <w:rFonts w:ascii="Arial" w:cs="Arial" w:eastAsia="Arial" w:hAnsi="Arial"/>
          <w:sz w:val="16"/>
          <w:szCs w:val="16"/>
          <w:u w:val="single" w:color="auto"/>
          <w:color w:val="0000FF"/>
        </w:rPr>
      </w:pPr>
      <w:hyperlink r:id="rId169">
        <w:r>
          <w:rPr>
            <w:rFonts w:ascii="Arial" w:cs="Arial" w:eastAsia="Arial" w:hAnsi="Arial"/>
            <w:sz w:val="16"/>
            <w:szCs w:val="16"/>
            <w:u w:val="single" w:color="auto"/>
            <w:color w:val="0000FF"/>
          </w:rPr>
          <w:t>Exhibit 10.1 to Starwood’s Form 10-Q for the quarterly period</w:t>
        </w:r>
      </w:hyperlink>
      <w:r>
        <w:rPr>
          <w:rFonts w:ascii="Arial" w:cs="Arial" w:eastAsia="Arial" w:hAnsi="Arial"/>
          <w:sz w:val="16"/>
          <w:szCs w:val="16"/>
          <w:u w:val="single" w:color="auto"/>
          <w:color w:val="0000FF"/>
        </w:rPr>
        <w:t xml:space="preserve"> </w:t>
      </w:r>
      <w:hyperlink r:id="rId169">
        <w:r>
          <w:rPr>
            <w:rFonts w:ascii="Arial" w:cs="Arial" w:eastAsia="Arial" w:hAnsi="Arial"/>
            <w:sz w:val="16"/>
            <w:szCs w:val="16"/>
            <w:u w:val="single" w:color="auto"/>
            <w:color w:val="0000FF"/>
          </w:rPr>
          <w:t>ended September 30, 2001 (File No. 001-07959).</w:t>
        </w:r>
      </w:hyperlink>
    </w:p>
    <w:p>
      <w:pPr>
        <w:spacing w:after="0" w:line="29" w:lineRule="exact"/>
        <w:rPr>
          <w:sz w:val="20"/>
          <w:szCs w:val="20"/>
          <w:color w:val="auto"/>
        </w:rPr>
      </w:pPr>
    </w:p>
    <w:p>
      <w:pPr>
        <w:spacing w:after="0" w:line="228" w:lineRule="auto"/>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Exhibit 10.2 to Starwood’s Form 10-Q for the quarterly period</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ended March 31, 2003 (File No. 001-07959).</w:t>
        </w:r>
      </w:hyperlink>
    </w:p>
    <w:p>
      <w:pPr>
        <w:spacing w:after="0" w:line="54" w:lineRule="exact"/>
        <w:rPr>
          <w:sz w:val="20"/>
          <w:szCs w:val="20"/>
          <w:color w:val="auto"/>
        </w:rPr>
      </w:pPr>
    </w:p>
    <w:p>
      <w:pPr>
        <w:jc w:val="both"/>
        <w:ind w:right="160"/>
        <w:spacing w:after="0" w:line="273" w:lineRule="auto"/>
        <w:rPr>
          <w:rFonts w:ascii="Arial" w:cs="Arial" w:eastAsia="Arial" w:hAnsi="Arial"/>
          <w:sz w:val="16"/>
          <w:szCs w:val="16"/>
          <w:u w:val="single" w:color="auto"/>
          <w:color w:val="0000FF"/>
        </w:rPr>
      </w:pPr>
      <w:hyperlink r:id="rId171">
        <w:r>
          <w:rPr>
            <w:rFonts w:ascii="Arial" w:cs="Arial" w:eastAsia="Arial" w:hAnsi="Arial"/>
            <w:sz w:val="16"/>
            <w:szCs w:val="16"/>
            <w:u w:val="single" w:color="auto"/>
            <w:color w:val="0000FF"/>
          </w:rPr>
          <w:t>Annex B of Starwood’s 2002 Notice of Annual Meeting and</w:t>
        </w:r>
      </w:hyperlink>
      <w:r>
        <w:rPr>
          <w:rFonts w:ascii="Arial" w:cs="Arial" w:eastAsia="Arial" w:hAnsi="Arial"/>
          <w:sz w:val="16"/>
          <w:szCs w:val="16"/>
          <w:u w:val="single" w:color="auto"/>
          <w:color w:val="0000FF"/>
        </w:rPr>
        <w:t xml:space="preserve"> </w:t>
      </w:r>
      <w:hyperlink r:id="rId171">
        <w:r>
          <w:rPr>
            <w:rFonts w:ascii="Arial" w:cs="Arial" w:eastAsia="Arial" w:hAnsi="Arial"/>
            <w:sz w:val="16"/>
            <w:szCs w:val="16"/>
            <w:u w:val="single" w:color="auto"/>
            <w:color w:val="0000FF"/>
          </w:rPr>
          <w:t>Proxy Statement filed April 12, 2002 (File No. 001-07959).</w:t>
        </w:r>
      </w:hyperlink>
    </w:p>
    <w:p>
      <w:pPr>
        <w:spacing w:after="0" w:line="29" w:lineRule="exact"/>
        <w:rPr>
          <w:sz w:val="20"/>
          <w:szCs w:val="20"/>
          <w:color w:val="auto"/>
        </w:rPr>
      </w:pPr>
    </w:p>
    <w:p>
      <w:pPr>
        <w:spacing w:after="0" w:line="228" w:lineRule="auto"/>
        <w:rPr>
          <w:rFonts w:ascii="Arial" w:cs="Arial" w:eastAsia="Arial" w:hAnsi="Arial"/>
          <w:sz w:val="18"/>
          <w:szCs w:val="18"/>
          <w:u w:val="single" w:color="auto"/>
          <w:color w:val="0000FF"/>
        </w:rPr>
      </w:pPr>
      <w:hyperlink r:id="rId172">
        <w:r>
          <w:rPr>
            <w:rFonts w:ascii="Arial" w:cs="Arial" w:eastAsia="Arial" w:hAnsi="Arial"/>
            <w:sz w:val="18"/>
            <w:szCs w:val="18"/>
            <w:u w:val="single" w:color="auto"/>
            <w:color w:val="0000FF"/>
          </w:rPr>
          <w:t>Exhibit 10.1 to Starwood’s Form 10-Q for the quarterly period</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ended March 31, 2003 (File No. 001-07959).</w:t>
        </w:r>
      </w:hyperlink>
    </w:p>
    <w:p>
      <w:pPr>
        <w:sectPr>
          <w:pgSz w:w="11900" w:h="16838" w:orient="portrait"/>
          <w:cols w:equalWidth="0" w:num="2">
            <w:col w:w="6160" w:space="100"/>
            <w:col w:w="4400"/>
          </w:cols>
          <w:pgMar w:left="320" w:top="127" w:right="91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4"/>
                <w:szCs w:val="14"/>
                <w:b w:val="1"/>
                <w:bCs w:val="1"/>
                <w:color w:val="auto"/>
                <w:w w:val="98"/>
              </w:rPr>
              <w:t>Incorporation by Reference (where a report is indicated below, that</w:t>
            </w:r>
          </w:p>
        </w:tc>
        <w:tc>
          <w:tcPr>
            <w:tcW w:w="0" w:type="dxa"/>
            <w:vAlign w:val="bottom"/>
          </w:tcPr>
          <w:p>
            <w:pPr>
              <w:spacing w:after="0"/>
              <w:rPr>
                <w:sz w:val="1"/>
                <w:szCs w:val="1"/>
                <w:color w:val="auto"/>
              </w:rPr>
            </w:pPr>
          </w:p>
        </w:tc>
      </w:tr>
      <w:tr>
        <w:trPr>
          <w:trHeight w:val="132"/>
        </w:trPr>
        <w:tc>
          <w:tcPr>
            <w:tcW w:w="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 No.</w:t>
            </w:r>
          </w:p>
        </w:tc>
        <w:tc>
          <w:tcPr>
            <w:tcW w:w="260" w:type="dxa"/>
            <w:vAlign w:val="bottom"/>
            <w:vMerge w:val="restart"/>
          </w:tcPr>
          <w:p>
            <w:pPr>
              <w:spacing w:after="0"/>
              <w:rPr>
                <w:sz w:val="11"/>
                <w:szCs w:val="11"/>
                <w:color w:val="auto"/>
              </w:rPr>
            </w:pPr>
          </w:p>
        </w:tc>
        <w:tc>
          <w:tcPr>
            <w:tcW w:w="4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1"/>
                <w:szCs w:val="11"/>
                <w:color w:val="auto"/>
              </w:rPr>
            </w:pPr>
          </w:p>
        </w:tc>
        <w:tc>
          <w:tcPr>
            <w:tcW w:w="4420" w:type="dxa"/>
            <w:vAlign w:val="bottom"/>
          </w:tcPr>
          <w:p>
            <w:pPr>
              <w:spacing w:after="0" w:line="132" w:lineRule="exact"/>
              <w:rPr>
                <w:sz w:val="20"/>
                <w:szCs w:val="20"/>
                <w:color w:val="auto"/>
              </w:rPr>
            </w:pPr>
            <w:r>
              <w:rPr>
                <w:rFonts w:ascii="Arial" w:cs="Arial" w:eastAsia="Arial" w:hAnsi="Arial"/>
                <w:sz w:val="14"/>
                <w:szCs w:val="14"/>
                <w:b w:val="1"/>
                <w:bCs w:val="1"/>
                <w:color w:val="auto"/>
                <w:w w:val="96"/>
              </w:rPr>
              <w:t>document has been previously filed with the SEC and the applicable</w:t>
            </w:r>
          </w:p>
        </w:tc>
        <w:tc>
          <w:tcPr>
            <w:tcW w:w="0" w:type="dxa"/>
            <w:vAlign w:val="bottom"/>
          </w:tcPr>
          <w:p>
            <w:pPr>
              <w:spacing w:after="0"/>
              <w:rPr>
                <w:sz w:val="1"/>
                <w:szCs w:val="1"/>
                <w:color w:val="auto"/>
              </w:rPr>
            </w:pPr>
          </w:p>
        </w:tc>
      </w:tr>
      <w:tr>
        <w:trPr>
          <w:trHeight w:val="184"/>
        </w:trPr>
        <w:tc>
          <w:tcPr>
            <w:tcW w:w="90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44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is incorporated by reference thereto)</w:t>
            </w: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900" w:h="16838" w:orient="portrait"/>
          <w:cols w:equalWidth="0" w:num="1">
            <w:col w:w="10680"/>
          </w:cols>
          <w:pgMar w:left="320" w:top="127" w:right="899" w:bottom="1440" w:gutter="0" w:footer="0" w:header="0"/>
        </w:sectPr>
      </w:pPr>
    </w:p>
    <w:tbl>
      <w:tblPr>
        <w:tblLayout w:type="fixed"/>
        <w:tblInd w:w="60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*10.15.1</w:t>
            </w:r>
          </w:p>
        </w:tc>
        <w:tc>
          <w:tcPr>
            <w:tcW w:w="4640" w:type="dxa"/>
            <w:vAlign w:val="bottom"/>
          </w:tcPr>
          <w:p>
            <w:pPr>
              <w:ind w:left="280"/>
              <w:spacing w:after="0"/>
              <w:rPr>
                <w:sz w:val="20"/>
                <w:szCs w:val="20"/>
                <w:color w:val="auto"/>
              </w:rPr>
            </w:pPr>
            <w:r>
              <w:rPr>
                <w:rFonts w:ascii="Arial" w:cs="Arial" w:eastAsia="Arial" w:hAnsi="Arial"/>
                <w:sz w:val="18"/>
                <w:szCs w:val="18"/>
                <w:color w:val="auto"/>
                <w:w w:val="94"/>
              </w:rPr>
              <w:t>Starwood 2004 Long-Term Incentive Compensation Plan,</w:t>
            </w:r>
          </w:p>
        </w:tc>
      </w:tr>
      <w:tr>
        <w:trPr>
          <w:trHeight w:val="222"/>
        </w:trPr>
        <w:tc>
          <w:tcPr>
            <w:tcW w:w="880" w:type="dxa"/>
            <w:vAlign w:val="bottom"/>
          </w:tcPr>
          <w:p>
            <w:pPr>
              <w:spacing w:after="0"/>
              <w:rPr>
                <w:sz w:val="19"/>
                <w:szCs w:val="19"/>
                <w:color w:val="auto"/>
              </w:rPr>
            </w:pPr>
          </w:p>
        </w:tc>
        <w:tc>
          <w:tcPr>
            <w:tcW w:w="4640" w:type="dxa"/>
            <w:vAlign w:val="bottom"/>
          </w:tcPr>
          <w:p>
            <w:pPr>
              <w:ind w:left="280"/>
              <w:spacing w:after="0"/>
              <w:rPr>
                <w:sz w:val="20"/>
                <w:szCs w:val="20"/>
                <w:color w:val="auto"/>
              </w:rPr>
            </w:pPr>
            <w:r>
              <w:rPr>
                <w:rFonts w:ascii="Arial" w:cs="Arial" w:eastAsia="Arial" w:hAnsi="Arial"/>
                <w:sz w:val="18"/>
                <w:szCs w:val="18"/>
                <w:color w:val="auto"/>
              </w:rPr>
              <w:t>amended and restated as of December 31, 2008.</w:t>
            </w:r>
          </w:p>
        </w:tc>
      </w:tr>
      <w:tr>
        <w:trPr>
          <w:trHeight w:val="225"/>
        </w:trPr>
        <w:tc>
          <w:tcPr>
            <w:tcW w:w="880" w:type="dxa"/>
            <w:vAlign w:val="bottom"/>
          </w:tcPr>
          <w:p>
            <w:pPr>
              <w:spacing w:after="0"/>
              <w:rPr>
                <w:sz w:val="20"/>
                <w:szCs w:val="20"/>
                <w:color w:val="auto"/>
              </w:rPr>
            </w:pPr>
            <w:r>
              <w:rPr>
                <w:rFonts w:ascii="Arial" w:cs="Arial" w:eastAsia="Arial" w:hAnsi="Arial"/>
                <w:sz w:val="18"/>
                <w:szCs w:val="18"/>
                <w:color w:val="auto"/>
              </w:rPr>
              <w:t>*10.15.2</w:t>
            </w:r>
          </w:p>
        </w:tc>
        <w:tc>
          <w:tcPr>
            <w:tcW w:w="4640" w:type="dxa"/>
            <w:vAlign w:val="bottom"/>
          </w:tcPr>
          <w:p>
            <w:pPr>
              <w:ind w:left="280"/>
              <w:spacing w:after="0"/>
              <w:rPr>
                <w:sz w:val="20"/>
                <w:szCs w:val="20"/>
                <w:color w:val="auto"/>
              </w:rPr>
            </w:pPr>
            <w:r>
              <w:rPr>
                <w:rFonts w:ascii="Arial" w:cs="Arial" w:eastAsia="Arial" w:hAnsi="Arial"/>
                <w:sz w:val="18"/>
                <w:szCs w:val="18"/>
                <w:color w:val="auto"/>
                <w:w w:val="89"/>
              </w:rPr>
              <w:t>First Amendment to the Starwood 2004 Long-Term Incentive</w:t>
            </w:r>
          </w:p>
        </w:tc>
      </w:tr>
      <w:tr>
        <w:trPr>
          <w:trHeight w:val="222"/>
        </w:trPr>
        <w:tc>
          <w:tcPr>
            <w:tcW w:w="880" w:type="dxa"/>
            <w:vAlign w:val="bottom"/>
          </w:tcPr>
          <w:p>
            <w:pPr>
              <w:spacing w:after="0"/>
              <w:rPr>
                <w:sz w:val="19"/>
                <w:szCs w:val="19"/>
                <w:color w:val="auto"/>
              </w:rPr>
            </w:pPr>
          </w:p>
        </w:tc>
        <w:tc>
          <w:tcPr>
            <w:tcW w:w="4640" w:type="dxa"/>
            <w:vAlign w:val="bottom"/>
          </w:tcPr>
          <w:p>
            <w:pPr>
              <w:ind w:left="280"/>
              <w:spacing w:after="0"/>
              <w:rPr>
                <w:sz w:val="20"/>
                <w:szCs w:val="20"/>
                <w:color w:val="auto"/>
              </w:rPr>
            </w:pPr>
            <w:r>
              <w:rPr>
                <w:rFonts w:ascii="Arial" w:cs="Arial" w:eastAsia="Arial" w:hAnsi="Arial"/>
                <w:sz w:val="18"/>
                <w:szCs w:val="18"/>
                <w:color w:val="auto"/>
              </w:rPr>
              <w:t>Compensation Plan.</w:t>
            </w:r>
          </w:p>
        </w:tc>
      </w:tr>
      <w:tr>
        <w:trPr>
          <w:trHeight w:val="276"/>
        </w:trPr>
        <w:tc>
          <w:tcPr>
            <w:tcW w:w="880" w:type="dxa"/>
            <w:vAlign w:val="bottom"/>
          </w:tcPr>
          <w:p>
            <w:pPr>
              <w:spacing w:after="0"/>
              <w:rPr>
                <w:sz w:val="20"/>
                <w:szCs w:val="20"/>
                <w:color w:val="auto"/>
              </w:rPr>
            </w:pPr>
            <w:r>
              <w:rPr>
                <w:rFonts w:ascii="Arial" w:cs="Arial" w:eastAsia="Arial" w:hAnsi="Arial"/>
                <w:sz w:val="18"/>
                <w:szCs w:val="18"/>
                <w:color w:val="auto"/>
              </w:rPr>
              <w:t>*10.16.1</w:t>
            </w:r>
          </w:p>
        </w:tc>
        <w:tc>
          <w:tcPr>
            <w:tcW w:w="4640" w:type="dxa"/>
            <w:vAlign w:val="bottom"/>
          </w:tcPr>
          <w:p>
            <w:pPr>
              <w:ind w:left="280"/>
              <w:spacing w:after="0"/>
              <w:rPr>
                <w:sz w:val="20"/>
                <w:szCs w:val="20"/>
                <w:color w:val="auto"/>
              </w:rPr>
            </w:pPr>
            <w:r>
              <w:rPr>
                <w:rFonts w:ascii="Arial" w:cs="Arial" w:eastAsia="Arial" w:hAnsi="Arial"/>
                <w:sz w:val="18"/>
                <w:szCs w:val="18"/>
                <w:color w:val="auto"/>
                <w:w w:val="94"/>
              </w:rPr>
              <w:t>Starwood 2013 Long-Term Incentive Compensation Plan.</w:t>
            </w:r>
          </w:p>
        </w:tc>
      </w:tr>
      <w:tr>
        <w:trPr>
          <w:trHeight w:val="396"/>
        </w:trPr>
        <w:tc>
          <w:tcPr>
            <w:tcW w:w="880" w:type="dxa"/>
            <w:vAlign w:val="bottom"/>
          </w:tcPr>
          <w:p>
            <w:pPr>
              <w:spacing w:after="0"/>
              <w:rPr>
                <w:sz w:val="20"/>
                <w:szCs w:val="20"/>
                <w:color w:val="auto"/>
              </w:rPr>
            </w:pPr>
            <w:r>
              <w:rPr>
                <w:rFonts w:ascii="Arial" w:cs="Arial" w:eastAsia="Arial" w:hAnsi="Arial"/>
                <w:sz w:val="18"/>
                <w:szCs w:val="18"/>
                <w:color w:val="auto"/>
              </w:rPr>
              <w:t>*10.16.2</w:t>
            </w:r>
          </w:p>
        </w:tc>
        <w:tc>
          <w:tcPr>
            <w:tcW w:w="4640" w:type="dxa"/>
            <w:vAlign w:val="bottom"/>
          </w:tcPr>
          <w:p>
            <w:pPr>
              <w:ind w:left="280"/>
              <w:spacing w:after="0"/>
              <w:rPr>
                <w:sz w:val="20"/>
                <w:szCs w:val="20"/>
                <w:color w:val="auto"/>
              </w:rPr>
            </w:pPr>
            <w:r>
              <w:rPr>
                <w:rFonts w:ascii="Arial" w:cs="Arial" w:eastAsia="Arial" w:hAnsi="Arial"/>
                <w:sz w:val="18"/>
                <w:szCs w:val="18"/>
                <w:color w:val="auto"/>
                <w:w w:val="90"/>
              </w:rPr>
              <w:t>Amendment dated May 5, 2017 to the Starwood 2013 Long-</w:t>
            </w:r>
          </w:p>
        </w:tc>
      </w:tr>
      <w:tr>
        <w:trPr>
          <w:trHeight w:val="222"/>
        </w:trPr>
        <w:tc>
          <w:tcPr>
            <w:tcW w:w="880" w:type="dxa"/>
            <w:vAlign w:val="bottom"/>
          </w:tcPr>
          <w:p>
            <w:pPr>
              <w:spacing w:after="0"/>
              <w:rPr>
                <w:sz w:val="19"/>
                <w:szCs w:val="19"/>
                <w:color w:val="auto"/>
              </w:rPr>
            </w:pPr>
          </w:p>
        </w:tc>
        <w:tc>
          <w:tcPr>
            <w:tcW w:w="4640" w:type="dxa"/>
            <w:vAlign w:val="bottom"/>
          </w:tcPr>
          <w:p>
            <w:pPr>
              <w:ind w:left="280"/>
              <w:spacing w:after="0"/>
              <w:rPr>
                <w:sz w:val="20"/>
                <w:szCs w:val="20"/>
                <w:color w:val="auto"/>
              </w:rPr>
            </w:pPr>
            <w:r>
              <w:rPr>
                <w:rFonts w:ascii="Arial" w:cs="Arial" w:eastAsia="Arial" w:hAnsi="Arial"/>
                <w:sz w:val="18"/>
                <w:szCs w:val="18"/>
                <w:color w:val="auto"/>
              </w:rPr>
              <w:t>Term Incentive Compensation Plan.</w:t>
            </w:r>
          </w:p>
        </w:tc>
      </w:tr>
      <w:tr>
        <w:trPr>
          <w:trHeight w:val="225"/>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4640" w:type="dxa"/>
            <w:vAlign w:val="bottom"/>
          </w:tcPr>
          <w:p>
            <w:pPr>
              <w:ind w:left="280"/>
              <w:spacing w:after="0"/>
              <w:rPr>
                <w:sz w:val="20"/>
                <w:szCs w:val="20"/>
                <w:color w:val="auto"/>
              </w:rPr>
            </w:pPr>
            <w:r>
              <w:rPr>
                <w:rFonts w:ascii="Arial" w:cs="Arial" w:eastAsia="Arial" w:hAnsi="Arial"/>
                <w:sz w:val="18"/>
                <w:szCs w:val="18"/>
                <w:color w:val="auto"/>
                <w:w w:val="87"/>
              </w:rPr>
              <w:t>Amendment dated June 29, 2016 to the Starwood 2013 Long-</w:t>
            </w:r>
          </w:p>
        </w:tc>
      </w:tr>
      <w:tr>
        <w:trPr>
          <w:trHeight w:val="171"/>
        </w:trPr>
        <w:tc>
          <w:tcPr>
            <w:tcW w:w="880" w:type="dxa"/>
            <w:vAlign w:val="bottom"/>
          </w:tcPr>
          <w:p>
            <w:pPr>
              <w:spacing w:after="0"/>
              <w:rPr>
                <w:sz w:val="14"/>
                <w:szCs w:val="14"/>
                <w:color w:val="auto"/>
              </w:rPr>
            </w:pPr>
          </w:p>
        </w:tc>
        <w:tc>
          <w:tcPr>
            <w:tcW w:w="4640" w:type="dxa"/>
            <w:vAlign w:val="bottom"/>
          </w:tcPr>
          <w:p>
            <w:pPr>
              <w:ind w:left="280"/>
              <w:spacing w:after="0" w:line="171" w:lineRule="exact"/>
              <w:rPr>
                <w:sz w:val="20"/>
                <w:szCs w:val="20"/>
                <w:color w:val="auto"/>
              </w:rPr>
            </w:pPr>
            <w:r>
              <w:rPr>
                <w:rFonts w:ascii="Arial" w:cs="Arial" w:eastAsia="Arial" w:hAnsi="Arial"/>
                <w:sz w:val="18"/>
                <w:szCs w:val="18"/>
                <w:color w:val="auto"/>
                <w:w w:val="87"/>
              </w:rPr>
              <w:t>Term Incentive Compensation Plan, the Starwood 2004 Long-</w:t>
            </w:r>
          </w:p>
        </w:tc>
      </w:tr>
      <w:tr>
        <w:trPr>
          <w:trHeight w:val="171"/>
        </w:trPr>
        <w:tc>
          <w:tcPr>
            <w:tcW w:w="880" w:type="dxa"/>
            <w:vAlign w:val="bottom"/>
          </w:tcPr>
          <w:p>
            <w:pPr>
              <w:spacing w:after="0"/>
              <w:rPr>
                <w:sz w:val="14"/>
                <w:szCs w:val="14"/>
                <w:color w:val="auto"/>
              </w:rPr>
            </w:pPr>
          </w:p>
        </w:tc>
        <w:tc>
          <w:tcPr>
            <w:tcW w:w="4640" w:type="dxa"/>
            <w:vAlign w:val="bottom"/>
          </w:tcPr>
          <w:p>
            <w:pPr>
              <w:ind w:left="280"/>
              <w:spacing w:after="0" w:line="171" w:lineRule="exact"/>
              <w:rPr>
                <w:sz w:val="20"/>
                <w:szCs w:val="20"/>
                <w:color w:val="auto"/>
              </w:rPr>
            </w:pPr>
            <w:r>
              <w:rPr>
                <w:rFonts w:ascii="Arial" w:cs="Arial" w:eastAsia="Arial" w:hAnsi="Arial"/>
                <w:sz w:val="18"/>
                <w:szCs w:val="18"/>
                <w:color w:val="auto"/>
                <w:w w:val="87"/>
              </w:rPr>
              <w:t>Term Incentive Compensation Plan, the Starwood 2002 Long-</w:t>
            </w:r>
          </w:p>
        </w:tc>
      </w:tr>
      <w:tr>
        <w:trPr>
          <w:trHeight w:val="171"/>
        </w:trPr>
        <w:tc>
          <w:tcPr>
            <w:tcW w:w="880" w:type="dxa"/>
            <w:vAlign w:val="bottom"/>
          </w:tcPr>
          <w:p>
            <w:pPr>
              <w:spacing w:after="0"/>
              <w:rPr>
                <w:sz w:val="14"/>
                <w:szCs w:val="14"/>
                <w:color w:val="auto"/>
              </w:rPr>
            </w:pPr>
          </w:p>
        </w:tc>
        <w:tc>
          <w:tcPr>
            <w:tcW w:w="4640" w:type="dxa"/>
            <w:vAlign w:val="bottom"/>
          </w:tcPr>
          <w:p>
            <w:pPr>
              <w:ind w:left="280"/>
              <w:spacing w:after="0" w:line="171" w:lineRule="exact"/>
              <w:rPr>
                <w:sz w:val="20"/>
                <w:szCs w:val="20"/>
                <w:color w:val="auto"/>
              </w:rPr>
            </w:pPr>
            <w:r>
              <w:rPr>
                <w:rFonts w:ascii="Arial" w:cs="Arial" w:eastAsia="Arial" w:hAnsi="Arial"/>
                <w:sz w:val="18"/>
                <w:szCs w:val="18"/>
                <w:color w:val="auto"/>
                <w:w w:val="90"/>
              </w:rPr>
              <w:t>Term Incentive Compensation Plan, and the Starwood 1999</w:t>
            </w:r>
          </w:p>
        </w:tc>
      </w:tr>
      <w:tr>
        <w:trPr>
          <w:trHeight w:val="222"/>
        </w:trPr>
        <w:tc>
          <w:tcPr>
            <w:tcW w:w="880" w:type="dxa"/>
            <w:vAlign w:val="bottom"/>
          </w:tcPr>
          <w:p>
            <w:pPr>
              <w:spacing w:after="0"/>
              <w:rPr>
                <w:sz w:val="19"/>
                <w:szCs w:val="19"/>
                <w:color w:val="auto"/>
              </w:rPr>
            </w:pPr>
          </w:p>
        </w:tc>
        <w:tc>
          <w:tcPr>
            <w:tcW w:w="4640" w:type="dxa"/>
            <w:vAlign w:val="bottom"/>
          </w:tcPr>
          <w:p>
            <w:pPr>
              <w:ind w:left="280"/>
              <w:spacing w:after="0"/>
              <w:rPr>
                <w:sz w:val="20"/>
                <w:szCs w:val="20"/>
                <w:color w:val="auto"/>
              </w:rPr>
            </w:pPr>
            <w:r>
              <w:rPr>
                <w:rFonts w:ascii="Arial" w:cs="Arial" w:eastAsia="Arial" w:hAnsi="Arial"/>
                <w:sz w:val="18"/>
                <w:szCs w:val="18"/>
                <w:color w:val="auto"/>
              </w:rPr>
              <w:t>Long-Term Incentive Compensation Plan.</w:t>
            </w:r>
          </w:p>
        </w:tc>
      </w:tr>
      <w:tr>
        <w:trPr>
          <w:trHeight w:val="225"/>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4640" w:type="dxa"/>
            <w:vAlign w:val="bottom"/>
          </w:tcPr>
          <w:p>
            <w:pPr>
              <w:ind w:left="280"/>
              <w:spacing w:after="0"/>
              <w:rPr>
                <w:sz w:val="20"/>
                <w:szCs w:val="20"/>
                <w:color w:val="auto"/>
              </w:rPr>
            </w:pPr>
            <w:r>
              <w:rPr>
                <w:rFonts w:ascii="Arial" w:cs="Arial" w:eastAsia="Arial" w:hAnsi="Arial"/>
                <w:sz w:val="18"/>
                <w:szCs w:val="18"/>
                <w:color w:val="auto"/>
                <w:w w:val="88"/>
              </w:rPr>
              <w:t>Amendment dated September 23, 2016 to the Starwood 2013</w:t>
            </w:r>
          </w:p>
        </w:tc>
      </w:tr>
      <w:tr>
        <w:trPr>
          <w:trHeight w:val="171"/>
        </w:trPr>
        <w:tc>
          <w:tcPr>
            <w:tcW w:w="880" w:type="dxa"/>
            <w:vAlign w:val="bottom"/>
          </w:tcPr>
          <w:p>
            <w:pPr>
              <w:spacing w:after="0"/>
              <w:rPr>
                <w:sz w:val="14"/>
                <w:szCs w:val="14"/>
                <w:color w:val="auto"/>
              </w:rPr>
            </w:pPr>
          </w:p>
        </w:tc>
        <w:tc>
          <w:tcPr>
            <w:tcW w:w="4640" w:type="dxa"/>
            <w:vAlign w:val="bottom"/>
          </w:tcPr>
          <w:p>
            <w:pPr>
              <w:ind w:left="280"/>
              <w:spacing w:after="0" w:line="171" w:lineRule="exact"/>
              <w:rPr>
                <w:sz w:val="20"/>
                <w:szCs w:val="20"/>
                <w:color w:val="auto"/>
              </w:rPr>
            </w:pPr>
            <w:r>
              <w:rPr>
                <w:rFonts w:ascii="Arial" w:cs="Arial" w:eastAsia="Arial" w:hAnsi="Arial"/>
                <w:sz w:val="18"/>
                <w:szCs w:val="18"/>
                <w:color w:val="auto"/>
                <w:w w:val="88"/>
              </w:rPr>
              <w:t>Long-Term Incentive Compensation Plan, the Starwood 2004</w:t>
            </w:r>
          </w:p>
        </w:tc>
      </w:tr>
      <w:tr>
        <w:trPr>
          <w:trHeight w:val="171"/>
        </w:trPr>
        <w:tc>
          <w:tcPr>
            <w:tcW w:w="880" w:type="dxa"/>
            <w:vAlign w:val="bottom"/>
          </w:tcPr>
          <w:p>
            <w:pPr>
              <w:spacing w:after="0"/>
              <w:rPr>
                <w:sz w:val="14"/>
                <w:szCs w:val="14"/>
                <w:color w:val="auto"/>
              </w:rPr>
            </w:pPr>
          </w:p>
        </w:tc>
        <w:tc>
          <w:tcPr>
            <w:tcW w:w="4640" w:type="dxa"/>
            <w:vAlign w:val="bottom"/>
          </w:tcPr>
          <w:p>
            <w:pPr>
              <w:ind w:left="280"/>
              <w:spacing w:after="0" w:line="171" w:lineRule="exact"/>
              <w:rPr>
                <w:sz w:val="20"/>
                <w:szCs w:val="20"/>
                <w:color w:val="auto"/>
              </w:rPr>
            </w:pPr>
            <w:r>
              <w:rPr>
                <w:rFonts w:ascii="Arial" w:cs="Arial" w:eastAsia="Arial" w:hAnsi="Arial"/>
                <w:sz w:val="18"/>
                <w:szCs w:val="18"/>
                <w:color w:val="auto"/>
                <w:w w:val="88"/>
              </w:rPr>
              <w:t>Long-Term Incentive Compensation Plan, the Starwood 2002</w:t>
            </w:r>
          </w:p>
        </w:tc>
      </w:tr>
      <w:tr>
        <w:trPr>
          <w:trHeight w:val="171"/>
        </w:trPr>
        <w:tc>
          <w:tcPr>
            <w:tcW w:w="880" w:type="dxa"/>
            <w:vAlign w:val="bottom"/>
          </w:tcPr>
          <w:p>
            <w:pPr>
              <w:spacing w:after="0"/>
              <w:rPr>
                <w:sz w:val="14"/>
                <w:szCs w:val="14"/>
                <w:color w:val="auto"/>
              </w:rPr>
            </w:pPr>
          </w:p>
        </w:tc>
        <w:tc>
          <w:tcPr>
            <w:tcW w:w="4640" w:type="dxa"/>
            <w:vAlign w:val="bottom"/>
          </w:tcPr>
          <w:p>
            <w:pPr>
              <w:ind w:left="280"/>
              <w:spacing w:after="0" w:line="171" w:lineRule="exact"/>
              <w:rPr>
                <w:sz w:val="20"/>
                <w:szCs w:val="20"/>
                <w:color w:val="auto"/>
              </w:rPr>
            </w:pPr>
            <w:r>
              <w:rPr>
                <w:rFonts w:ascii="Arial" w:cs="Arial" w:eastAsia="Arial" w:hAnsi="Arial"/>
                <w:sz w:val="18"/>
                <w:szCs w:val="18"/>
                <w:color w:val="auto"/>
                <w:w w:val="90"/>
              </w:rPr>
              <w:t>Long-Term Incentive Compensation Plan, and the Starwood</w:t>
            </w:r>
          </w:p>
        </w:tc>
      </w:tr>
      <w:tr>
        <w:trPr>
          <w:trHeight w:val="222"/>
        </w:trPr>
        <w:tc>
          <w:tcPr>
            <w:tcW w:w="880" w:type="dxa"/>
            <w:vAlign w:val="bottom"/>
          </w:tcPr>
          <w:p>
            <w:pPr>
              <w:spacing w:after="0"/>
              <w:rPr>
                <w:sz w:val="19"/>
                <w:szCs w:val="19"/>
                <w:color w:val="auto"/>
              </w:rPr>
            </w:pPr>
          </w:p>
        </w:tc>
        <w:tc>
          <w:tcPr>
            <w:tcW w:w="4640" w:type="dxa"/>
            <w:vAlign w:val="bottom"/>
          </w:tcPr>
          <w:p>
            <w:pPr>
              <w:ind w:left="280"/>
              <w:spacing w:after="0"/>
              <w:rPr>
                <w:sz w:val="20"/>
                <w:szCs w:val="20"/>
                <w:color w:val="auto"/>
              </w:rPr>
            </w:pPr>
            <w:r>
              <w:rPr>
                <w:rFonts w:ascii="Arial" w:cs="Arial" w:eastAsia="Arial" w:hAnsi="Arial"/>
                <w:sz w:val="18"/>
                <w:szCs w:val="18"/>
                <w:color w:val="auto"/>
              </w:rPr>
              <w:t>1999 Long-Term Incentive Compensation Plan.</w:t>
            </w:r>
          </w:p>
        </w:tc>
      </w:tr>
      <w:tr>
        <w:trPr>
          <w:trHeight w:val="225"/>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4640" w:type="dxa"/>
            <w:vAlign w:val="bottom"/>
          </w:tcPr>
          <w:p>
            <w:pPr>
              <w:ind w:left="280"/>
              <w:spacing w:after="0"/>
              <w:rPr>
                <w:sz w:val="20"/>
                <w:szCs w:val="20"/>
                <w:color w:val="auto"/>
              </w:rPr>
            </w:pPr>
            <w:r>
              <w:rPr>
                <w:rFonts w:ascii="Arial" w:cs="Arial" w:eastAsia="Arial" w:hAnsi="Arial"/>
                <w:sz w:val="18"/>
                <w:szCs w:val="18"/>
                <w:color w:val="auto"/>
              </w:rPr>
              <w:t>Amendment dated November 10, 2016 to the Marriott</w:t>
            </w:r>
          </w:p>
        </w:tc>
      </w:tr>
      <w:tr>
        <w:trPr>
          <w:trHeight w:val="171"/>
        </w:trPr>
        <w:tc>
          <w:tcPr>
            <w:tcW w:w="880" w:type="dxa"/>
            <w:vAlign w:val="bottom"/>
          </w:tcPr>
          <w:p>
            <w:pPr>
              <w:spacing w:after="0"/>
              <w:rPr>
                <w:sz w:val="14"/>
                <w:szCs w:val="14"/>
                <w:color w:val="auto"/>
              </w:rPr>
            </w:pPr>
          </w:p>
        </w:tc>
        <w:tc>
          <w:tcPr>
            <w:tcW w:w="4640" w:type="dxa"/>
            <w:vAlign w:val="bottom"/>
          </w:tcPr>
          <w:p>
            <w:pPr>
              <w:ind w:left="280"/>
              <w:spacing w:after="0" w:line="171" w:lineRule="exact"/>
              <w:rPr>
                <w:sz w:val="20"/>
                <w:szCs w:val="20"/>
                <w:color w:val="auto"/>
              </w:rPr>
            </w:pPr>
            <w:r>
              <w:rPr>
                <w:rFonts w:ascii="Arial" w:cs="Arial" w:eastAsia="Arial" w:hAnsi="Arial"/>
                <w:sz w:val="18"/>
                <w:szCs w:val="18"/>
                <w:color w:val="auto"/>
              </w:rPr>
              <w:t>International, Inc. Stock and Cash Incentive Plan, the</w:t>
            </w:r>
          </w:p>
        </w:tc>
      </w:tr>
      <w:tr>
        <w:trPr>
          <w:trHeight w:val="171"/>
        </w:trPr>
        <w:tc>
          <w:tcPr>
            <w:tcW w:w="880" w:type="dxa"/>
            <w:vAlign w:val="bottom"/>
          </w:tcPr>
          <w:p>
            <w:pPr>
              <w:spacing w:after="0"/>
              <w:rPr>
                <w:sz w:val="14"/>
                <w:szCs w:val="14"/>
                <w:color w:val="auto"/>
              </w:rPr>
            </w:pPr>
          </w:p>
        </w:tc>
        <w:tc>
          <w:tcPr>
            <w:tcW w:w="4640" w:type="dxa"/>
            <w:vAlign w:val="bottom"/>
          </w:tcPr>
          <w:p>
            <w:pPr>
              <w:ind w:left="280"/>
              <w:spacing w:after="0" w:line="171" w:lineRule="exact"/>
              <w:rPr>
                <w:sz w:val="20"/>
                <w:szCs w:val="20"/>
                <w:color w:val="auto"/>
              </w:rPr>
            </w:pPr>
            <w:r>
              <w:rPr>
                <w:rFonts w:ascii="Arial" w:cs="Arial" w:eastAsia="Arial" w:hAnsi="Arial"/>
                <w:sz w:val="18"/>
                <w:szCs w:val="18"/>
                <w:color w:val="auto"/>
                <w:w w:val="88"/>
              </w:rPr>
              <w:t>Starwood 2013 Long-Term Incentive Compensation Plan, the</w:t>
            </w:r>
          </w:p>
        </w:tc>
      </w:tr>
      <w:tr>
        <w:trPr>
          <w:trHeight w:val="171"/>
        </w:trPr>
        <w:tc>
          <w:tcPr>
            <w:tcW w:w="880" w:type="dxa"/>
            <w:vAlign w:val="bottom"/>
          </w:tcPr>
          <w:p>
            <w:pPr>
              <w:spacing w:after="0"/>
              <w:rPr>
                <w:sz w:val="14"/>
                <w:szCs w:val="14"/>
                <w:color w:val="auto"/>
              </w:rPr>
            </w:pPr>
          </w:p>
        </w:tc>
        <w:tc>
          <w:tcPr>
            <w:tcW w:w="4640" w:type="dxa"/>
            <w:vAlign w:val="bottom"/>
          </w:tcPr>
          <w:p>
            <w:pPr>
              <w:ind w:left="280"/>
              <w:spacing w:after="0" w:line="171" w:lineRule="exact"/>
              <w:rPr>
                <w:sz w:val="20"/>
                <w:szCs w:val="20"/>
                <w:color w:val="auto"/>
              </w:rPr>
            </w:pPr>
            <w:r>
              <w:rPr>
                <w:rFonts w:ascii="Arial" w:cs="Arial" w:eastAsia="Arial" w:hAnsi="Arial"/>
                <w:sz w:val="18"/>
                <w:szCs w:val="18"/>
                <w:color w:val="auto"/>
                <w:w w:val="88"/>
              </w:rPr>
              <w:t>Starwood 2004 Long-Term Incentive Compensation Plan, the</w:t>
            </w:r>
          </w:p>
        </w:tc>
      </w:tr>
      <w:tr>
        <w:trPr>
          <w:trHeight w:val="171"/>
        </w:trPr>
        <w:tc>
          <w:tcPr>
            <w:tcW w:w="880" w:type="dxa"/>
            <w:vAlign w:val="bottom"/>
          </w:tcPr>
          <w:p>
            <w:pPr>
              <w:spacing w:after="0"/>
              <w:rPr>
                <w:sz w:val="14"/>
                <w:szCs w:val="14"/>
                <w:color w:val="auto"/>
              </w:rPr>
            </w:pPr>
          </w:p>
        </w:tc>
        <w:tc>
          <w:tcPr>
            <w:tcW w:w="4640" w:type="dxa"/>
            <w:vAlign w:val="bottom"/>
          </w:tcPr>
          <w:p>
            <w:pPr>
              <w:ind w:left="280"/>
              <w:spacing w:after="0" w:line="171" w:lineRule="exact"/>
              <w:rPr>
                <w:sz w:val="20"/>
                <w:szCs w:val="20"/>
                <w:color w:val="auto"/>
              </w:rPr>
            </w:pPr>
            <w:r>
              <w:rPr>
                <w:rFonts w:ascii="Arial" w:cs="Arial" w:eastAsia="Arial" w:hAnsi="Arial"/>
                <w:sz w:val="18"/>
                <w:szCs w:val="18"/>
                <w:color w:val="auto"/>
                <w:w w:val="87"/>
              </w:rPr>
              <w:t>Starwood 2002 Long-Term Incentive Compensation Plan, and</w:t>
            </w:r>
          </w:p>
        </w:tc>
      </w:tr>
      <w:tr>
        <w:trPr>
          <w:trHeight w:val="222"/>
        </w:trPr>
        <w:tc>
          <w:tcPr>
            <w:tcW w:w="880" w:type="dxa"/>
            <w:vAlign w:val="bottom"/>
          </w:tcPr>
          <w:p>
            <w:pPr>
              <w:spacing w:after="0"/>
              <w:rPr>
                <w:sz w:val="19"/>
                <w:szCs w:val="19"/>
                <w:color w:val="auto"/>
              </w:rPr>
            </w:pPr>
          </w:p>
        </w:tc>
        <w:tc>
          <w:tcPr>
            <w:tcW w:w="4640" w:type="dxa"/>
            <w:vAlign w:val="bottom"/>
          </w:tcPr>
          <w:p>
            <w:pPr>
              <w:ind w:left="280"/>
              <w:spacing w:after="0"/>
              <w:rPr>
                <w:sz w:val="20"/>
                <w:szCs w:val="20"/>
                <w:color w:val="auto"/>
              </w:rPr>
            </w:pPr>
            <w:r>
              <w:rPr>
                <w:rFonts w:ascii="Arial" w:cs="Arial" w:eastAsia="Arial" w:hAnsi="Arial"/>
                <w:sz w:val="18"/>
                <w:szCs w:val="18"/>
                <w:color w:val="auto"/>
                <w:w w:val="88"/>
              </w:rPr>
              <w:t>the Starwood 1999 Long-Term Incentive Compensation Plan.</w:t>
            </w:r>
          </w:p>
        </w:tc>
      </w:tr>
      <w:tr>
        <w:trPr>
          <w:trHeight w:val="225"/>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4640" w:type="dxa"/>
            <w:vAlign w:val="bottom"/>
          </w:tcPr>
          <w:p>
            <w:pPr>
              <w:ind w:left="280"/>
              <w:spacing w:after="0"/>
              <w:rPr>
                <w:sz w:val="20"/>
                <w:szCs w:val="20"/>
                <w:color w:val="auto"/>
              </w:rPr>
            </w:pPr>
            <w:r>
              <w:rPr>
                <w:rFonts w:ascii="Arial" w:cs="Arial" w:eastAsia="Arial" w:hAnsi="Arial"/>
                <w:sz w:val="18"/>
                <w:szCs w:val="18"/>
                <w:color w:val="auto"/>
                <w:w w:val="94"/>
              </w:rPr>
              <w:t>Amended and Restated Side Letter Agreement - Program</w:t>
            </w:r>
          </w:p>
        </w:tc>
      </w:tr>
      <w:tr>
        <w:trPr>
          <w:trHeight w:val="171"/>
        </w:trPr>
        <w:tc>
          <w:tcPr>
            <w:tcW w:w="880" w:type="dxa"/>
            <w:vAlign w:val="bottom"/>
          </w:tcPr>
          <w:p>
            <w:pPr>
              <w:spacing w:after="0"/>
              <w:rPr>
                <w:sz w:val="14"/>
                <w:szCs w:val="14"/>
                <w:color w:val="auto"/>
              </w:rPr>
            </w:pPr>
          </w:p>
        </w:tc>
        <w:tc>
          <w:tcPr>
            <w:tcW w:w="4640" w:type="dxa"/>
            <w:vAlign w:val="bottom"/>
          </w:tcPr>
          <w:p>
            <w:pPr>
              <w:ind w:left="280"/>
              <w:spacing w:after="0" w:line="171" w:lineRule="exact"/>
              <w:rPr>
                <w:sz w:val="20"/>
                <w:szCs w:val="20"/>
                <w:color w:val="auto"/>
              </w:rPr>
            </w:pPr>
            <w:r>
              <w:rPr>
                <w:rFonts w:ascii="Arial" w:cs="Arial" w:eastAsia="Arial" w:hAnsi="Arial"/>
                <w:sz w:val="18"/>
                <w:szCs w:val="18"/>
                <w:color w:val="auto"/>
                <w:w w:val="93"/>
              </w:rPr>
              <w:t>Affiliation, dated February 26, 2018, among the Company,</w:t>
            </w:r>
          </w:p>
        </w:tc>
      </w:tr>
      <w:tr>
        <w:trPr>
          <w:trHeight w:val="171"/>
        </w:trPr>
        <w:tc>
          <w:tcPr>
            <w:tcW w:w="880" w:type="dxa"/>
            <w:vAlign w:val="bottom"/>
          </w:tcPr>
          <w:p>
            <w:pPr>
              <w:spacing w:after="0"/>
              <w:rPr>
                <w:sz w:val="14"/>
                <w:szCs w:val="14"/>
                <w:color w:val="auto"/>
              </w:rPr>
            </w:pPr>
          </w:p>
        </w:tc>
        <w:tc>
          <w:tcPr>
            <w:tcW w:w="4640" w:type="dxa"/>
            <w:vAlign w:val="bottom"/>
          </w:tcPr>
          <w:p>
            <w:pPr>
              <w:ind w:left="280"/>
              <w:spacing w:after="0" w:line="171" w:lineRule="exact"/>
              <w:rPr>
                <w:sz w:val="20"/>
                <w:szCs w:val="20"/>
                <w:color w:val="auto"/>
              </w:rPr>
            </w:pPr>
            <w:r>
              <w:rPr>
                <w:rFonts w:ascii="Arial" w:cs="Arial" w:eastAsia="Arial" w:hAnsi="Arial"/>
                <w:sz w:val="18"/>
                <w:szCs w:val="18"/>
                <w:color w:val="auto"/>
              </w:rPr>
              <w:t>Marriott Vacations Worldwide, and certain of their</w:t>
            </w:r>
          </w:p>
        </w:tc>
      </w:tr>
      <w:tr>
        <w:trPr>
          <w:trHeight w:val="222"/>
        </w:trPr>
        <w:tc>
          <w:tcPr>
            <w:tcW w:w="880" w:type="dxa"/>
            <w:vAlign w:val="bottom"/>
          </w:tcPr>
          <w:p>
            <w:pPr>
              <w:spacing w:after="0"/>
              <w:rPr>
                <w:sz w:val="19"/>
                <w:szCs w:val="19"/>
                <w:color w:val="auto"/>
              </w:rPr>
            </w:pPr>
          </w:p>
        </w:tc>
        <w:tc>
          <w:tcPr>
            <w:tcW w:w="4640" w:type="dxa"/>
            <w:vAlign w:val="bottom"/>
          </w:tcPr>
          <w:p>
            <w:pPr>
              <w:ind w:left="280"/>
              <w:spacing w:after="0"/>
              <w:rPr>
                <w:sz w:val="20"/>
                <w:szCs w:val="20"/>
                <w:color w:val="auto"/>
              </w:rPr>
            </w:pPr>
            <w:r>
              <w:rPr>
                <w:rFonts w:ascii="Arial" w:cs="Arial" w:eastAsia="Arial" w:hAnsi="Arial"/>
                <w:sz w:val="18"/>
                <w:szCs w:val="18"/>
                <w:color w:val="auto"/>
              </w:rPr>
              <w:t>subsidiaries.</w:t>
            </w:r>
          </w:p>
        </w:tc>
      </w:tr>
      <w:tr>
        <w:trPr>
          <w:trHeight w:val="225"/>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4640" w:type="dxa"/>
            <w:vAlign w:val="bottom"/>
          </w:tcPr>
          <w:p>
            <w:pPr>
              <w:ind w:left="280"/>
              <w:spacing w:after="0"/>
              <w:rPr>
                <w:sz w:val="20"/>
                <w:szCs w:val="20"/>
                <w:color w:val="auto"/>
              </w:rPr>
            </w:pPr>
            <w:r>
              <w:rPr>
                <w:rFonts w:ascii="Arial" w:cs="Arial" w:eastAsia="Arial" w:hAnsi="Arial"/>
                <w:sz w:val="18"/>
                <w:szCs w:val="18"/>
                <w:color w:val="auto"/>
                <w:w w:val="91"/>
              </w:rPr>
              <w:t>Aircraft Time Sharing Agreement, effective as of September</w:t>
            </w:r>
          </w:p>
        </w:tc>
      </w:tr>
      <w:tr>
        <w:trPr>
          <w:trHeight w:val="171"/>
        </w:trPr>
        <w:tc>
          <w:tcPr>
            <w:tcW w:w="880" w:type="dxa"/>
            <w:vAlign w:val="bottom"/>
          </w:tcPr>
          <w:p>
            <w:pPr>
              <w:spacing w:after="0"/>
              <w:rPr>
                <w:sz w:val="14"/>
                <w:szCs w:val="14"/>
                <w:color w:val="auto"/>
              </w:rPr>
            </w:pPr>
          </w:p>
        </w:tc>
        <w:tc>
          <w:tcPr>
            <w:tcW w:w="4640" w:type="dxa"/>
            <w:vAlign w:val="bottom"/>
          </w:tcPr>
          <w:p>
            <w:pPr>
              <w:ind w:left="280"/>
              <w:spacing w:after="0" w:line="171" w:lineRule="exact"/>
              <w:rPr>
                <w:sz w:val="20"/>
                <w:szCs w:val="20"/>
                <w:color w:val="auto"/>
              </w:rPr>
            </w:pPr>
            <w:r>
              <w:rPr>
                <w:rFonts w:ascii="Arial" w:cs="Arial" w:eastAsia="Arial" w:hAnsi="Arial"/>
                <w:sz w:val="18"/>
                <w:szCs w:val="18"/>
                <w:color w:val="auto"/>
                <w:w w:val="99"/>
              </w:rPr>
              <w:t>20, 2018, between Marriott International Administrative</w:t>
            </w:r>
          </w:p>
        </w:tc>
      </w:tr>
      <w:tr>
        <w:trPr>
          <w:trHeight w:val="222"/>
        </w:trPr>
        <w:tc>
          <w:tcPr>
            <w:tcW w:w="880" w:type="dxa"/>
            <w:vAlign w:val="bottom"/>
          </w:tcPr>
          <w:p>
            <w:pPr>
              <w:spacing w:after="0"/>
              <w:rPr>
                <w:sz w:val="19"/>
                <w:szCs w:val="19"/>
                <w:color w:val="auto"/>
              </w:rPr>
            </w:pPr>
          </w:p>
        </w:tc>
        <w:tc>
          <w:tcPr>
            <w:tcW w:w="4640" w:type="dxa"/>
            <w:vAlign w:val="bottom"/>
          </w:tcPr>
          <w:p>
            <w:pPr>
              <w:ind w:left="280"/>
              <w:spacing w:after="0"/>
              <w:rPr>
                <w:sz w:val="20"/>
                <w:szCs w:val="20"/>
                <w:color w:val="auto"/>
              </w:rPr>
            </w:pPr>
            <w:r>
              <w:rPr>
                <w:rFonts w:ascii="Arial" w:cs="Arial" w:eastAsia="Arial" w:hAnsi="Arial"/>
                <w:sz w:val="18"/>
                <w:szCs w:val="18"/>
                <w:color w:val="auto"/>
              </w:rPr>
              <w:t>Services, Inc. and J. Willard Marriott Jr.</w:t>
            </w:r>
          </w:p>
        </w:tc>
      </w:tr>
      <w:tr>
        <w:trPr>
          <w:trHeight w:val="276"/>
        </w:trPr>
        <w:tc>
          <w:tcPr>
            <w:tcW w:w="880" w:type="dxa"/>
            <w:vAlign w:val="bottom"/>
          </w:tcPr>
          <w:p>
            <w:pPr>
              <w:spacing w:after="0"/>
              <w:rPr>
                <w:sz w:val="20"/>
                <w:szCs w:val="20"/>
                <w:color w:val="auto"/>
              </w:rPr>
            </w:pPr>
            <w:r>
              <w:rPr>
                <w:rFonts w:ascii="Arial" w:cs="Arial" w:eastAsia="Arial" w:hAnsi="Arial"/>
                <w:sz w:val="18"/>
                <w:szCs w:val="18"/>
                <w:color w:val="auto"/>
              </w:rPr>
              <w:t>21</w:t>
            </w:r>
          </w:p>
        </w:tc>
        <w:tc>
          <w:tcPr>
            <w:tcW w:w="4640" w:type="dxa"/>
            <w:vAlign w:val="bottom"/>
          </w:tcPr>
          <w:p>
            <w:pPr>
              <w:ind w:left="280"/>
              <w:spacing w:after="0"/>
              <w:rPr>
                <w:sz w:val="20"/>
                <w:szCs w:val="20"/>
                <w:color w:val="auto"/>
              </w:rPr>
            </w:pPr>
            <w:r>
              <w:rPr>
                <w:rFonts w:ascii="Arial" w:cs="Arial" w:eastAsia="Arial" w:hAnsi="Arial"/>
                <w:sz w:val="18"/>
                <w:szCs w:val="18"/>
                <w:color w:val="auto"/>
              </w:rPr>
              <w:t>Subsidiaries of Marriott International, Inc.</w:t>
            </w:r>
          </w:p>
        </w:tc>
      </w:tr>
      <w:tr>
        <w:trPr>
          <w:trHeight w:val="276"/>
        </w:trPr>
        <w:tc>
          <w:tcPr>
            <w:tcW w:w="880" w:type="dxa"/>
            <w:vAlign w:val="bottom"/>
          </w:tcPr>
          <w:p>
            <w:pPr>
              <w:spacing w:after="0"/>
              <w:rPr>
                <w:sz w:val="20"/>
                <w:szCs w:val="20"/>
                <w:color w:val="auto"/>
              </w:rPr>
            </w:pPr>
            <w:r>
              <w:rPr>
                <w:rFonts w:ascii="Arial" w:cs="Arial" w:eastAsia="Arial" w:hAnsi="Arial"/>
                <w:sz w:val="18"/>
                <w:szCs w:val="18"/>
                <w:color w:val="auto"/>
              </w:rPr>
              <w:t>23</w:t>
            </w:r>
          </w:p>
        </w:tc>
        <w:tc>
          <w:tcPr>
            <w:tcW w:w="4640" w:type="dxa"/>
            <w:vAlign w:val="bottom"/>
          </w:tcPr>
          <w:p>
            <w:pPr>
              <w:ind w:left="280"/>
              <w:spacing w:after="0"/>
              <w:rPr>
                <w:sz w:val="20"/>
                <w:szCs w:val="20"/>
                <w:color w:val="auto"/>
              </w:rPr>
            </w:pPr>
            <w:r>
              <w:rPr>
                <w:rFonts w:ascii="Arial" w:cs="Arial" w:eastAsia="Arial" w:hAnsi="Arial"/>
                <w:sz w:val="18"/>
                <w:szCs w:val="18"/>
                <w:color w:val="auto"/>
              </w:rPr>
              <w:t>Consent of Ernst &amp; Young LLP.</w:t>
            </w:r>
          </w:p>
        </w:tc>
      </w:tr>
      <w:tr>
        <w:trPr>
          <w:trHeight w:val="225"/>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4640" w:type="dxa"/>
            <w:vAlign w:val="bottom"/>
          </w:tcPr>
          <w:p>
            <w:pPr>
              <w:ind w:left="280"/>
              <w:spacing w:after="0"/>
              <w:rPr>
                <w:sz w:val="20"/>
                <w:szCs w:val="20"/>
                <w:color w:val="auto"/>
              </w:rPr>
            </w:pPr>
            <w:r>
              <w:rPr>
                <w:rFonts w:ascii="Arial" w:cs="Arial" w:eastAsia="Arial" w:hAnsi="Arial"/>
                <w:sz w:val="18"/>
                <w:szCs w:val="18"/>
                <w:color w:val="auto"/>
                <w:w w:val="89"/>
              </w:rPr>
              <w:t>Certification of Chief Executive Officer Pursuant to Rule 13a-</w:t>
            </w:r>
          </w:p>
        </w:tc>
      </w:tr>
      <w:tr>
        <w:trPr>
          <w:trHeight w:val="222"/>
        </w:trPr>
        <w:tc>
          <w:tcPr>
            <w:tcW w:w="880" w:type="dxa"/>
            <w:vAlign w:val="bottom"/>
          </w:tcPr>
          <w:p>
            <w:pPr>
              <w:spacing w:after="0"/>
              <w:rPr>
                <w:sz w:val="19"/>
                <w:szCs w:val="19"/>
                <w:color w:val="auto"/>
              </w:rPr>
            </w:pPr>
          </w:p>
        </w:tc>
        <w:tc>
          <w:tcPr>
            <w:tcW w:w="4640" w:type="dxa"/>
            <w:vAlign w:val="bottom"/>
          </w:tcPr>
          <w:p>
            <w:pPr>
              <w:ind w:left="280"/>
              <w:spacing w:after="0"/>
              <w:rPr>
                <w:sz w:val="20"/>
                <w:szCs w:val="20"/>
                <w:color w:val="auto"/>
              </w:rPr>
            </w:pPr>
            <w:r>
              <w:rPr>
                <w:rFonts w:ascii="Arial" w:cs="Arial" w:eastAsia="Arial" w:hAnsi="Arial"/>
                <w:sz w:val="18"/>
                <w:szCs w:val="18"/>
                <w:color w:val="auto"/>
              </w:rPr>
              <w:t>14(a).</w:t>
            </w:r>
          </w:p>
        </w:tc>
      </w:tr>
      <w:tr>
        <w:trPr>
          <w:trHeight w:val="225"/>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4640" w:type="dxa"/>
            <w:vAlign w:val="bottom"/>
          </w:tcPr>
          <w:p>
            <w:pPr>
              <w:ind w:left="280"/>
              <w:spacing w:after="0"/>
              <w:rPr>
                <w:sz w:val="20"/>
                <w:szCs w:val="20"/>
                <w:color w:val="auto"/>
              </w:rPr>
            </w:pPr>
            <w:r>
              <w:rPr>
                <w:rFonts w:ascii="Arial" w:cs="Arial" w:eastAsia="Arial" w:hAnsi="Arial"/>
                <w:sz w:val="18"/>
                <w:szCs w:val="18"/>
                <w:color w:val="auto"/>
                <w:w w:val="90"/>
              </w:rPr>
              <w:t>Certification of Chief Financial Officer Pursuant to Rule 13a-</w:t>
            </w:r>
          </w:p>
        </w:tc>
      </w:tr>
      <w:tr>
        <w:trPr>
          <w:trHeight w:val="222"/>
        </w:trPr>
        <w:tc>
          <w:tcPr>
            <w:tcW w:w="880" w:type="dxa"/>
            <w:vAlign w:val="bottom"/>
          </w:tcPr>
          <w:p>
            <w:pPr>
              <w:spacing w:after="0"/>
              <w:rPr>
                <w:sz w:val="19"/>
                <w:szCs w:val="19"/>
                <w:color w:val="auto"/>
              </w:rPr>
            </w:pPr>
          </w:p>
        </w:tc>
        <w:tc>
          <w:tcPr>
            <w:tcW w:w="4640" w:type="dxa"/>
            <w:vAlign w:val="bottom"/>
          </w:tcPr>
          <w:p>
            <w:pPr>
              <w:ind w:left="280"/>
              <w:spacing w:after="0"/>
              <w:rPr>
                <w:sz w:val="20"/>
                <w:szCs w:val="20"/>
                <w:color w:val="auto"/>
              </w:rPr>
            </w:pPr>
            <w:r>
              <w:rPr>
                <w:rFonts w:ascii="Arial" w:cs="Arial" w:eastAsia="Arial" w:hAnsi="Arial"/>
                <w:sz w:val="18"/>
                <w:szCs w:val="18"/>
                <w:color w:val="auto"/>
              </w:rPr>
              <w:t>14(a).</w:t>
            </w:r>
          </w:p>
        </w:tc>
      </w:tr>
      <w:tr>
        <w:trPr>
          <w:trHeight w:val="842"/>
        </w:trPr>
        <w:tc>
          <w:tcPr>
            <w:tcW w:w="880" w:type="dxa"/>
            <w:vAlign w:val="bottom"/>
          </w:tcPr>
          <w:p>
            <w:pPr>
              <w:spacing w:after="0"/>
              <w:rPr>
                <w:sz w:val="24"/>
                <w:szCs w:val="24"/>
                <w:color w:val="auto"/>
              </w:rPr>
            </w:pPr>
          </w:p>
        </w:tc>
        <w:tc>
          <w:tcPr>
            <w:tcW w:w="4640" w:type="dxa"/>
            <w:vAlign w:val="bottom"/>
          </w:tcPr>
          <w:p>
            <w:pPr>
              <w:ind w:left="4060"/>
              <w:spacing w:after="0"/>
              <w:rPr>
                <w:sz w:val="20"/>
                <w:szCs w:val="20"/>
                <w:color w:val="auto"/>
              </w:rPr>
            </w:pPr>
            <w:r>
              <w:rPr>
                <w:rFonts w:ascii="Arial" w:cs="Arial" w:eastAsia="Arial" w:hAnsi="Arial"/>
                <w:sz w:val="18"/>
                <w:szCs w:val="18"/>
                <w:color w:val="auto"/>
              </w:rPr>
              <w:t>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54610</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260"/>
        <w:spacing w:after="0" w:line="228" w:lineRule="auto"/>
        <w:rPr>
          <w:rFonts w:ascii="Arial" w:cs="Arial" w:eastAsia="Arial" w:hAnsi="Arial"/>
          <w:sz w:val="18"/>
          <w:szCs w:val="18"/>
          <w:u w:val="single" w:color="auto"/>
          <w:color w:val="0000FF"/>
        </w:rPr>
      </w:pPr>
      <w:hyperlink r:id="rId174">
        <w:r>
          <w:rPr>
            <w:rFonts w:ascii="Arial" w:cs="Arial" w:eastAsia="Arial" w:hAnsi="Arial"/>
            <w:sz w:val="18"/>
            <w:szCs w:val="18"/>
            <w:u w:val="single" w:color="auto"/>
            <w:color w:val="0000FF"/>
          </w:rPr>
          <w:t>Exhibit 10.3 to Starwood’s Form 8-K filed January 6, 2009</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(File No. 001-07959).</w:t>
        </w:r>
      </w:hyperlink>
    </w:p>
    <w:p>
      <w:pPr>
        <w:spacing w:after="0" w:line="54" w:lineRule="exact"/>
        <w:rPr>
          <w:sz w:val="20"/>
          <w:szCs w:val="20"/>
          <w:color w:val="auto"/>
        </w:rPr>
      </w:pPr>
    </w:p>
    <w:p>
      <w:pPr>
        <w:ind w:right="20"/>
        <w:spacing w:after="0" w:line="228" w:lineRule="auto"/>
        <w:rPr>
          <w:rFonts w:ascii="Arial" w:cs="Arial" w:eastAsia="Arial" w:hAnsi="Arial"/>
          <w:sz w:val="18"/>
          <w:szCs w:val="18"/>
          <w:u w:val="single" w:color="auto"/>
          <w:color w:val="0000FF"/>
        </w:rPr>
      </w:pPr>
      <w:hyperlink r:id="rId175">
        <w:r>
          <w:rPr>
            <w:rFonts w:ascii="Arial" w:cs="Arial" w:eastAsia="Arial" w:hAnsi="Arial"/>
            <w:sz w:val="18"/>
            <w:szCs w:val="18"/>
            <w:u w:val="single" w:color="auto"/>
            <w:color w:val="0000FF"/>
          </w:rPr>
          <w:t>Exhibit 10.1 to Starwood’s Form 10-Q for the quarterly period</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ended June 30, 2013 (File No. 001-07959).</w:t>
        </w:r>
      </w:hyperlink>
    </w:p>
    <w:p>
      <w:pPr>
        <w:spacing w:after="0" w:line="54" w:lineRule="exact"/>
        <w:rPr>
          <w:sz w:val="20"/>
          <w:szCs w:val="20"/>
          <w:color w:val="auto"/>
        </w:rPr>
      </w:pPr>
    </w:p>
    <w:p>
      <w:pPr>
        <w:ind w:right="140"/>
        <w:spacing w:after="0" w:line="228" w:lineRule="auto"/>
        <w:rPr>
          <w:rFonts w:ascii="Arial" w:cs="Arial" w:eastAsia="Arial" w:hAnsi="Arial"/>
          <w:sz w:val="18"/>
          <w:szCs w:val="18"/>
          <w:u w:val="single" w:color="auto"/>
          <w:color w:val="0000FF"/>
        </w:rPr>
      </w:pPr>
      <w:hyperlink r:id="rId176">
        <w:r>
          <w:rPr>
            <w:rFonts w:ascii="Arial" w:cs="Arial" w:eastAsia="Arial" w:hAnsi="Arial"/>
            <w:sz w:val="18"/>
            <w:szCs w:val="18"/>
            <w:u w:val="single" w:color="auto"/>
            <w:color w:val="0000FF"/>
          </w:rPr>
          <w:t>Exhibit 4.4 to Starwood’s Form S-8 filed June 28, 2013 (File</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No. 333-189674).</w:t>
        </w:r>
      </w:hyperlink>
    </w:p>
    <w:p>
      <w:pPr>
        <w:spacing w:after="0" w:line="54" w:lineRule="exact"/>
        <w:rPr>
          <w:sz w:val="20"/>
          <w:szCs w:val="20"/>
          <w:color w:val="auto"/>
        </w:rPr>
      </w:pPr>
    </w:p>
    <w:p>
      <w:pPr>
        <w:ind w:right="340"/>
        <w:spacing w:after="0" w:line="228" w:lineRule="auto"/>
        <w:rPr>
          <w:rFonts w:ascii="Arial" w:cs="Arial" w:eastAsia="Arial" w:hAnsi="Arial"/>
          <w:sz w:val="18"/>
          <w:szCs w:val="18"/>
          <w:u w:val="single" w:color="auto"/>
          <w:color w:val="0000FF"/>
        </w:rPr>
      </w:pPr>
      <w:hyperlink r:id="rId177">
        <w:r>
          <w:rPr>
            <w:rFonts w:ascii="Arial" w:cs="Arial" w:eastAsia="Arial" w:hAnsi="Arial"/>
            <w:sz w:val="18"/>
            <w:szCs w:val="18"/>
            <w:u w:val="single" w:color="auto"/>
            <w:color w:val="0000FF"/>
          </w:rPr>
          <w:t>Exhibit 10.19.1 to our Form 10-K filed February 15, 2018</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(File No. 001-13881).</w:t>
        </w:r>
      </w:hyperlink>
    </w:p>
    <w:p>
      <w:pPr>
        <w:spacing w:after="0" w:line="54" w:lineRule="exact"/>
        <w:rPr>
          <w:sz w:val="20"/>
          <w:szCs w:val="20"/>
          <w:color w:val="auto"/>
        </w:rPr>
      </w:pPr>
    </w:p>
    <w:p>
      <w:pPr>
        <w:ind w:right="100"/>
        <w:spacing w:after="0" w:line="228" w:lineRule="auto"/>
        <w:rPr>
          <w:rFonts w:ascii="Arial" w:cs="Arial" w:eastAsia="Arial" w:hAnsi="Arial"/>
          <w:sz w:val="18"/>
          <w:szCs w:val="18"/>
          <w:u w:val="single" w:color="auto"/>
          <w:color w:val="0000FF"/>
        </w:rPr>
      </w:pPr>
      <w:hyperlink r:id="rId178">
        <w:r>
          <w:rPr>
            <w:rFonts w:ascii="Arial" w:cs="Arial" w:eastAsia="Arial" w:hAnsi="Arial"/>
            <w:sz w:val="18"/>
            <w:szCs w:val="18"/>
            <w:u w:val="single" w:color="auto"/>
            <w:color w:val="0000FF"/>
          </w:rPr>
          <w:t>Exhibit 10.20 to our Form 10-K filed February 15, 2018 (File</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No. 001-13881).</w:t>
        </w:r>
      </w:hyperlink>
    </w:p>
    <w:p>
      <w:pPr>
        <w:spacing w:after="0" w:line="200" w:lineRule="exact"/>
        <w:rPr>
          <w:sz w:val="20"/>
          <w:szCs w:val="20"/>
          <w:color w:val="auto"/>
        </w:rPr>
      </w:pPr>
    </w:p>
    <w:p>
      <w:pPr>
        <w:spacing w:after="0" w:line="367" w:lineRule="exact"/>
        <w:rPr>
          <w:sz w:val="20"/>
          <w:szCs w:val="20"/>
          <w:color w:val="auto"/>
        </w:rPr>
      </w:pPr>
    </w:p>
    <w:p>
      <w:pPr>
        <w:ind w:right="100"/>
        <w:spacing w:after="0" w:line="228" w:lineRule="auto"/>
        <w:rPr>
          <w:rFonts w:ascii="Arial" w:cs="Arial" w:eastAsia="Arial" w:hAnsi="Arial"/>
          <w:sz w:val="18"/>
          <w:szCs w:val="18"/>
          <w:u w:val="single" w:color="auto"/>
          <w:color w:val="0000FF"/>
        </w:rPr>
      </w:pPr>
      <w:hyperlink r:id="rId179">
        <w:r>
          <w:rPr>
            <w:rFonts w:ascii="Arial" w:cs="Arial" w:eastAsia="Arial" w:hAnsi="Arial"/>
            <w:sz w:val="18"/>
            <w:szCs w:val="18"/>
            <w:u w:val="single" w:color="auto"/>
            <w:color w:val="0000FF"/>
          </w:rPr>
          <w:t>Exhibit 10.21 to our Form 10-K filed February 15, 2018 (File</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No. 001-13881).</w:t>
        </w:r>
      </w:hyperlink>
    </w:p>
    <w:p>
      <w:pPr>
        <w:spacing w:after="0" w:line="200" w:lineRule="exact"/>
        <w:rPr>
          <w:sz w:val="20"/>
          <w:szCs w:val="20"/>
          <w:color w:val="auto"/>
        </w:rPr>
      </w:pPr>
    </w:p>
    <w:p>
      <w:pPr>
        <w:spacing w:after="0" w:line="367" w:lineRule="exact"/>
        <w:rPr>
          <w:sz w:val="20"/>
          <w:szCs w:val="20"/>
          <w:color w:val="auto"/>
        </w:rPr>
      </w:pPr>
    </w:p>
    <w:p>
      <w:pPr>
        <w:ind w:right="100"/>
        <w:spacing w:after="0" w:line="228" w:lineRule="auto"/>
        <w:rPr>
          <w:rFonts w:ascii="Arial" w:cs="Arial" w:eastAsia="Arial" w:hAnsi="Arial"/>
          <w:sz w:val="18"/>
          <w:szCs w:val="18"/>
          <w:u w:val="single" w:color="auto"/>
          <w:color w:val="0000FF"/>
        </w:rPr>
      </w:pPr>
      <w:hyperlink r:id="rId180">
        <w:r>
          <w:rPr>
            <w:rFonts w:ascii="Arial" w:cs="Arial" w:eastAsia="Arial" w:hAnsi="Arial"/>
            <w:sz w:val="18"/>
            <w:szCs w:val="18"/>
            <w:u w:val="single" w:color="auto"/>
            <w:color w:val="0000FF"/>
          </w:rPr>
          <w:t>Exhibit 10.22 to our Form 10-K filed February 15, 2018 (File</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No. 001-13881).</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340"/>
        <w:spacing w:after="0" w:line="228" w:lineRule="auto"/>
        <w:rPr>
          <w:rFonts w:ascii="Arial" w:cs="Arial" w:eastAsia="Arial" w:hAnsi="Arial"/>
          <w:sz w:val="18"/>
          <w:szCs w:val="18"/>
          <w:u w:val="single" w:color="auto"/>
          <w:color w:val="0000FF"/>
        </w:rPr>
      </w:pPr>
      <w:hyperlink r:id="rId181">
        <w:r>
          <w:rPr>
            <w:rFonts w:ascii="Arial" w:cs="Arial" w:eastAsia="Arial" w:hAnsi="Arial"/>
            <w:sz w:val="18"/>
            <w:szCs w:val="18"/>
            <w:u w:val="single" w:color="auto"/>
            <w:color w:val="0000FF"/>
          </w:rPr>
          <w:t>Exhibit No. 10.5 to our Form 8-K filed February 27, 2018</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(File No. 001-13881).</w:t>
        </w:r>
      </w:hyperlink>
    </w:p>
    <w:p>
      <w:pPr>
        <w:spacing w:after="0" w:line="396" w:lineRule="exact"/>
        <w:rPr>
          <w:sz w:val="20"/>
          <w:szCs w:val="20"/>
          <w:color w:val="auto"/>
        </w:rPr>
      </w:pPr>
    </w:p>
    <w:p>
      <w:pPr>
        <w:ind w:right="240"/>
        <w:spacing w:after="0" w:line="228" w:lineRule="auto"/>
        <w:rPr>
          <w:rFonts w:ascii="Arial" w:cs="Arial" w:eastAsia="Arial" w:hAnsi="Arial"/>
          <w:sz w:val="18"/>
          <w:szCs w:val="18"/>
          <w:u w:val="single" w:color="auto"/>
          <w:color w:val="0000FF"/>
        </w:rPr>
      </w:pPr>
      <w:hyperlink r:id="rId182">
        <w:r>
          <w:rPr>
            <w:rFonts w:ascii="Arial" w:cs="Arial" w:eastAsia="Arial" w:hAnsi="Arial"/>
            <w:sz w:val="18"/>
            <w:szCs w:val="18"/>
            <w:u w:val="single" w:color="auto"/>
            <w:color w:val="0000FF"/>
          </w:rPr>
          <w:t>Exhibit No. 10.3 to our Form 10-Q filed November 6, 2018</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(File No. 001-13881).</w:t>
        </w:r>
      </w:hyperlink>
    </w:p>
    <w:p>
      <w:pPr>
        <w:spacing w:after="0" w:line="225" w:lineRule="exact"/>
        <w:rPr>
          <w:sz w:val="20"/>
          <w:szCs w:val="20"/>
          <w:color w:val="auto"/>
        </w:rPr>
      </w:pPr>
    </w:p>
    <w:p>
      <w:pPr>
        <w:spacing w:after="0"/>
        <w:rPr>
          <w:rFonts w:ascii="Arial" w:cs="Arial" w:eastAsia="Arial" w:hAnsi="Arial"/>
          <w:sz w:val="18"/>
          <w:szCs w:val="18"/>
          <w:i w:val="1"/>
          <w:iCs w:val="1"/>
          <w:u w:val="single" w:color="auto"/>
          <w:color w:val="0000FF"/>
        </w:rPr>
      </w:pPr>
      <w:hyperlink w:anchor="page90">
        <w:r>
          <w:rPr>
            <w:rFonts w:ascii="Arial" w:cs="Arial" w:eastAsia="Arial" w:hAnsi="Arial"/>
            <w:sz w:val="18"/>
            <w:szCs w:val="18"/>
            <w:i w:val="1"/>
            <w:iCs w:val="1"/>
            <w:u w:val="single" w:color="auto"/>
            <w:color w:val="0000FF"/>
          </w:rPr>
          <w:t>Filed with this report.</w:t>
        </w:r>
      </w:hyperlink>
    </w:p>
    <w:p>
      <w:pPr>
        <w:spacing w:after="0" w:line="69" w:lineRule="exact"/>
        <w:rPr>
          <w:sz w:val="20"/>
          <w:szCs w:val="20"/>
          <w:color w:val="auto"/>
        </w:rPr>
      </w:pPr>
    </w:p>
    <w:p>
      <w:pPr>
        <w:spacing w:after="0"/>
        <w:rPr>
          <w:rFonts w:ascii="Arial" w:cs="Arial" w:eastAsia="Arial" w:hAnsi="Arial"/>
          <w:sz w:val="18"/>
          <w:szCs w:val="18"/>
          <w:i w:val="1"/>
          <w:iCs w:val="1"/>
          <w:u w:val="single" w:color="auto"/>
          <w:color w:val="0000FF"/>
        </w:rPr>
      </w:pPr>
      <w:hyperlink w:anchor="page110">
        <w:r>
          <w:rPr>
            <w:rFonts w:ascii="Arial" w:cs="Arial" w:eastAsia="Arial" w:hAnsi="Arial"/>
            <w:sz w:val="18"/>
            <w:szCs w:val="18"/>
            <w:i w:val="1"/>
            <w:iCs w:val="1"/>
            <w:u w:val="single" w:color="auto"/>
            <w:color w:val="0000FF"/>
          </w:rPr>
          <w:t>Filed with this report.</w:t>
        </w:r>
      </w:hyperlink>
    </w:p>
    <w:p>
      <w:pPr>
        <w:spacing w:after="0" w:line="69" w:lineRule="exact"/>
        <w:rPr>
          <w:sz w:val="20"/>
          <w:szCs w:val="20"/>
          <w:color w:val="auto"/>
        </w:rPr>
      </w:pPr>
    </w:p>
    <w:p>
      <w:pPr>
        <w:spacing w:after="0"/>
        <w:rPr>
          <w:rFonts w:ascii="Arial" w:cs="Arial" w:eastAsia="Arial" w:hAnsi="Arial"/>
          <w:sz w:val="18"/>
          <w:szCs w:val="18"/>
          <w:i w:val="1"/>
          <w:iCs w:val="1"/>
          <w:u w:val="single" w:color="auto"/>
          <w:color w:val="0000FF"/>
        </w:rPr>
      </w:pPr>
      <w:hyperlink w:anchor="page111">
        <w:r>
          <w:rPr>
            <w:rFonts w:ascii="Arial" w:cs="Arial" w:eastAsia="Arial" w:hAnsi="Arial"/>
            <w:sz w:val="18"/>
            <w:szCs w:val="18"/>
            <w:i w:val="1"/>
            <w:iCs w:val="1"/>
            <w:u w:val="single" w:color="auto"/>
            <w:color w:val="0000FF"/>
          </w:rPr>
          <w:t>Filed with this report.</w:t>
        </w:r>
      </w:hyperlink>
    </w:p>
    <w:p>
      <w:pPr>
        <w:spacing w:after="0" w:line="240" w:lineRule="exact"/>
        <w:rPr>
          <w:sz w:val="20"/>
          <w:szCs w:val="20"/>
          <w:color w:val="auto"/>
        </w:rPr>
      </w:pPr>
    </w:p>
    <w:p>
      <w:pPr>
        <w:spacing w:after="0"/>
        <w:rPr>
          <w:rFonts w:ascii="Arial" w:cs="Arial" w:eastAsia="Arial" w:hAnsi="Arial"/>
          <w:sz w:val="18"/>
          <w:szCs w:val="18"/>
          <w:i w:val="1"/>
          <w:iCs w:val="1"/>
          <w:u w:val="single" w:color="auto"/>
          <w:color w:val="0000FF"/>
        </w:rPr>
      </w:pPr>
      <w:hyperlink w:anchor="page112">
        <w:r>
          <w:rPr>
            <w:rFonts w:ascii="Arial" w:cs="Arial" w:eastAsia="Arial" w:hAnsi="Arial"/>
            <w:sz w:val="18"/>
            <w:szCs w:val="18"/>
            <w:i w:val="1"/>
            <w:iCs w:val="1"/>
            <w:u w:val="single" w:color="auto"/>
            <w:color w:val="0000FF"/>
          </w:rPr>
          <w:t>Filed with this report.</w:t>
        </w:r>
      </w:hyperlink>
    </w:p>
    <w:p>
      <w:pPr>
        <w:sectPr>
          <w:pgSz w:w="11900" w:h="16838" w:orient="portrait"/>
          <w:cols w:equalWidth="0" w:num="2">
            <w:col w:w="6120" w:space="140"/>
            <w:col w:w="4420"/>
          </w:cols>
          <w:pgMar w:left="320" w:top="127" w:right="89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20" w:type="dxa"/>
            <w:vAlign w:val="bottom"/>
            <w:gridSpan w:val="2"/>
          </w:tcPr>
          <w:p>
            <w:pPr>
              <w:spacing w:after="0"/>
              <w:rPr>
                <w:sz w:val="20"/>
                <w:szCs w:val="20"/>
                <w:color w:val="auto"/>
              </w:rPr>
            </w:pPr>
            <w:r>
              <w:rPr>
                <w:rFonts w:ascii="Arial" w:cs="Arial" w:eastAsia="Arial" w:hAnsi="Arial"/>
                <w:sz w:val="14"/>
                <w:szCs w:val="14"/>
                <w:b w:val="1"/>
                <w:bCs w:val="1"/>
                <w:color w:val="auto"/>
                <w:w w:val="98"/>
              </w:rPr>
              <w:t>Incorporation by Reference (where a report is indicated below, that</w:t>
            </w:r>
          </w:p>
        </w:tc>
        <w:tc>
          <w:tcPr>
            <w:tcW w:w="0" w:type="dxa"/>
            <w:vAlign w:val="bottom"/>
          </w:tcPr>
          <w:p>
            <w:pPr>
              <w:spacing w:after="0"/>
              <w:rPr>
                <w:sz w:val="1"/>
                <w:szCs w:val="1"/>
                <w:color w:val="auto"/>
              </w:rPr>
            </w:pPr>
          </w:p>
        </w:tc>
      </w:tr>
      <w:tr>
        <w:trPr>
          <w:trHeight w:val="132"/>
        </w:trPr>
        <w:tc>
          <w:tcPr>
            <w:tcW w:w="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 No.</w:t>
            </w:r>
          </w:p>
        </w:tc>
        <w:tc>
          <w:tcPr>
            <w:tcW w:w="260" w:type="dxa"/>
            <w:vAlign w:val="bottom"/>
            <w:vMerge w:val="restart"/>
          </w:tcPr>
          <w:p>
            <w:pPr>
              <w:spacing w:after="0"/>
              <w:rPr>
                <w:sz w:val="11"/>
                <w:szCs w:val="11"/>
                <w:color w:val="auto"/>
              </w:rPr>
            </w:pPr>
          </w:p>
        </w:tc>
        <w:tc>
          <w:tcPr>
            <w:tcW w:w="4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1"/>
                <w:szCs w:val="11"/>
                <w:color w:val="auto"/>
              </w:rPr>
            </w:pPr>
          </w:p>
        </w:tc>
        <w:tc>
          <w:tcPr>
            <w:tcW w:w="4420" w:type="dxa"/>
            <w:vAlign w:val="bottom"/>
            <w:gridSpan w:val="2"/>
          </w:tcPr>
          <w:p>
            <w:pPr>
              <w:spacing w:after="0" w:line="132" w:lineRule="exact"/>
              <w:rPr>
                <w:sz w:val="20"/>
                <w:szCs w:val="20"/>
                <w:color w:val="auto"/>
              </w:rPr>
            </w:pPr>
            <w:r>
              <w:rPr>
                <w:rFonts w:ascii="Arial" w:cs="Arial" w:eastAsia="Arial" w:hAnsi="Arial"/>
                <w:sz w:val="14"/>
                <w:szCs w:val="14"/>
                <w:b w:val="1"/>
                <w:bCs w:val="1"/>
                <w:color w:val="auto"/>
                <w:w w:val="96"/>
              </w:rPr>
              <w:t>document has been previously filed with the SEC and the applicable</w:t>
            </w:r>
          </w:p>
        </w:tc>
        <w:tc>
          <w:tcPr>
            <w:tcW w:w="0" w:type="dxa"/>
            <w:vAlign w:val="bottom"/>
          </w:tcPr>
          <w:p>
            <w:pPr>
              <w:spacing w:after="0"/>
              <w:rPr>
                <w:sz w:val="1"/>
                <w:szCs w:val="1"/>
                <w:color w:val="auto"/>
              </w:rPr>
            </w:pPr>
          </w:p>
        </w:tc>
      </w:tr>
      <w:tr>
        <w:trPr>
          <w:trHeight w:val="184"/>
        </w:trPr>
        <w:tc>
          <w:tcPr>
            <w:tcW w:w="90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44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 is incorporated by reference thereto)</w:t>
            </w:r>
          </w:p>
        </w:tc>
        <w:tc>
          <w:tcPr>
            <w:tcW w:w="0" w:type="dxa"/>
            <w:vAlign w:val="bottom"/>
          </w:tcPr>
          <w:p>
            <w:pPr>
              <w:spacing w:after="0"/>
              <w:rPr>
                <w:sz w:val="1"/>
                <w:szCs w:val="1"/>
                <w:color w:val="auto"/>
              </w:rPr>
            </w:pPr>
          </w:p>
        </w:tc>
      </w:tr>
      <w:tr>
        <w:trPr>
          <w:trHeight w:val="217"/>
        </w:trPr>
        <w:tc>
          <w:tcPr>
            <w:tcW w:w="900" w:type="dxa"/>
            <w:vAlign w:val="bottom"/>
          </w:tcPr>
          <w:p>
            <w:pPr>
              <w:ind w:left="2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Section 1350 Certifications.</w:t>
            </w:r>
          </w:p>
        </w:tc>
        <w:tc>
          <w:tcPr>
            <w:tcW w:w="1900" w:type="dxa"/>
            <w:vAlign w:val="bottom"/>
            <w:tcBorders>
              <w:bottom w:val="single" w:sz="8" w:color="0000FF"/>
            </w:tcBorders>
          </w:tcPr>
          <w:p>
            <w:pPr>
              <w:spacing w:after="0"/>
              <w:rPr>
                <w:rFonts w:ascii="Arial" w:cs="Arial" w:eastAsia="Arial" w:hAnsi="Arial"/>
                <w:sz w:val="18"/>
                <w:szCs w:val="18"/>
                <w:i w:val="1"/>
                <w:iCs w:val="1"/>
                <w:color w:val="0000FF"/>
                <w:w w:val="90"/>
              </w:rPr>
            </w:pPr>
            <w:hyperlink w:anchor="page113">
              <w:r>
                <w:rPr>
                  <w:rFonts w:ascii="Arial" w:cs="Arial" w:eastAsia="Arial" w:hAnsi="Arial"/>
                  <w:sz w:val="18"/>
                  <w:szCs w:val="18"/>
                  <w:i w:val="1"/>
                  <w:iCs w:val="1"/>
                  <w:color w:val="0000FF"/>
                  <w:w w:val="90"/>
                </w:rPr>
                <w:t>Furnished with this report.</w:t>
              </w:r>
            </w:hyperlink>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900" w:type="dxa"/>
            <w:vAlign w:val="bottom"/>
          </w:tcPr>
          <w:p>
            <w:pPr>
              <w:ind w:left="20"/>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1"/>
                <w:szCs w:val="21"/>
                <w:color w:val="auto"/>
              </w:rPr>
            </w:pP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The following financial statements from Marriott</w:t>
            </w:r>
          </w:p>
        </w:tc>
        <w:tc>
          <w:tcPr>
            <w:tcW w:w="4420" w:type="dxa"/>
            <w:vAlign w:val="bottom"/>
            <w:gridSpan w:val="2"/>
          </w:tcPr>
          <w:p>
            <w:pPr>
              <w:spacing w:after="0"/>
              <w:rPr>
                <w:sz w:val="20"/>
                <w:szCs w:val="20"/>
                <w:color w:val="auto"/>
              </w:rPr>
            </w:pPr>
            <w:r>
              <w:rPr>
                <w:rFonts w:ascii="Arial" w:cs="Arial" w:eastAsia="Arial" w:hAnsi="Arial"/>
                <w:sz w:val="18"/>
                <w:szCs w:val="18"/>
                <w:i w:val="1"/>
                <w:iCs w:val="1"/>
                <w:color w:val="auto"/>
              </w:rPr>
              <w:t>Submitted electronically with this report.</w:t>
            </w: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520" w:type="dxa"/>
            <w:vAlign w:val="bottom"/>
            <w:gridSpan w:val="2"/>
          </w:tcPr>
          <w:p>
            <w:pPr>
              <w:ind w:left="20"/>
              <w:spacing w:after="0" w:line="171" w:lineRule="exact"/>
              <w:rPr>
                <w:sz w:val="20"/>
                <w:szCs w:val="20"/>
                <w:color w:val="auto"/>
              </w:rPr>
            </w:pPr>
            <w:r>
              <w:rPr>
                <w:rFonts w:ascii="Arial" w:cs="Arial" w:eastAsia="Arial" w:hAnsi="Arial"/>
                <w:sz w:val="18"/>
                <w:szCs w:val="18"/>
                <w:color w:val="auto"/>
                <w:w w:val="92"/>
              </w:rPr>
              <w:t>International, Inc.’s Annual Report on Form 10-K for the year</w:t>
            </w:r>
          </w:p>
        </w:tc>
        <w:tc>
          <w:tcPr>
            <w:tcW w:w="19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520" w:type="dxa"/>
            <w:vAlign w:val="bottom"/>
            <w:gridSpan w:val="2"/>
          </w:tcPr>
          <w:p>
            <w:pPr>
              <w:ind w:left="20"/>
              <w:spacing w:after="0" w:line="171" w:lineRule="exact"/>
              <w:rPr>
                <w:sz w:val="20"/>
                <w:szCs w:val="20"/>
                <w:color w:val="auto"/>
              </w:rPr>
            </w:pPr>
            <w:r>
              <w:rPr>
                <w:rFonts w:ascii="Arial" w:cs="Arial" w:eastAsia="Arial" w:hAnsi="Arial"/>
                <w:sz w:val="18"/>
                <w:szCs w:val="18"/>
                <w:color w:val="auto"/>
              </w:rPr>
              <w:t>ended December 31, 2020, formatted in Inline XBRL</w:t>
            </w:r>
          </w:p>
        </w:tc>
        <w:tc>
          <w:tcPr>
            <w:tcW w:w="19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520" w:type="dxa"/>
            <w:vAlign w:val="bottom"/>
            <w:gridSpan w:val="2"/>
          </w:tcPr>
          <w:p>
            <w:pPr>
              <w:ind w:left="20"/>
              <w:spacing w:after="0" w:line="171" w:lineRule="exact"/>
              <w:rPr>
                <w:sz w:val="20"/>
                <w:szCs w:val="20"/>
                <w:color w:val="auto"/>
              </w:rPr>
            </w:pPr>
            <w:r>
              <w:rPr>
                <w:rFonts w:ascii="Arial" w:cs="Arial" w:eastAsia="Arial" w:hAnsi="Arial"/>
                <w:sz w:val="18"/>
                <w:szCs w:val="18"/>
                <w:color w:val="auto"/>
              </w:rPr>
              <w:t>(Extensible Business Reporting Language): (i) the</w:t>
            </w:r>
          </w:p>
        </w:tc>
        <w:tc>
          <w:tcPr>
            <w:tcW w:w="19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520" w:type="dxa"/>
            <w:vAlign w:val="bottom"/>
            <w:gridSpan w:val="2"/>
          </w:tcPr>
          <w:p>
            <w:pPr>
              <w:ind w:left="20"/>
              <w:spacing w:after="0" w:line="171" w:lineRule="exact"/>
              <w:rPr>
                <w:sz w:val="20"/>
                <w:szCs w:val="20"/>
                <w:color w:val="auto"/>
              </w:rPr>
            </w:pPr>
            <w:r>
              <w:rPr>
                <w:rFonts w:ascii="Arial" w:cs="Arial" w:eastAsia="Arial" w:hAnsi="Arial"/>
                <w:sz w:val="18"/>
                <w:szCs w:val="18"/>
                <w:color w:val="auto"/>
                <w:w w:val="91"/>
              </w:rPr>
              <w:t>Consolidated Statements of (Loss) Income for the year ended</w:t>
            </w:r>
          </w:p>
        </w:tc>
        <w:tc>
          <w:tcPr>
            <w:tcW w:w="19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520" w:type="dxa"/>
            <w:vAlign w:val="bottom"/>
            <w:gridSpan w:val="2"/>
          </w:tcPr>
          <w:p>
            <w:pPr>
              <w:ind w:left="20"/>
              <w:spacing w:after="0" w:line="171" w:lineRule="exact"/>
              <w:rPr>
                <w:sz w:val="20"/>
                <w:szCs w:val="20"/>
                <w:color w:val="auto"/>
              </w:rPr>
            </w:pPr>
            <w:r>
              <w:rPr>
                <w:rFonts w:ascii="Arial" w:cs="Arial" w:eastAsia="Arial" w:hAnsi="Arial"/>
                <w:sz w:val="18"/>
                <w:szCs w:val="18"/>
                <w:color w:val="auto"/>
                <w:w w:val="92"/>
              </w:rPr>
              <w:t>December 31, 2020, December 31, 2019, and December 31,</w:t>
            </w:r>
          </w:p>
        </w:tc>
        <w:tc>
          <w:tcPr>
            <w:tcW w:w="19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520" w:type="dxa"/>
            <w:vAlign w:val="bottom"/>
            <w:gridSpan w:val="2"/>
          </w:tcPr>
          <w:p>
            <w:pPr>
              <w:ind w:left="20"/>
              <w:spacing w:after="0" w:line="171" w:lineRule="exact"/>
              <w:rPr>
                <w:sz w:val="20"/>
                <w:szCs w:val="20"/>
                <w:color w:val="auto"/>
              </w:rPr>
            </w:pPr>
            <w:r>
              <w:rPr>
                <w:rFonts w:ascii="Arial" w:cs="Arial" w:eastAsia="Arial" w:hAnsi="Arial"/>
                <w:sz w:val="18"/>
                <w:szCs w:val="18"/>
                <w:color w:val="auto"/>
                <w:w w:val="93"/>
              </w:rPr>
              <w:t>2018; (ii) the Consolidated Balance Sheets at December 31,</w:t>
            </w:r>
          </w:p>
        </w:tc>
        <w:tc>
          <w:tcPr>
            <w:tcW w:w="19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520" w:type="dxa"/>
            <w:vAlign w:val="bottom"/>
            <w:gridSpan w:val="2"/>
          </w:tcPr>
          <w:p>
            <w:pPr>
              <w:ind w:left="20"/>
              <w:spacing w:after="0" w:line="171" w:lineRule="exact"/>
              <w:rPr>
                <w:sz w:val="20"/>
                <w:szCs w:val="20"/>
                <w:color w:val="auto"/>
              </w:rPr>
            </w:pPr>
            <w:r>
              <w:rPr>
                <w:rFonts w:ascii="Arial" w:cs="Arial" w:eastAsia="Arial" w:hAnsi="Arial"/>
                <w:sz w:val="18"/>
                <w:szCs w:val="18"/>
                <w:color w:val="auto"/>
              </w:rPr>
              <w:t>2020, and December 31, 2019; (iii) the Consolidated</w:t>
            </w:r>
          </w:p>
        </w:tc>
        <w:tc>
          <w:tcPr>
            <w:tcW w:w="19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520" w:type="dxa"/>
            <w:vAlign w:val="bottom"/>
            <w:gridSpan w:val="2"/>
          </w:tcPr>
          <w:p>
            <w:pPr>
              <w:ind w:left="20"/>
              <w:spacing w:after="0" w:line="171" w:lineRule="exact"/>
              <w:rPr>
                <w:sz w:val="20"/>
                <w:szCs w:val="20"/>
                <w:color w:val="auto"/>
              </w:rPr>
            </w:pPr>
            <w:r>
              <w:rPr>
                <w:rFonts w:ascii="Arial" w:cs="Arial" w:eastAsia="Arial" w:hAnsi="Arial"/>
                <w:sz w:val="18"/>
                <w:szCs w:val="18"/>
                <w:color w:val="auto"/>
                <w:w w:val="93"/>
              </w:rPr>
              <w:t>Statements of Cash Flows for the year ended December 31,</w:t>
            </w:r>
          </w:p>
        </w:tc>
        <w:tc>
          <w:tcPr>
            <w:tcW w:w="19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520" w:type="dxa"/>
            <w:vAlign w:val="bottom"/>
            <w:gridSpan w:val="2"/>
          </w:tcPr>
          <w:p>
            <w:pPr>
              <w:ind w:left="20"/>
              <w:spacing w:after="0" w:line="171" w:lineRule="exact"/>
              <w:rPr>
                <w:sz w:val="20"/>
                <w:szCs w:val="20"/>
                <w:color w:val="auto"/>
              </w:rPr>
            </w:pPr>
            <w:r>
              <w:rPr>
                <w:rFonts w:ascii="Arial" w:cs="Arial" w:eastAsia="Arial" w:hAnsi="Arial"/>
                <w:sz w:val="18"/>
                <w:szCs w:val="18"/>
                <w:color w:val="auto"/>
                <w:w w:val="94"/>
              </w:rPr>
              <w:t>2020, December 31, 2019, and December 31, 2018; (iv) the</w:t>
            </w:r>
          </w:p>
        </w:tc>
        <w:tc>
          <w:tcPr>
            <w:tcW w:w="19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520" w:type="dxa"/>
            <w:vAlign w:val="bottom"/>
            <w:gridSpan w:val="2"/>
          </w:tcPr>
          <w:p>
            <w:pPr>
              <w:ind w:left="20"/>
              <w:spacing w:after="0" w:line="171" w:lineRule="exact"/>
              <w:rPr>
                <w:sz w:val="20"/>
                <w:szCs w:val="20"/>
                <w:color w:val="auto"/>
              </w:rPr>
            </w:pPr>
            <w:r>
              <w:rPr>
                <w:rFonts w:ascii="Arial" w:cs="Arial" w:eastAsia="Arial" w:hAnsi="Arial"/>
                <w:sz w:val="18"/>
                <w:szCs w:val="18"/>
                <w:color w:val="auto"/>
                <w:w w:val="95"/>
              </w:rPr>
              <w:t>Consolidated Statements of Comprehensive (Loss) Income</w:t>
            </w:r>
          </w:p>
        </w:tc>
        <w:tc>
          <w:tcPr>
            <w:tcW w:w="19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520" w:type="dxa"/>
            <w:vAlign w:val="bottom"/>
            <w:gridSpan w:val="2"/>
          </w:tcPr>
          <w:p>
            <w:pPr>
              <w:ind w:left="20"/>
              <w:spacing w:after="0" w:line="171" w:lineRule="exact"/>
              <w:rPr>
                <w:sz w:val="20"/>
                <w:szCs w:val="20"/>
                <w:color w:val="auto"/>
              </w:rPr>
            </w:pPr>
            <w:r>
              <w:rPr>
                <w:rFonts w:ascii="Arial" w:cs="Arial" w:eastAsia="Arial" w:hAnsi="Arial"/>
                <w:sz w:val="18"/>
                <w:szCs w:val="18"/>
                <w:color w:val="auto"/>
                <w:w w:val="92"/>
              </w:rPr>
              <w:t>for the year ended December 31, 2020, December 31, 2019,</w:t>
            </w:r>
          </w:p>
        </w:tc>
        <w:tc>
          <w:tcPr>
            <w:tcW w:w="19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520" w:type="dxa"/>
            <w:vAlign w:val="bottom"/>
            <w:gridSpan w:val="2"/>
          </w:tcPr>
          <w:p>
            <w:pPr>
              <w:ind w:left="20"/>
              <w:spacing w:after="0" w:line="171" w:lineRule="exact"/>
              <w:rPr>
                <w:sz w:val="20"/>
                <w:szCs w:val="20"/>
                <w:color w:val="auto"/>
              </w:rPr>
            </w:pPr>
            <w:r>
              <w:rPr>
                <w:rFonts w:ascii="Arial" w:cs="Arial" w:eastAsia="Arial" w:hAnsi="Arial"/>
                <w:sz w:val="18"/>
                <w:szCs w:val="18"/>
                <w:color w:val="auto"/>
                <w:w w:val="93"/>
              </w:rPr>
              <w:t>and December 31, 2018; (v) the Consolidated Statements of</w:t>
            </w:r>
          </w:p>
        </w:tc>
        <w:tc>
          <w:tcPr>
            <w:tcW w:w="19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520" w:type="dxa"/>
            <w:vAlign w:val="bottom"/>
            <w:gridSpan w:val="2"/>
          </w:tcPr>
          <w:p>
            <w:pPr>
              <w:ind w:left="20"/>
              <w:spacing w:after="0" w:line="171" w:lineRule="exact"/>
              <w:rPr>
                <w:sz w:val="20"/>
                <w:szCs w:val="20"/>
                <w:color w:val="auto"/>
              </w:rPr>
            </w:pPr>
            <w:r>
              <w:rPr>
                <w:rFonts w:ascii="Arial" w:cs="Arial" w:eastAsia="Arial" w:hAnsi="Arial"/>
                <w:sz w:val="18"/>
                <w:szCs w:val="18"/>
                <w:color w:val="auto"/>
                <w:w w:val="92"/>
              </w:rPr>
              <w:t>Stockholders’ Equity for the year ended December 31, 2020,</w:t>
            </w:r>
          </w:p>
        </w:tc>
        <w:tc>
          <w:tcPr>
            <w:tcW w:w="19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520" w:type="dxa"/>
            <w:vAlign w:val="bottom"/>
            <w:gridSpan w:val="2"/>
          </w:tcPr>
          <w:p>
            <w:pPr>
              <w:ind w:left="20"/>
              <w:spacing w:after="0" w:line="171" w:lineRule="exact"/>
              <w:rPr>
                <w:sz w:val="20"/>
                <w:szCs w:val="20"/>
                <w:color w:val="auto"/>
              </w:rPr>
            </w:pPr>
            <w:r>
              <w:rPr>
                <w:rFonts w:ascii="Arial" w:cs="Arial" w:eastAsia="Arial" w:hAnsi="Arial"/>
                <w:sz w:val="18"/>
                <w:szCs w:val="18"/>
                <w:color w:val="auto"/>
                <w:w w:val="92"/>
              </w:rPr>
              <w:t>December 31, 2019, and December 31, 2018; and (vi) Notes</w:t>
            </w:r>
          </w:p>
        </w:tc>
        <w:tc>
          <w:tcPr>
            <w:tcW w:w="19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to Consolidated Financial Statements.</w:t>
            </w:r>
          </w:p>
        </w:tc>
        <w:tc>
          <w:tcPr>
            <w:tcW w:w="19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XBRL Instance Document.</w:t>
            </w:r>
          </w:p>
        </w:tc>
        <w:tc>
          <w:tcPr>
            <w:tcW w:w="4420" w:type="dxa"/>
            <w:vAlign w:val="bottom"/>
            <w:gridSpan w:val="2"/>
          </w:tcPr>
          <w:p>
            <w:pPr>
              <w:spacing w:after="0"/>
              <w:rPr>
                <w:sz w:val="20"/>
                <w:szCs w:val="20"/>
                <w:color w:val="auto"/>
              </w:rPr>
            </w:pPr>
            <w:r>
              <w:rPr>
                <w:rFonts w:ascii="Arial" w:cs="Arial" w:eastAsia="Arial" w:hAnsi="Arial"/>
                <w:sz w:val="18"/>
                <w:szCs w:val="18"/>
                <w:i w:val="1"/>
                <w:iCs w:val="1"/>
                <w:color w:val="auto"/>
              </w:rPr>
              <w:t>Submitted electronically with this report.</w:t>
            </w:r>
          </w:p>
        </w:tc>
        <w:tc>
          <w:tcPr>
            <w:tcW w:w="0" w:type="dxa"/>
            <w:vAlign w:val="bottom"/>
          </w:tcPr>
          <w:p>
            <w:pPr>
              <w:spacing w:after="0"/>
              <w:rPr>
                <w:sz w:val="1"/>
                <w:szCs w:val="1"/>
                <w:color w:val="auto"/>
              </w:rPr>
            </w:pPr>
          </w:p>
        </w:tc>
      </w:tr>
      <w:tr>
        <w:trPr>
          <w:trHeight w:val="276"/>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4420" w:type="dxa"/>
            <w:vAlign w:val="bottom"/>
            <w:gridSpan w:val="2"/>
          </w:tcPr>
          <w:p>
            <w:pPr>
              <w:spacing w:after="0"/>
              <w:rPr>
                <w:sz w:val="20"/>
                <w:szCs w:val="20"/>
                <w:color w:val="auto"/>
              </w:rPr>
            </w:pPr>
            <w:r>
              <w:rPr>
                <w:rFonts w:ascii="Arial" w:cs="Arial" w:eastAsia="Arial" w:hAnsi="Arial"/>
                <w:sz w:val="18"/>
                <w:szCs w:val="18"/>
                <w:i w:val="1"/>
                <w:iCs w:val="1"/>
                <w:color w:val="auto"/>
              </w:rPr>
              <w:t>Submitted electronically with this report.</w:t>
            </w:r>
          </w:p>
        </w:tc>
        <w:tc>
          <w:tcPr>
            <w:tcW w:w="0" w:type="dxa"/>
            <w:vAlign w:val="bottom"/>
          </w:tcPr>
          <w:p>
            <w:pPr>
              <w:spacing w:after="0"/>
              <w:rPr>
                <w:sz w:val="1"/>
                <w:szCs w:val="1"/>
                <w:color w:val="auto"/>
              </w:rPr>
            </w:pPr>
          </w:p>
        </w:tc>
      </w:tr>
      <w:tr>
        <w:trPr>
          <w:trHeight w:val="276"/>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XBRL Taxonomy Calculation Linkbase Document.</w:t>
            </w:r>
          </w:p>
        </w:tc>
        <w:tc>
          <w:tcPr>
            <w:tcW w:w="4420" w:type="dxa"/>
            <w:vAlign w:val="bottom"/>
            <w:gridSpan w:val="2"/>
          </w:tcPr>
          <w:p>
            <w:pPr>
              <w:spacing w:after="0"/>
              <w:rPr>
                <w:sz w:val="20"/>
                <w:szCs w:val="20"/>
                <w:color w:val="auto"/>
              </w:rPr>
            </w:pPr>
            <w:r>
              <w:rPr>
                <w:rFonts w:ascii="Arial" w:cs="Arial" w:eastAsia="Arial" w:hAnsi="Arial"/>
                <w:sz w:val="18"/>
                <w:szCs w:val="18"/>
                <w:i w:val="1"/>
                <w:iCs w:val="1"/>
                <w:color w:val="auto"/>
              </w:rPr>
              <w:t>Submitted electronically with this report.</w:t>
            </w:r>
          </w:p>
        </w:tc>
        <w:tc>
          <w:tcPr>
            <w:tcW w:w="0" w:type="dxa"/>
            <w:vAlign w:val="bottom"/>
          </w:tcPr>
          <w:p>
            <w:pPr>
              <w:spacing w:after="0"/>
              <w:rPr>
                <w:sz w:val="1"/>
                <w:szCs w:val="1"/>
                <w:color w:val="auto"/>
              </w:rPr>
            </w:pPr>
          </w:p>
        </w:tc>
      </w:tr>
      <w:tr>
        <w:trPr>
          <w:trHeight w:val="276"/>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w:t>
            </w:r>
          </w:p>
        </w:tc>
        <w:tc>
          <w:tcPr>
            <w:tcW w:w="4420" w:type="dxa"/>
            <w:vAlign w:val="bottom"/>
            <w:gridSpan w:val="2"/>
          </w:tcPr>
          <w:p>
            <w:pPr>
              <w:spacing w:after="0"/>
              <w:rPr>
                <w:sz w:val="20"/>
                <w:szCs w:val="20"/>
                <w:color w:val="auto"/>
              </w:rPr>
            </w:pPr>
            <w:r>
              <w:rPr>
                <w:rFonts w:ascii="Arial" w:cs="Arial" w:eastAsia="Arial" w:hAnsi="Arial"/>
                <w:sz w:val="18"/>
                <w:szCs w:val="18"/>
                <w:i w:val="1"/>
                <w:iCs w:val="1"/>
                <w:color w:val="auto"/>
              </w:rPr>
              <w:t>Submitted electronically with this report.</w:t>
            </w:r>
          </w:p>
        </w:tc>
        <w:tc>
          <w:tcPr>
            <w:tcW w:w="0" w:type="dxa"/>
            <w:vAlign w:val="bottom"/>
          </w:tcPr>
          <w:p>
            <w:pPr>
              <w:spacing w:after="0"/>
              <w:rPr>
                <w:sz w:val="1"/>
                <w:szCs w:val="1"/>
                <w:color w:val="auto"/>
              </w:rPr>
            </w:pPr>
          </w:p>
        </w:tc>
      </w:tr>
      <w:tr>
        <w:trPr>
          <w:trHeight w:val="276"/>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XBRL Taxonomy Label Linkbase Document.</w:t>
            </w:r>
          </w:p>
        </w:tc>
        <w:tc>
          <w:tcPr>
            <w:tcW w:w="4420" w:type="dxa"/>
            <w:vAlign w:val="bottom"/>
            <w:gridSpan w:val="2"/>
          </w:tcPr>
          <w:p>
            <w:pPr>
              <w:spacing w:after="0"/>
              <w:rPr>
                <w:sz w:val="20"/>
                <w:szCs w:val="20"/>
                <w:color w:val="auto"/>
              </w:rPr>
            </w:pPr>
            <w:r>
              <w:rPr>
                <w:rFonts w:ascii="Arial" w:cs="Arial" w:eastAsia="Arial" w:hAnsi="Arial"/>
                <w:sz w:val="18"/>
                <w:szCs w:val="18"/>
                <w:i w:val="1"/>
                <w:iCs w:val="1"/>
                <w:color w:val="auto"/>
              </w:rPr>
              <w:t>Submitted electronically with this report.</w:t>
            </w:r>
          </w:p>
        </w:tc>
        <w:tc>
          <w:tcPr>
            <w:tcW w:w="0" w:type="dxa"/>
            <w:vAlign w:val="bottom"/>
          </w:tcPr>
          <w:p>
            <w:pPr>
              <w:spacing w:after="0"/>
              <w:rPr>
                <w:sz w:val="1"/>
                <w:szCs w:val="1"/>
                <w:color w:val="auto"/>
              </w:rPr>
            </w:pPr>
          </w:p>
        </w:tc>
      </w:tr>
      <w:tr>
        <w:trPr>
          <w:trHeight w:val="276"/>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XBRL Taxonomy Presentation Linkbase Document.</w:t>
            </w:r>
          </w:p>
        </w:tc>
        <w:tc>
          <w:tcPr>
            <w:tcW w:w="4420" w:type="dxa"/>
            <w:vAlign w:val="bottom"/>
            <w:gridSpan w:val="2"/>
          </w:tcPr>
          <w:p>
            <w:pPr>
              <w:spacing w:after="0"/>
              <w:rPr>
                <w:sz w:val="20"/>
                <w:szCs w:val="20"/>
                <w:color w:val="auto"/>
              </w:rPr>
            </w:pPr>
            <w:r>
              <w:rPr>
                <w:rFonts w:ascii="Arial" w:cs="Arial" w:eastAsia="Arial" w:hAnsi="Arial"/>
                <w:sz w:val="18"/>
                <w:szCs w:val="18"/>
                <w:i w:val="1"/>
                <w:iCs w:val="1"/>
                <w:color w:val="auto"/>
              </w:rPr>
              <w:t>Submitted electronically with this report.</w:t>
            </w:r>
          </w:p>
        </w:tc>
        <w:tc>
          <w:tcPr>
            <w:tcW w:w="0" w:type="dxa"/>
            <w:vAlign w:val="bottom"/>
          </w:tcPr>
          <w:p>
            <w:pPr>
              <w:spacing w:after="0"/>
              <w:rPr>
                <w:sz w:val="1"/>
                <w:szCs w:val="1"/>
                <w:color w:val="auto"/>
              </w:rPr>
            </w:pPr>
          </w:p>
        </w:tc>
      </w:tr>
      <w:tr>
        <w:trPr>
          <w:trHeight w:val="225"/>
        </w:trPr>
        <w:tc>
          <w:tcPr>
            <w:tcW w:w="900" w:type="dxa"/>
            <w:vAlign w:val="bottom"/>
          </w:tcPr>
          <w:p>
            <w:pPr>
              <w:ind w:left="2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9"/>
                <w:szCs w:val="19"/>
                <w:color w:val="auto"/>
              </w:rPr>
            </w:pPr>
          </w:p>
        </w:tc>
        <w:tc>
          <w:tcPr>
            <w:tcW w:w="4520" w:type="dxa"/>
            <w:vAlign w:val="bottom"/>
            <w:gridSpan w:val="2"/>
          </w:tcPr>
          <w:p>
            <w:pPr>
              <w:ind w:left="20"/>
              <w:spacing w:after="0"/>
              <w:rPr>
                <w:sz w:val="20"/>
                <w:szCs w:val="20"/>
                <w:color w:val="auto"/>
              </w:rPr>
            </w:pPr>
            <w:r>
              <w:rPr>
                <w:rFonts w:ascii="Arial" w:cs="Arial" w:eastAsia="Arial" w:hAnsi="Arial"/>
                <w:sz w:val="18"/>
                <w:szCs w:val="18"/>
                <w:color w:val="auto"/>
                <w:w w:val="99"/>
              </w:rPr>
              <w:t>The cover page from Marriott International, Inc.’s Annual</w:t>
            </w:r>
          </w:p>
        </w:tc>
        <w:tc>
          <w:tcPr>
            <w:tcW w:w="4420" w:type="dxa"/>
            <w:vAlign w:val="bottom"/>
            <w:gridSpan w:val="2"/>
          </w:tcPr>
          <w:p>
            <w:pPr>
              <w:spacing w:after="0"/>
              <w:rPr>
                <w:sz w:val="20"/>
                <w:szCs w:val="20"/>
                <w:color w:val="auto"/>
              </w:rPr>
            </w:pPr>
            <w:r>
              <w:rPr>
                <w:rFonts w:ascii="Arial" w:cs="Arial" w:eastAsia="Arial" w:hAnsi="Arial"/>
                <w:sz w:val="18"/>
                <w:szCs w:val="18"/>
                <w:i w:val="1"/>
                <w:iCs w:val="1"/>
                <w:color w:val="auto"/>
              </w:rPr>
              <w:t>Submitted electronically with this report.</w:t>
            </w: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520" w:type="dxa"/>
            <w:vAlign w:val="bottom"/>
            <w:gridSpan w:val="2"/>
          </w:tcPr>
          <w:p>
            <w:pPr>
              <w:ind w:left="20"/>
              <w:spacing w:after="0" w:line="171" w:lineRule="exact"/>
              <w:rPr>
                <w:sz w:val="20"/>
                <w:szCs w:val="20"/>
                <w:color w:val="auto"/>
              </w:rPr>
            </w:pPr>
            <w:r>
              <w:rPr>
                <w:rFonts w:ascii="Arial" w:cs="Arial" w:eastAsia="Arial" w:hAnsi="Arial"/>
                <w:sz w:val="18"/>
                <w:szCs w:val="18"/>
                <w:color w:val="auto"/>
                <w:w w:val="98"/>
              </w:rPr>
              <w:t>Report on Form 10-K/A for the year ended December 31,</w:t>
            </w:r>
          </w:p>
        </w:tc>
        <w:tc>
          <w:tcPr>
            <w:tcW w:w="19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520" w:type="dxa"/>
            <w:vAlign w:val="bottom"/>
            <w:gridSpan w:val="2"/>
          </w:tcPr>
          <w:p>
            <w:pPr>
              <w:ind w:left="20"/>
              <w:spacing w:after="0"/>
              <w:rPr>
                <w:sz w:val="20"/>
                <w:szCs w:val="20"/>
                <w:color w:val="auto"/>
              </w:rPr>
            </w:pPr>
            <w:r>
              <w:rPr>
                <w:rFonts w:ascii="Arial" w:cs="Arial" w:eastAsia="Arial" w:hAnsi="Arial"/>
                <w:sz w:val="18"/>
                <w:szCs w:val="18"/>
                <w:color w:val="auto"/>
                <w:w w:val="99"/>
              </w:rPr>
              <w:t>2020, formatted in Inline XBRL (included as Exhibit 101).</w:t>
            </w:r>
          </w:p>
        </w:tc>
        <w:tc>
          <w:tcPr>
            <w:tcW w:w="19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20" w:hanging="315"/>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Denotes management contract or compensatory plan.</w:t>
      </w:r>
    </w:p>
    <w:p>
      <w:pPr>
        <w:spacing w:after="0" w:line="56" w:lineRule="exact"/>
        <w:rPr>
          <w:sz w:val="20"/>
          <w:szCs w:val="20"/>
          <w:color w:val="auto"/>
        </w:rPr>
      </w:pPr>
    </w:p>
    <w:p>
      <w:pPr>
        <w:ind w:left="400" w:hanging="395"/>
        <w:spacing w:after="0" w:line="324" w:lineRule="auto"/>
        <w:tabs>
          <w:tab w:leader="none" w:pos="268" w:val="left"/>
        </w:tabs>
        <w:numPr>
          <w:ilvl w:val="0"/>
          <w:numId w:val="30"/>
        </w:numPr>
        <w:rPr>
          <w:rFonts w:ascii="Arial" w:cs="Arial" w:eastAsia="Arial" w:hAnsi="Arial"/>
          <w:sz w:val="16"/>
          <w:szCs w:val="16"/>
          <w:color w:val="auto"/>
        </w:rPr>
      </w:pPr>
      <w:r>
        <w:rPr>
          <w:rFonts w:ascii="Arial" w:cs="Arial" w:eastAsia="Arial" w:hAnsi="Arial"/>
          <w:sz w:val="16"/>
          <w:szCs w:val="16"/>
          <w:color w:val="auto"/>
        </w:rPr>
        <w:t>Portions of this exhibit were redacted pursuant to a confidential treatment request filed with the Securities and Exchange Commission pursuant to Rule 24b-2 under the Exchange Act. The redacted portions of this exhibit have been filed with the Securities and Exchange Commission.</w:t>
      </w:r>
    </w:p>
    <w:p>
      <w:pPr>
        <w:spacing w:after="0" w:line="1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67" w:lineRule="exact"/>
        <w:rPr>
          <w:sz w:val="20"/>
          <w:szCs w:val="20"/>
          <w:color w:val="auto"/>
        </w:rPr>
      </w:pPr>
    </w:p>
    <w:p>
      <w:pPr>
        <w:ind w:right="340" w:firstLine="434"/>
        <w:spacing w:after="0" w:line="261" w:lineRule="auto"/>
        <w:rPr>
          <w:sz w:val="20"/>
          <w:szCs w:val="20"/>
          <w:color w:val="auto"/>
        </w:rPr>
      </w:pPr>
      <w:r>
        <w:rPr>
          <w:rFonts w:ascii="Arial" w:cs="Arial" w:eastAsia="Arial" w:hAnsi="Arial"/>
          <w:sz w:val="18"/>
          <w:szCs w:val="18"/>
          <w:color w:val="auto"/>
        </w:rPr>
        <w:t>Pursuant to the requirements of Section 13 or 15(d) of the Exchange Act, we have duly caused this Form 10-K/A to be signed on our behalf by the undersigned, thereunto duly authorized, on this 2nd day of April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INC.</w:t>
      </w:r>
    </w:p>
    <w:p>
      <w:pPr>
        <w:spacing w:after="0" w:line="43"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/s/Anthony G. Capuano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10160</wp:posOffset>
            </wp:positionV>
            <wp:extent cx="326707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4">
                      <a:extLst>
                        <a:ext uri="{28A0092B-C50C-407E-A947-70E740481C1C}"/>
                      </a:extLst>
                    </a:blip>
                    <a:srcRect/>
                    <a:stretch>
                      <a:fillRect/>
                    </a:stretch>
                  </pic:blipFill>
                  <pic:spPr bwMode="auto">
                    <a:xfrm>
                      <a:off x="0" y="0"/>
                      <a:ext cx="3267075" cy="8255"/>
                    </a:xfrm>
                    <a:prstGeom prst="rect">
                      <a:avLst/>
                    </a:prstGeom>
                    <a:noFill/>
                  </pic:spPr>
                </pic:pic>
              </a:graphicData>
            </a:graphic>
          </wp:anchor>
        </w:drawing>
      </w:r>
    </w:p>
    <w:p>
      <w:pPr>
        <w:spacing w:after="0" w:line="1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Anthony G. Capuano</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Executive Officer</w:t>
      </w:r>
    </w:p>
    <w:p>
      <w:pPr>
        <w:spacing w:after="0" w:line="161" w:lineRule="exact"/>
        <w:rPr>
          <w:sz w:val="20"/>
          <w:szCs w:val="20"/>
          <w:color w:val="auto"/>
        </w:rPr>
      </w:pPr>
    </w:p>
    <w:p>
      <w:pPr>
        <w:ind w:firstLine="434"/>
        <w:spacing w:after="0" w:line="261" w:lineRule="auto"/>
        <w:rPr>
          <w:sz w:val="20"/>
          <w:szCs w:val="20"/>
          <w:color w:val="auto"/>
        </w:rPr>
      </w:pPr>
      <w:r>
        <w:rPr>
          <w:rFonts w:ascii="Arial" w:cs="Arial" w:eastAsia="Arial" w:hAnsi="Arial"/>
          <w:sz w:val="18"/>
          <w:szCs w:val="18"/>
          <w:color w:val="auto"/>
        </w:rPr>
        <w:t>Pursuant to the requirements of the Exchange Act, this Form 10-K/A has been signed by the following persons on our behalf in the capacities indicated and on the date indicated above.</w:t>
      </w:r>
    </w:p>
    <w:p>
      <w:pPr>
        <w:sectPr>
          <w:pgSz w:w="11900" w:h="16838" w:orient="portrait"/>
          <w:cols w:equalWidth="0" w:num="1">
            <w:col w:w="11060"/>
          </w:cols>
          <w:pgMar w:left="320" w:top="127" w:right="519" w:bottom="1440" w:gutter="0" w:footer="0" w:header="0"/>
        </w:sectPr>
      </w:pP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40" w:lineRule="exact"/>
        <w:rPr>
          <w:sz w:val="20"/>
          <w:szCs w:val="20"/>
          <w:color w:val="auto"/>
        </w:rPr>
      </w:pPr>
    </w:p>
    <w:p>
      <w:pPr>
        <w:jc w:val="center"/>
        <w:ind w:left="360"/>
        <w:spacing w:after="0"/>
        <w:rPr>
          <w:sz w:val="20"/>
          <w:szCs w:val="20"/>
          <w:color w:val="auto"/>
        </w:rPr>
      </w:pPr>
      <w:r>
        <w:rPr>
          <w:rFonts w:ascii="Arial" w:cs="Arial" w:eastAsia="Arial" w:hAnsi="Arial"/>
          <w:sz w:val="15"/>
          <w:szCs w:val="15"/>
          <w:color w:val="auto"/>
        </w:rPr>
        <w:t>/s/Anthony G. Capuano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34340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5">
                      <a:extLst>
                        <a:ext uri="{28A0092B-C50C-407E-A947-70E740481C1C}"/>
                      </a:extLst>
                    </a:blip>
                    <a:srcRect/>
                    <a:stretch>
                      <a:fillRect/>
                    </a:stretch>
                  </pic:blipFill>
                  <pic:spPr bwMode="auto">
                    <a:xfrm>
                      <a:off x="0" y="0"/>
                      <a:ext cx="3434080" cy="8255"/>
                    </a:xfrm>
                    <a:prstGeom prst="rect">
                      <a:avLst/>
                    </a:prstGeom>
                    <a:noFill/>
                  </pic:spPr>
                </pic:pic>
              </a:graphicData>
            </a:graphic>
          </wp:anchor>
        </w:drawing>
      </w:r>
    </w:p>
    <w:p>
      <w:pPr>
        <w:spacing w:after="0" w:line="58"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Anthony G. Capuano</w:t>
      </w:r>
    </w:p>
    <w:p>
      <w:pPr>
        <w:spacing w:after="0" w:line="3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80"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/s/Kathleen K. 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41275</wp:posOffset>
            </wp:positionV>
            <wp:extent cx="34340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6">
                      <a:extLst>
                        <a:ext uri="{28A0092B-C50C-407E-A947-70E740481C1C}"/>
                      </a:extLst>
                    </a:blip>
                    <a:srcRect/>
                    <a:stretch>
                      <a:fillRect/>
                    </a:stretch>
                  </pic:blipFill>
                  <pic:spPr bwMode="auto">
                    <a:xfrm>
                      <a:off x="0" y="0"/>
                      <a:ext cx="3434080" cy="8255"/>
                    </a:xfrm>
                    <a:prstGeom prst="rect">
                      <a:avLst/>
                    </a:prstGeom>
                    <a:noFill/>
                  </pic:spPr>
                </pic:pic>
              </a:graphicData>
            </a:graphic>
          </wp:anchor>
        </w:drawing>
      </w:r>
    </w:p>
    <w:p>
      <w:pPr>
        <w:spacing w:after="0" w:line="59"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Kathleen K. Oberg</w:t>
      </w: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ACCOUNTING OFFICER:</w:t>
      </w:r>
    </w:p>
    <w:p>
      <w:pPr>
        <w:spacing w:after="0" w:line="280"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/s/Felitia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34340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7">
                      <a:extLst>
                        <a:ext uri="{28A0092B-C50C-407E-A947-70E740481C1C}"/>
                      </a:extLst>
                    </a:blip>
                    <a:srcRect/>
                    <a:stretch>
                      <a:fillRect/>
                    </a:stretch>
                  </pic:blipFill>
                  <pic:spPr bwMode="auto">
                    <a:xfrm>
                      <a:off x="0" y="0"/>
                      <a:ext cx="3434080" cy="8255"/>
                    </a:xfrm>
                    <a:prstGeom prst="rect">
                      <a:avLst/>
                    </a:prstGeom>
                    <a:noFill/>
                  </pic:spPr>
                </pic:pic>
              </a:graphicData>
            </a:graphic>
          </wp:anchor>
        </w:drawing>
      </w:r>
    </w:p>
    <w:p>
      <w:pPr>
        <w:spacing w:after="0" w:line="36"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Felitia Lee</w:t>
      </w: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420"/>
        <w:spacing w:after="0"/>
        <w:rPr>
          <w:sz w:val="20"/>
          <w:szCs w:val="20"/>
          <w:color w:val="auto"/>
        </w:rPr>
      </w:pPr>
      <w:r>
        <w:rPr>
          <w:rFonts w:ascii="Arial" w:cs="Arial" w:eastAsia="Arial" w:hAnsi="Arial"/>
          <w:sz w:val="16"/>
          <w:szCs w:val="16"/>
          <w:color w:val="auto"/>
        </w:rPr>
        <w:t>Controller and Chief Accounting Officer</w:t>
      </w:r>
    </w:p>
    <w:p>
      <w:pPr>
        <w:spacing w:after="0" w:line="920" w:lineRule="exact"/>
        <w:rPr>
          <w:sz w:val="20"/>
          <w:szCs w:val="20"/>
          <w:color w:val="auto"/>
        </w:rPr>
      </w:pPr>
    </w:p>
    <w:p>
      <w:pPr>
        <w:sectPr>
          <w:pgSz w:w="11900" w:h="16838" w:orient="portrait"/>
          <w:cols w:equalWidth="0" w:num="2">
            <w:col w:w="5060" w:space="720"/>
            <w:col w:w="5280"/>
          </w:cols>
          <w:pgMar w:left="320" w:top="127" w:right="519" w:bottom="1440" w:gutter="0" w:footer="0" w:header="0"/>
          <w:type w:val="continuous"/>
        </w:sectPr>
      </w:pPr>
    </w:p>
    <w:p>
      <w:pPr>
        <w:spacing w:after="0" w:line="14"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/s/Deborah Marriott Harrison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34340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8">
                      <a:extLst>
                        <a:ext uri="{28A0092B-C50C-407E-A947-70E740481C1C}"/>
                      </a:extLst>
                    </a:blip>
                    <a:srcRect/>
                    <a:stretch>
                      <a:fillRect/>
                    </a:stretch>
                  </pic:blipFill>
                  <pic:spPr bwMode="auto">
                    <a:xfrm>
                      <a:off x="0" y="0"/>
                      <a:ext cx="3434080" cy="8255"/>
                    </a:xfrm>
                    <a:prstGeom prst="rect">
                      <a:avLst/>
                    </a:prstGeom>
                    <a:noFill/>
                  </pic:spPr>
                </pic:pic>
              </a:graphicData>
            </a:graphic>
          </wp:anchor>
        </w:drawing>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Deborah Marriott Harrison, Director</w:t>
      </w:r>
    </w:p>
    <w:p>
      <w:pPr>
        <w:spacing w:after="0" w:line="250"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/s/Frederick A.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34340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9">
                      <a:extLst>
                        <a:ext uri="{28A0092B-C50C-407E-A947-70E740481C1C}"/>
                      </a:extLst>
                    </a:blip>
                    <a:srcRect/>
                    <a:stretch>
                      <a:fillRect/>
                    </a:stretch>
                  </pic:blipFill>
                  <pic:spPr bwMode="auto">
                    <a:xfrm>
                      <a:off x="0" y="0"/>
                      <a:ext cx="3434080" cy="8255"/>
                    </a:xfrm>
                    <a:prstGeom prst="rect">
                      <a:avLst/>
                    </a:prstGeom>
                    <a:noFill/>
                  </pic:spPr>
                </pic:pic>
              </a:graphicData>
            </a:graphic>
          </wp:anchor>
        </w:drawing>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Frederick A. Henderson, Director</w:t>
      </w:r>
    </w:p>
    <w:p>
      <w:pPr>
        <w:spacing w:after="0" w:line="26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/s/Eric Hippeau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34340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0">
                      <a:extLst>
                        <a:ext uri="{28A0092B-C50C-407E-A947-70E740481C1C}"/>
                      </a:extLst>
                    </a:blip>
                    <a:srcRect/>
                    <a:stretch>
                      <a:fillRect/>
                    </a:stretch>
                  </pic:blipFill>
                  <pic:spPr bwMode="auto">
                    <a:xfrm>
                      <a:off x="0" y="0"/>
                      <a:ext cx="3434080" cy="8255"/>
                    </a:xfrm>
                    <a:prstGeom prst="rect">
                      <a:avLst/>
                    </a:prstGeom>
                    <a:noFill/>
                  </pic:spPr>
                </pic:pic>
              </a:graphicData>
            </a:graphic>
          </wp:anchor>
        </w:drawing>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Eric Hippeau, Director</w:t>
      </w:r>
    </w:p>
    <w:p>
      <w:pPr>
        <w:spacing w:after="0" w:line="214"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/s/Lawrence W. Kellner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34340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1">
                      <a:extLst>
                        <a:ext uri="{28A0092B-C50C-407E-A947-70E740481C1C}"/>
                      </a:extLst>
                    </a:blip>
                    <a:srcRect/>
                    <a:stretch>
                      <a:fillRect/>
                    </a:stretch>
                  </pic:blipFill>
                  <pic:spPr bwMode="auto">
                    <a:xfrm>
                      <a:off x="0" y="0"/>
                      <a:ext cx="3434080" cy="8255"/>
                    </a:xfrm>
                    <a:prstGeom prst="rect">
                      <a:avLst/>
                    </a:prstGeom>
                    <a:noFill/>
                  </pic:spPr>
                </pic:pic>
              </a:graphicData>
            </a:graphic>
          </wp:anchor>
        </w:drawing>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Lawrence W. Kellner, Director</w:t>
      </w:r>
    </w:p>
    <w:p>
      <w:pPr>
        <w:spacing w:after="0" w:line="20" w:lineRule="exact"/>
        <w:rPr>
          <w:sz w:val="20"/>
          <w:szCs w:val="20"/>
          <w:color w:val="auto"/>
        </w:rPr>
      </w:pPr>
      <w:r>
        <w:rPr>
          <w:sz w:val="20"/>
          <w:szCs w:val="20"/>
          <w:color w:val="auto"/>
        </w:rPr>
        <w:br w:type="column"/>
      </w:r>
    </w:p>
    <w:p>
      <w:pPr>
        <w:jc w:val="center"/>
        <w:ind w:right="1400"/>
        <w:spacing w:after="0"/>
        <w:rPr>
          <w:sz w:val="20"/>
          <w:szCs w:val="20"/>
          <w:color w:val="auto"/>
        </w:rPr>
      </w:pPr>
      <w:r>
        <w:rPr>
          <w:rFonts w:ascii="Arial" w:cs="Arial" w:eastAsia="Arial" w:hAnsi="Arial"/>
          <w:sz w:val="18"/>
          <w:szCs w:val="18"/>
          <w:color w:val="auto"/>
        </w:rPr>
        <w:t>/s/Debra L.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-1009650</wp:posOffset>
            </wp:positionH>
            <wp:positionV relativeFrom="paragraph">
              <wp:posOffset>18415</wp:posOffset>
            </wp:positionV>
            <wp:extent cx="34759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2">
                      <a:extLst>
                        <a:ext uri="{28A0092B-C50C-407E-A947-70E740481C1C}"/>
                      </a:extLst>
                    </a:blip>
                    <a:srcRect/>
                    <a:stretch>
                      <a:fillRect/>
                    </a:stretch>
                  </pic:blipFill>
                  <pic:spPr bwMode="auto">
                    <a:xfrm>
                      <a:off x="0" y="0"/>
                      <a:ext cx="3475990" cy="8255"/>
                    </a:xfrm>
                    <a:prstGeom prst="rect">
                      <a:avLst/>
                    </a:prstGeom>
                    <a:noFill/>
                  </pic:spPr>
                </pic:pic>
              </a:graphicData>
            </a:graphic>
          </wp:anchor>
        </w:drawing>
      </w:r>
    </w:p>
    <w:p>
      <w:pPr>
        <w:spacing w:after="0" w:line="23"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Debra L. Lee, Director</w:t>
      </w:r>
    </w:p>
    <w:p>
      <w:pPr>
        <w:spacing w:after="0" w:line="227"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/s/Aylwin B.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-1009650</wp:posOffset>
            </wp:positionH>
            <wp:positionV relativeFrom="paragraph">
              <wp:posOffset>18415</wp:posOffset>
            </wp:positionV>
            <wp:extent cx="34759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3">
                      <a:extLst>
                        <a:ext uri="{28A0092B-C50C-407E-A947-70E740481C1C}"/>
                      </a:extLst>
                    </a:blip>
                    <a:srcRect/>
                    <a:stretch>
                      <a:fillRect/>
                    </a:stretch>
                  </pic:blipFill>
                  <pic:spPr bwMode="auto">
                    <a:xfrm>
                      <a:off x="0" y="0"/>
                      <a:ext cx="3475990" cy="8255"/>
                    </a:xfrm>
                    <a:prstGeom prst="rect">
                      <a:avLst/>
                    </a:prstGeom>
                    <a:noFill/>
                  </pic:spPr>
                </pic:pic>
              </a:graphicData>
            </a:graphic>
          </wp:anchor>
        </w:drawing>
      </w:r>
    </w:p>
    <w:p>
      <w:pPr>
        <w:spacing w:after="0" w:line="23"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Aylwin B. Lewis, Director</w:t>
      </w:r>
    </w:p>
    <w:p>
      <w:pPr>
        <w:spacing w:after="0" w:line="227"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/s/Margaret M.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-1009650</wp:posOffset>
            </wp:positionH>
            <wp:positionV relativeFrom="paragraph">
              <wp:posOffset>18415</wp:posOffset>
            </wp:positionV>
            <wp:extent cx="34759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4">
                      <a:extLst>
                        <a:ext uri="{28A0092B-C50C-407E-A947-70E740481C1C}"/>
                      </a:extLst>
                    </a:blip>
                    <a:srcRect/>
                    <a:stretch>
                      <a:fillRect/>
                    </a:stretch>
                  </pic:blipFill>
                  <pic:spPr bwMode="auto">
                    <a:xfrm>
                      <a:off x="0" y="0"/>
                      <a:ext cx="3475990" cy="8255"/>
                    </a:xfrm>
                    <a:prstGeom prst="rect">
                      <a:avLst/>
                    </a:prstGeom>
                    <a:noFill/>
                  </pic:spPr>
                </pic:pic>
              </a:graphicData>
            </a:graphic>
          </wp:anchor>
        </w:drawing>
      </w:r>
    </w:p>
    <w:p>
      <w:pPr>
        <w:spacing w:after="0" w:line="23" w:lineRule="exact"/>
        <w:rPr>
          <w:sz w:val="20"/>
          <w:szCs w:val="20"/>
          <w:color w:val="auto"/>
        </w:rPr>
      </w:pPr>
    </w:p>
    <w:p>
      <w:pPr>
        <w:jc w:val="center"/>
        <w:ind w:right="1400"/>
        <w:spacing w:after="0"/>
        <w:rPr>
          <w:sz w:val="20"/>
          <w:szCs w:val="20"/>
          <w:color w:val="auto"/>
        </w:rPr>
      </w:pPr>
      <w:r>
        <w:rPr>
          <w:rFonts w:ascii="Arial" w:cs="Arial" w:eastAsia="Arial" w:hAnsi="Arial"/>
          <w:sz w:val="16"/>
          <w:szCs w:val="16"/>
          <w:color w:val="auto"/>
        </w:rPr>
        <w:t>Margaret M. McCarthy, Director</w:t>
      </w:r>
    </w:p>
    <w:p>
      <w:pPr>
        <w:spacing w:after="0" w:line="263"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/s/Susan C. Schwab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-1009650</wp:posOffset>
            </wp:positionH>
            <wp:positionV relativeFrom="paragraph">
              <wp:posOffset>10160</wp:posOffset>
            </wp:positionV>
            <wp:extent cx="34759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5">
                      <a:extLst>
                        <a:ext uri="{28A0092B-C50C-407E-A947-70E740481C1C}"/>
                      </a:extLst>
                    </a:blip>
                    <a:srcRect/>
                    <a:stretch>
                      <a:fillRect/>
                    </a:stretch>
                  </pic:blipFill>
                  <pic:spPr bwMode="auto">
                    <a:xfrm>
                      <a:off x="0" y="0"/>
                      <a:ext cx="3475990" cy="8255"/>
                    </a:xfrm>
                    <a:prstGeom prst="rect">
                      <a:avLst/>
                    </a:prstGeom>
                    <a:noFill/>
                  </pic:spPr>
                </pic:pic>
              </a:graphicData>
            </a:graphic>
          </wp:anchor>
        </w:drawing>
      </w:r>
    </w:p>
    <w:p>
      <w:pPr>
        <w:spacing w:after="0" w:line="23"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Susan C. Schwab, Director</w:t>
      </w:r>
    </w:p>
    <w:p>
      <w:pPr>
        <w:spacing w:after="0" w:line="200" w:lineRule="exact"/>
        <w:rPr>
          <w:sz w:val="20"/>
          <w:szCs w:val="20"/>
          <w:color w:val="auto"/>
        </w:rPr>
      </w:pPr>
    </w:p>
    <w:p>
      <w:pPr>
        <w:sectPr>
          <w:pgSz w:w="11900" w:h="16838" w:orient="portrait"/>
          <w:cols w:equalWidth="0" w:num="2">
            <w:col w:w="6640" w:space="720"/>
            <w:col w:w="3700"/>
          </w:cols>
          <w:pgMar w:left="320" w:top="127" w:right="51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060"/>
          </w:cols>
          <w:pgMar w:left="320" w:top="127" w:right="519" w:bottom="144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20" w:type="dxa"/>
            <w:vAlign w:val="bottom"/>
            <w:gridSpan w:val="3"/>
          </w:tcPr>
          <w:p>
            <w:pPr>
              <w:ind w:left="1940"/>
              <w:spacing w:after="0"/>
              <w:rPr>
                <w:sz w:val="20"/>
                <w:szCs w:val="20"/>
                <w:color w:val="auto"/>
              </w:rPr>
            </w:pPr>
            <w:r>
              <w:rPr>
                <w:rFonts w:ascii="Arial" w:cs="Arial" w:eastAsia="Arial" w:hAnsi="Arial"/>
                <w:sz w:val="18"/>
                <w:szCs w:val="18"/>
                <w:b w:val="1"/>
                <w:bCs w:val="1"/>
                <w:color w:val="auto"/>
                <w:w w:val="89"/>
              </w:rPr>
              <w:t>Exhibit 21</w:t>
            </w:r>
          </w:p>
        </w:tc>
      </w:tr>
      <w:tr>
        <w:trPr>
          <w:trHeight w:val="769"/>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860" w:type="dxa"/>
            <w:vAlign w:val="bottom"/>
            <w:gridSpan w:val="2"/>
          </w:tcPr>
          <w:p>
            <w:pPr>
              <w:jc w:val="center"/>
              <w:ind w:right="1420"/>
              <w:spacing w:after="0"/>
              <w:rPr>
                <w:sz w:val="20"/>
                <w:szCs w:val="20"/>
                <w:color w:val="auto"/>
              </w:rPr>
            </w:pPr>
            <w:r>
              <w:rPr>
                <w:rFonts w:ascii="Arial" w:cs="Arial" w:eastAsia="Arial" w:hAnsi="Arial"/>
                <w:sz w:val="19"/>
                <w:szCs w:val="19"/>
                <w:b w:val="1"/>
                <w:bCs w:val="1"/>
                <w:color w:val="auto"/>
                <w:w w:val="97"/>
              </w:rPr>
              <w:t>Marriott International, Inc.</w:t>
            </w:r>
          </w:p>
        </w:tc>
        <w:tc>
          <w:tcPr>
            <w:tcW w:w="2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6"/>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860" w:type="dxa"/>
            <w:vAlign w:val="bottom"/>
            <w:gridSpan w:val="2"/>
          </w:tcPr>
          <w:p>
            <w:pPr>
              <w:jc w:val="center"/>
              <w:ind w:right="1420"/>
              <w:spacing w:after="0"/>
              <w:rPr>
                <w:sz w:val="20"/>
                <w:szCs w:val="20"/>
                <w:color w:val="auto"/>
              </w:rPr>
            </w:pPr>
            <w:r>
              <w:rPr>
                <w:rFonts w:ascii="Arial" w:cs="Arial" w:eastAsia="Arial" w:hAnsi="Arial"/>
                <w:sz w:val="19"/>
                <w:szCs w:val="19"/>
                <w:b w:val="1"/>
                <w:bCs w:val="1"/>
                <w:color w:val="auto"/>
                <w:w w:val="90"/>
              </w:rPr>
              <w:t>Subsidiaries of the Registrant</w:t>
            </w:r>
          </w:p>
        </w:tc>
        <w:tc>
          <w:tcPr>
            <w:tcW w:w="2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2"/>
        </w:trPr>
        <w:tc>
          <w:tcPr>
            <w:tcW w:w="2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Entity Name</w:t>
            </w:r>
          </w:p>
        </w:tc>
        <w:tc>
          <w:tcPr>
            <w:tcW w:w="2440" w:type="dxa"/>
            <w:vAlign w:val="bottom"/>
            <w:tcBorders>
              <w:top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2980" w:type="dxa"/>
            <w:vAlign w:val="bottom"/>
            <w:gridSpan w:val="4"/>
          </w:tcPr>
          <w:p>
            <w:pPr>
              <w:ind w:left="260"/>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20" w:type="dxa"/>
            <w:vAlign w:val="bottom"/>
            <w:tcBorders>
              <w:bottom w:val="single" w:sz="8" w:color="C0C0C0"/>
            </w:tcBorders>
          </w:tcPr>
          <w:p>
            <w:pPr>
              <w:spacing w:after="0" w:line="20" w:lineRule="exact"/>
              <w:rPr>
                <w:sz w:val="1"/>
                <w:szCs w:val="1"/>
                <w:color w:val="auto"/>
              </w:rPr>
            </w:pPr>
          </w:p>
        </w:tc>
        <w:tc>
          <w:tcPr>
            <w:tcW w:w="940" w:type="dxa"/>
            <w:vAlign w:val="bottom"/>
            <w:tcBorders>
              <w:top w:val="single" w:sz="8" w:color="auto"/>
              <w:bottom w:val="single" w:sz="8" w:color="C0C0C0"/>
            </w:tcBorders>
          </w:tcPr>
          <w:p>
            <w:pPr>
              <w:spacing w:after="0" w:line="20" w:lineRule="exact"/>
              <w:rPr>
                <w:sz w:val="1"/>
                <w:szCs w:val="1"/>
                <w:color w:val="auto"/>
              </w:rPr>
            </w:pPr>
          </w:p>
        </w:tc>
        <w:tc>
          <w:tcPr>
            <w:tcW w:w="3420" w:type="dxa"/>
            <w:vAlign w:val="bottom"/>
            <w:tcBorders>
              <w:bottom w:val="single" w:sz="8" w:color="C0C0C0"/>
            </w:tcBorders>
          </w:tcPr>
          <w:p>
            <w:pPr>
              <w:spacing w:after="0" w:line="20" w:lineRule="exact"/>
              <w:rPr>
                <w:sz w:val="1"/>
                <w:szCs w:val="1"/>
                <w:color w:val="auto"/>
              </w:rPr>
            </w:pPr>
          </w:p>
        </w:tc>
        <w:tc>
          <w:tcPr>
            <w:tcW w:w="2440" w:type="dxa"/>
            <w:vAlign w:val="bottom"/>
            <w:tcBorders>
              <w:bottom w:val="single" w:sz="8" w:color="C0C0C0"/>
            </w:tcBorders>
          </w:tcPr>
          <w:p>
            <w:pPr>
              <w:spacing w:after="0" w:line="20" w:lineRule="exact"/>
              <w:rPr>
                <w:sz w:val="1"/>
                <w:szCs w:val="1"/>
                <w:color w:val="auto"/>
              </w:rPr>
            </w:pPr>
          </w:p>
        </w:tc>
        <w:tc>
          <w:tcPr>
            <w:tcW w:w="1420" w:type="dxa"/>
            <w:vAlign w:val="bottom"/>
            <w:tcBorders>
              <w:bottom w:val="single" w:sz="8" w:color="C0C0C0"/>
            </w:tcBorders>
          </w:tcPr>
          <w:p>
            <w:pPr>
              <w:spacing w:after="0" w:line="20" w:lineRule="exact"/>
              <w:rPr>
                <w:sz w:val="1"/>
                <w:szCs w:val="1"/>
                <w:color w:val="auto"/>
              </w:rPr>
            </w:pPr>
          </w:p>
        </w:tc>
        <w:tc>
          <w:tcPr>
            <w:tcW w:w="260" w:type="dxa"/>
            <w:vAlign w:val="bottom"/>
            <w:tcBorders>
              <w:bottom w:val="single" w:sz="8" w:color="C0C0C0"/>
            </w:tcBorders>
          </w:tcPr>
          <w:p>
            <w:pPr>
              <w:spacing w:after="0" w:line="20" w:lineRule="exact"/>
              <w:rPr>
                <w:sz w:val="1"/>
                <w:szCs w:val="1"/>
                <w:color w:val="auto"/>
              </w:rPr>
            </w:pPr>
          </w:p>
        </w:tc>
        <w:tc>
          <w:tcPr>
            <w:tcW w:w="2180" w:type="dxa"/>
            <w:vAlign w:val="bottom"/>
            <w:tcBorders>
              <w:top w:val="single" w:sz="8" w:color="auto"/>
              <w:bottom w:val="single" w:sz="8" w:color="C0C0C0"/>
            </w:tcBorders>
          </w:tcPr>
          <w:p>
            <w:pPr>
              <w:spacing w:after="0" w:line="20" w:lineRule="exact"/>
              <w:rPr>
                <w:sz w:val="1"/>
                <w:szCs w:val="1"/>
                <w:color w:val="auto"/>
              </w:rPr>
            </w:pPr>
          </w:p>
        </w:tc>
        <w:tc>
          <w:tcPr>
            <w:tcW w:w="52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1367357 Alberta ULC</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14 East Fifty-Fifth Air Parcel, LLC</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14 East Fifty-Fifth Street New York LLC</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1567 Broadway Condominium</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New York</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1640054 Alberta ULC</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225 Liquor Licensee LLC</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New Jersey</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315 East Dean Street Aspen LLC</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333 International, Inc.</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3387 Lenox Road LLC</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520 Canal Street Limited Partnership</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Louisiana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6106 East Camelback LLC</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697 Fifth Avenue New York LLC</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909 North Michigan Avenue Corporation</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9701 Collins Avenue, LLC</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Aberdeen Hotel Limited</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Jersey</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ACHM Gerenciamento Internacional de Hoteis do Brasil Ltda.</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ACHM Global Hospitality Licensing S.à r.l.</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ACHM International Management Company (French Branch)</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ACHM International Management Company S.ar.l, Bertrange, Zurich Branch</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ACHM International Management Company S.àr.l.</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ACHM Spain Management S.L. (Joint Venture)</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Spain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Adamar International Lodging, Ltd.</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Bermuda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Administracion de Empresas Starwood S de RL de SV</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Adquisiciones Cancun-Vallarta S. de R.L. de C.V. - (Joint Venture)</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Aeropuerto Shareholder, Inc.</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Alitrip Holding Company Limited</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Cayman Islands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Aloft Hotel Management, Inc.</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Aloft International Hotel Management, Inc.</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Alpha Steam Acquisition, LLC</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Alphaventure Music Publishing Corp.</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New York</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Alstar Operating LLC</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New York</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Alstar Realty LLC</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New York</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Amazonas H.O.T. S.A. (Joint Venture)</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Ecuador</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AP Arabella (Pty) Ltd</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South Africa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Atlanta Acquisition LLC</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Bal Harbour Hotel LLC</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Baltic Investment Company, L.L.C.</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New Jersey</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Baltimore Marriott Inner Harbor, L.L.C.</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BCN Hotel Management Company, S.L.</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Spain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Beijing International Club Co. Ltd</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Berlin Marriott Hotelmanagement GmbH</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Betaventure Music Publishing Corp.</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New York</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Blue Marble Co., Inc.</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rPr>
              <w:t>Boston Convention Associates, LLC</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11180" w:type="dxa"/>
            <w:vAlign w:val="bottom"/>
            <w:tcBorders>
              <w:bottom w:val="single" w:sz="8" w:color="C0C0C0"/>
            </w:tcBorders>
            <w:gridSpan w:val="7"/>
          </w:tcPr>
          <w:p>
            <w:pPr>
              <w:spacing w:after="0"/>
              <w:rPr>
                <w:sz w:val="20"/>
                <w:szCs w:val="20"/>
                <w:color w:val="auto"/>
              </w:rPr>
            </w:pPr>
            <w:r>
              <w:rPr>
                <w:rFonts w:ascii="Arial" w:cs="Arial" w:eastAsia="Arial" w:hAnsi="Arial"/>
                <w:sz w:val="18"/>
                <w:szCs w:val="18"/>
                <w:color w:val="auto"/>
              </w:rPr>
              <w:t>Branch of the private limited liability company "Luxury Hotels International Management Company" (Moscow Branch) Russian Federation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220" w:type="dxa"/>
            <w:vAlign w:val="bottom"/>
            <w:tcBorders>
              <w:bottom w:val="single" w:sz="8" w:color="C0C0C0"/>
            </w:tcBorders>
            <w:gridSpan w:val="4"/>
          </w:tcPr>
          <w:p>
            <w:pPr>
              <w:spacing w:after="0"/>
              <w:rPr>
                <w:sz w:val="20"/>
                <w:szCs w:val="20"/>
                <w:color w:val="auto"/>
              </w:rPr>
            </w:pPr>
            <w:r>
              <w:rPr>
                <w:rFonts w:ascii="Arial" w:cs="Arial" w:eastAsia="Arial" w:hAnsi="Arial"/>
                <w:sz w:val="18"/>
                <w:szCs w:val="18"/>
                <w:color w:val="auto"/>
                <w:w w:val="93"/>
              </w:rPr>
              <w:t>Branch Office of the Private limited liability company "The Ritz-Carlton Hotel Company B.V." (Russian Branch)</w:t>
            </w:r>
          </w:p>
        </w:tc>
        <w:tc>
          <w:tcPr>
            <w:tcW w:w="2960" w:type="dxa"/>
            <w:vAlign w:val="bottom"/>
            <w:tcBorders>
              <w:bottom w:val="single" w:sz="8" w:color="C0C0C0"/>
            </w:tcBorders>
            <w:gridSpan w:val="3"/>
          </w:tcPr>
          <w:p>
            <w:pPr>
              <w:ind w:left="260"/>
              <w:spacing w:after="0"/>
              <w:rPr>
                <w:sz w:val="20"/>
                <w:szCs w:val="20"/>
                <w:color w:val="auto"/>
              </w:rPr>
            </w:pPr>
            <w:r>
              <w:rPr>
                <w:rFonts w:ascii="Arial" w:cs="Arial" w:eastAsia="Arial" w:hAnsi="Arial"/>
                <w:sz w:val="18"/>
                <w:szCs w:val="18"/>
                <w:color w:val="auto"/>
              </w:rPr>
              <w:t>Russian Federation</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20"/>
          </w:cols>
          <w:pgMar w:left="340" w:top="121" w:right="33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2880" w:type="dxa"/>
            <w:vAlign w:val="bottom"/>
            <w:gridSpan w:val="3"/>
          </w:tcPr>
          <w:p>
            <w:pPr>
              <w:ind w:left="2100"/>
              <w:spacing w:after="0"/>
              <w:rPr>
                <w:sz w:val="20"/>
                <w:szCs w:val="20"/>
                <w:color w:val="auto"/>
              </w:rPr>
            </w:pPr>
            <w:r>
              <w:rPr>
                <w:rFonts w:ascii="Arial" w:cs="Arial" w:eastAsia="Arial" w:hAnsi="Arial"/>
                <w:sz w:val="18"/>
                <w:szCs w:val="18"/>
                <w:b w:val="1"/>
                <w:bCs w:val="1"/>
                <w:color w:val="auto"/>
                <w:w w:val="89"/>
              </w:rPr>
              <w:t>Exhibit 21</w:t>
            </w:r>
          </w:p>
        </w:tc>
      </w:tr>
      <w:tr>
        <w:trPr>
          <w:trHeight w:val="843"/>
        </w:trPr>
        <w:tc>
          <w:tcPr>
            <w:tcW w:w="2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Entity Name</w:t>
            </w:r>
          </w:p>
        </w:tc>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20" w:type="dxa"/>
            <w:vAlign w:val="bottom"/>
            <w:tcBorders>
              <w:bottom w:val="single" w:sz="8" w:color="C0C0C0"/>
            </w:tcBorders>
          </w:tcPr>
          <w:p>
            <w:pPr>
              <w:spacing w:after="0" w:line="20" w:lineRule="exact"/>
              <w:rPr>
                <w:sz w:val="1"/>
                <w:szCs w:val="1"/>
                <w:color w:val="auto"/>
              </w:rPr>
            </w:pPr>
          </w:p>
        </w:tc>
        <w:tc>
          <w:tcPr>
            <w:tcW w:w="940" w:type="dxa"/>
            <w:vAlign w:val="bottom"/>
            <w:tcBorders>
              <w:top w:val="single" w:sz="8" w:color="auto"/>
              <w:bottom w:val="single" w:sz="8" w:color="C0C0C0"/>
            </w:tcBorders>
          </w:tcPr>
          <w:p>
            <w:pPr>
              <w:spacing w:after="0" w:line="20" w:lineRule="exact"/>
              <w:rPr>
                <w:sz w:val="1"/>
                <w:szCs w:val="1"/>
                <w:color w:val="auto"/>
              </w:rPr>
            </w:pPr>
          </w:p>
        </w:tc>
        <w:tc>
          <w:tcPr>
            <w:tcW w:w="7380" w:type="dxa"/>
            <w:vAlign w:val="bottom"/>
            <w:tcBorders>
              <w:bottom w:val="single" w:sz="8" w:color="C0C0C0"/>
            </w:tcBorders>
          </w:tcPr>
          <w:p>
            <w:pPr>
              <w:spacing w:after="0" w:line="20" w:lineRule="exact"/>
              <w:rPr>
                <w:sz w:val="1"/>
                <w:szCs w:val="1"/>
                <w:color w:val="auto"/>
              </w:rPr>
            </w:pPr>
          </w:p>
        </w:tc>
        <w:tc>
          <w:tcPr>
            <w:tcW w:w="2180" w:type="dxa"/>
            <w:vAlign w:val="bottom"/>
            <w:tcBorders>
              <w:top w:val="single" w:sz="8" w:color="auto"/>
              <w:bottom w:val="single" w:sz="8" w:color="C0C0C0"/>
            </w:tcBorders>
          </w:tcPr>
          <w:p>
            <w:pPr>
              <w:spacing w:after="0" w:line="20" w:lineRule="exact"/>
              <w:rPr>
                <w:sz w:val="1"/>
                <w:szCs w:val="1"/>
                <w:color w:val="auto"/>
              </w:rPr>
            </w:pPr>
          </w:p>
        </w:tc>
        <w:tc>
          <w:tcPr>
            <w:tcW w:w="68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Bulgari Hotels and Resorts Milano, S.r.l. (Joint Venture)</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Italy</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Business Tourism Company LLC - (Joint Venture)</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Jordan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BW SL 1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Saint Lucia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Camelback Country Club, Inc. (d/b/a Camelback Golf Club)</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Arizona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Camelback Properties Inn,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Canal Street Holdings,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Capitol Employment Services,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Carpstar/Jordan Development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CBM Annex,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Centerline Georgia Investor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Charleston Marriott,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Cheshunt Hotel Operating Company Limited (Joint Venture)</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Chicago Hotel Services,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Cia Palmares Hoteis e Turismo</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Ciga Gestioni S.r.l</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Italy</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CIGA Hotels GmbH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Austria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CIGA Immobiliare B.V.</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CIGA International Management B.V.</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Cigahotels Espana S.L.U</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Spain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Classic Select Hospitality Service Company</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Cologne MH Operating Company GmbH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Colony Club (Barbados)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Barbados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Colony SL 1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Saint Lucia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Columbia Courtyard,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Maryland</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Consolidated Hotels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Hong Kong</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Corporacion Habitacional Mexicana S. de R.L. de C.V.</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Corporate General,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Courtyard Management Corporation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Crystal Cove Hotel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Barbados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Crystal SL 1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Saint Lucia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CS&amp;M Associates</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Louisiana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CTYD III Corporation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Culinary Concepts (Abu Dhabi)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Culinary Concepts (Atlanta Buckhead)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Culinary Concepts (Atlanta Midtown)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Culinary Concepts (Bal Harbour)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Culinary Concepts (BB Puerto Rico)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Culinary Concepts (Boston)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Culinary Concepts (Cairo)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Culinary Concepts (Doha)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Culinary Concepts (Dubai)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Culinary Concepts (Mexico City)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Culinary Concepts (Park City)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Culinary Concepts (Phoenician)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Culinary Concepts (Princeville)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Culinary Concepts (Vancouver)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Culinary Concepts (Washington)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Culinary Concepts Hospitality Group,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New York</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Culinary Concepts Torre Libertad, S. de R.L. de C.V.</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CWT Savannah Club,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CWT Savannah Holdings,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20"/>
          </w:cols>
          <w:pgMar w:left="340" w:top="121" w:right="339"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880" w:type="dxa"/>
            <w:vAlign w:val="bottom"/>
            <w:gridSpan w:val="3"/>
          </w:tcPr>
          <w:p>
            <w:pPr>
              <w:ind w:left="2100"/>
              <w:spacing w:after="0"/>
              <w:rPr>
                <w:sz w:val="20"/>
                <w:szCs w:val="20"/>
                <w:color w:val="auto"/>
              </w:rPr>
            </w:pPr>
            <w:r>
              <w:rPr>
                <w:rFonts w:ascii="Arial" w:cs="Arial" w:eastAsia="Arial" w:hAnsi="Arial"/>
                <w:sz w:val="18"/>
                <w:szCs w:val="18"/>
                <w:b w:val="1"/>
                <w:bCs w:val="1"/>
                <w:color w:val="auto"/>
                <w:w w:val="89"/>
              </w:rPr>
              <w:t>Exhibit 21</w:t>
            </w:r>
          </w:p>
        </w:tc>
      </w:tr>
      <w:tr>
        <w:trPr>
          <w:trHeight w:val="843"/>
        </w:trPr>
        <w:tc>
          <w:tcPr>
            <w:tcW w:w="2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Entity Name</w:t>
            </w:r>
          </w:p>
        </w:tc>
        <w:tc>
          <w:tcPr>
            <w:tcW w:w="3040" w:type="dxa"/>
            <w:vAlign w:val="bottom"/>
          </w:tcPr>
          <w:p>
            <w:pPr>
              <w:spacing w:after="0"/>
              <w:rPr>
                <w:sz w:val="24"/>
                <w:szCs w:val="24"/>
                <w:color w:val="auto"/>
              </w:rPr>
            </w:pPr>
          </w:p>
        </w:tc>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20" w:type="dxa"/>
            <w:vAlign w:val="bottom"/>
            <w:tcBorders>
              <w:bottom w:val="single" w:sz="8" w:color="C0C0C0"/>
            </w:tcBorders>
          </w:tcPr>
          <w:p>
            <w:pPr>
              <w:spacing w:after="0" w:line="20" w:lineRule="exact"/>
              <w:rPr>
                <w:sz w:val="1"/>
                <w:szCs w:val="1"/>
                <w:color w:val="auto"/>
              </w:rPr>
            </w:pPr>
          </w:p>
        </w:tc>
        <w:tc>
          <w:tcPr>
            <w:tcW w:w="940" w:type="dxa"/>
            <w:vAlign w:val="bottom"/>
            <w:tcBorders>
              <w:top w:val="single" w:sz="8" w:color="auto"/>
              <w:bottom w:val="single" w:sz="8" w:color="C0C0C0"/>
            </w:tcBorders>
          </w:tcPr>
          <w:p>
            <w:pPr>
              <w:spacing w:after="0" w:line="20" w:lineRule="exact"/>
              <w:rPr>
                <w:sz w:val="1"/>
                <w:szCs w:val="1"/>
                <w:color w:val="auto"/>
              </w:rPr>
            </w:pPr>
          </w:p>
        </w:tc>
        <w:tc>
          <w:tcPr>
            <w:tcW w:w="4340" w:type="dxa"/>
            <w:vAlign w:val="bottom"/>
            <w:tcBorders>
              <w:bottom w:val="single" w:sz="8" w:color="C0C0C0"/>
            </w:tcBorders>
          </w:tcPr>
          <w:p>
            <w:pPr>
              <w:spacing w:after="0" w:line="20" w:lineRule="exact"/>
              <w:rPr>
                <w:sz w:val="1"/>
                <w:szCs w:val="1"/>
                <w:color w:val="auto"/>
              </w:rPr>
            </w:pPr>
          </w:p>
        </w:tc>
        <w:tc>
          <w:tcPr>
            <w:tcW w:w="3040" w:type="dxa"/>
            <w:vAlign w:val="bottom"/>
            <w:tcBorders>
              <w:bottom w:val="single" w:sz="8" w:color="C0C0C0"/>
            </w:tcBorders>
          </w:tcPr>
          <w:p>
            <w:pPr>
              <w:spacing w:after="0" w:line="20" w:lineRule="exact"/>
              <w:rPr>
                <w:sz w:val="1"/>
                <w:szCs w:val="1"/>
                <w:color w:val="auto"/>
              </w:rPr>
            </w:pPr>
          </w:p>
        </w:tc>
        <w:tc>
          <w:tcPr>
            <w:tcW w:w="2180" w:type="dxa"/>
            <w:vAlign w:val="bottom"/>
            <w:tcBorders>
              <w:top w:val="single" w:sz="8" w:color="auto"/>
              <w:bottom w:val="single" w:sz="8" w:color="C0C0C0"/>
            </w:tcBorders>
          </w:tcPr>
          <w:p>
            <w:pPr>
              <w:spacing w:after="0" w:line="20" w:lineRule="exact"/>
              <w:rPr>
                <w:sz w:val="1"/>
                <w:szCs w:val="1"/>
                <w:color w:val="auto"/>
              </w:rPr>
            </w:pPr>
          </w:p>
        </w:tc>
        <w:tc>
          <w:tcPr>
            <w:tcW w:w="68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0" w:type="dxa"/>
            <w:vAlign w:val="bottom"/>
            <w:tcBorders>
              <w:bottom w:val="single" w:sz="8" w:color="C0C0C0"/>
            </w:tcBorders>
          </w:tcPr>
          <w:p>
            <w:pPr>
              <w:spacing w:after="0"/>
              <w:rPr>
                <w:sz w:val="18"/>
                <w:szCs w:val="18"/>
                <w:color w:val="auto"/>
              </w:rPr>
            </w:pPr>
          </w:p>
        </w:tc>
        <w:tc>
          <w:tcPr>
            <w:tcW w:w="52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CWT Savannah Hotel, LLC</w:t>
            </w:r>
          </w:p>
        </w:tc>
        <w:tc>
          <w:tcPr>
            <w:tcW w:w="30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CY Paris Gare de Lyon Bercy SAS</w:t>
            </w:r>
          </w:p>
        </w:tc>
        <w:tc>
          <w:tcPr>
            <w:tcW w:w="30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Daphne’s Restaurant (St. Lucia) Limited</w:t>
            </w:r>
          </w:p>
        </w:tc>
        <w:tc>
          <w:tcPr>
            <w:tcW w:w="30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Saint Lucia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Daphne’s Restaurant Ltd.</w:t>
            </w:r>
          </w:p>
        </w:tc>
        <w:tc>
          <w:tcPr>
            <w:tcW w:w="30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Barbados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Delta Hotels Services Limited</w:t>
            </w:r>
          </w:p>
        </w:tc>
        <w:tc>
          <w:tcPr>
            <w:tcW w:w="30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Design Hotels AG</w:t>
            </w:r>
          </w:p>
        </w:tc>
        <w:tc>
          <w:tcPr>
            <w:tcW w:w="30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Destination Services of Scottsdale LLC</w:t>
            </w:r>
          </w:p>
        </w:tc>
        <w:tc>
          <w:tcPr>
            <w:tcW w:w="30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Detroit CY, LLC.</w:t>
            </w:r>
          </w:p>
        </w:tc>
        <w:tc>
          <w:tcPr>
            <w:tcW w:w="30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Detroit Hotel Services, LLC</w:t>
            </w:r>
          </w:p>
        </w:tc>
        <w:tc>
          <w:tcPr>
            <w:tcW w:w="30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Detroit MHS, LLC</w:t>
            </w:r>
          </w:p>
        </w:tc>
        <w:tc>
          <w:tcPr>
            <w:tcW w:w="30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Detroit Starwood, LLC</w:t>
            </w:r>
          </w:p>
        </w:tc>
        <w:tc>
          <w:tcPr>
            <w:tcW w:w="30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Dominican Hotels (B.V.I.) Ltd.</w:t>
            </w:r>
          </w:p>
        </w:tc>
        <w:tc>
          <w:tcPr>
            <w:tcW w:w="30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Virgin Islands, British</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EDITION Management LLC</w:t>
            </w:r>
          </w:p>
        </w:tc>
        <w:tc>
          <w:tcPr>
            <w:tcW w:w="30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Elan Hotel Beverage Corporation</w:t>
            </w:r>
          </w:p>
        </w:tc>
        <w:tc>
          <w:tcPr>
            <w:tcW w:w="30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Elcrisa, S.A. de C.V. - (Joint Venture)</w:t>
            </w:r>
          </w:p>
        </w:tc>
        <w:tc>
          <w:tcPr>
            <w:tcW w:w="30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Elegant Finance (St. Lucia) Limited</w:t>
            </w:r>
          </w:p>
        </w:tc>
        <w:tc>
          <w:tcPr>
            <w:tcW w:w="30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Saint Lucia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Elegant Hotels (Barbados) Management Limited</w:t>
            </w:r>
          </w:p>
        </w:tc>
        <w:tc>
          <w:tcPr>
            <w:tcW w:w="30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Barbados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Elegant Hotels BGI Limited</w:t>
            </w:r>
          </w:p>
        </w:tc>
        <w:tc>
          <w:tcPr>
            <w:tcW w:w="30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Barbados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Elegant Hotels Group Limited</w:t>
            </w:r>
          </w:p>
        </w:tc>
        <w:tc>
          <w:tcPr>
            <w:tcW w:w="30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Elegant Services (St. Lucia) Limited</w:t>
            </w:r>
          </w:p>
        </w:tc>
        <w:tc>
          <w:tcPr>
            <w:tcW w:w="30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Saint Lucia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w w:val="92"/>
              </w:rPr>
              <w:t>Empresa de Servicios Hoteleros Punta Mita S.A de C.V. (Joint Venture)</w:t>
            </w:r>
          </w:p>
        </w:tc>
        <w:tc>
          <w:tcPr>
            <w:tcW w:w="30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Empresa de Servicios Reforma 325, S. de R.L. de C.V.</w:t>
            </w:r>
          </w:p>
        </w:tc>
        <w:tc>
          <w:tcPr>
            <w:tcW w:w="30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Emstar Operating LLC</w:t>
            </w:r>
          </w:p>
        </w:tc>
        <w:tc>
          <w:tcPr>
            <w:tcW w:w="30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New York</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Emstar Realty LLC</w:t>
            </w:r>
          </w:p>
        </w:tc>
        <w:tc>
          <w:tcPr>
            <w:tcW w:w="30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New York</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ENA Hotel Holding Company Pvt Ltd</w:t>
            </w:r>
          </w:p>
        </w:tc>
        <w:tc>
          <w:tcPr>
            <w:tcW w:w="30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Maldives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Essex House Condominium Corporation</w:t>
            </w:r>
          </w:p>
        </w:tc>
        <w:tc>
          <w:tcPr>
            <w:tcW w:w="30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F. L. Insurance Corporation</w:t>
            </w:r>
          </w:p>
        </w:tc>
        <w:tc>
          <w:tcPr>
            <w:tcW w:w="30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Hawaii</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Fairfield FMC, LLC</w:t>
            </w:r>
          </w:p>
        </w:tc>
        <w:tc>
          <w:tcPr>
            <w:tcW w:w="30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Fesdhu Holdings Pvt Ltd</w:t>
            </w:r>
          </w:p>
        </w:tc>
        <w:tc>
          <w:tcPr>
            <w:tcW w:w="30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Maldives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Fifth Avenue Hotel Suites, LLC</w:t>
            </w:r>
          </w:p>
        </w:tc>
        <w:tc>
          <w:tcPr>
            <w:tcW w:w="30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Fiji Cayman Holdings</w:t>
            </w:r>
          </w:p>
        </w:tc>
        <w:tc>
          <w:tcPr>
            <w:tcW w:w="30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Cayman Islands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FOH Holdco, LLC</w:t>
            </w:r>
          </w:p>
        </w:tc>
        <w:tc>
          <w:tcPr>
            <w:tcW w:w="30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Franchise and License (Canadian) Ops Limited Partnership</w:t>
            </w:r>
          </w:p>
        </w:tc>
        <w:tc>
          <w:tcPr>
            <w:tcW w:w="30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Franchise System Holdings, Inc.</w:t>
            </w:r>
          </w:p>
        </w:tc>
        <w:tc>
          <w:tcPr>
            <w:tcW w:w="30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Frankfurt Airport Marriott Hotel Management GmbH</w:t>
            </w:r>
          </w:p>
        </w:tc>
        <w:tc>
          <w:tcPr>
            <w:tcW w:w="304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Arial" w:cs="Arial" w:eastAsia="Arial" w:hAnsi="Arial"/>
                <w:sz w:val="18"/>
                <w:szCs w:val="18"/>
                <w:color w:val="auto"/>
              </w:rPr>
              <w:t>Germany</w:t>
            </w:r>
          </w:p>
        </w:tc>
      </w:tr>
      <w:tr>
        <w:trPr>
          <w:trHeight w:val="822"/>
        </w:trPr>
        <w:tc>
          <w:tcPr>
            <w:tcW w:w="20" w:type="dxa"/>
            <w:vAlign w:val="bottom"/>
            <w:tcBorders>
              <w:top w:val="single" w:sz="8" w:color="C0C0C0"/>
            </w:tcBorders>
          </w:tcPr>
          <w:p>
            <w:pPr>
              <w:spacing w:after="0"/>
              <w:rPr>
                <w:sz w:val="24"/>
                <w:szCs w:val="24"/>
                <w:color w:val="auto"/>
              </w:rPr>
            </w:pPr>
          </w:p>
        </w:tc>
        <w:tc>
          <w:tcPr>
            <w:tcW w:w="940" w:type="dxa"/>
            <w:vAlign w:val="bottom"/>
            <w:tcBorders>
              <w:top w:val="single" w:sz="8" w:color="C0C0C0"/>
            </w:tcBorders>
          </w:tcPr>
          <w:p>
            <w:pPr>
              <w:spacing w:after="0"/>
              <w:rPr>
                <w:sz w:val="24"/>
                <w:szCs w:val="24"/>
                <w:color w:val="auto"/>
              </w:rPr>
            </w:pPr>
          </w:p>
        </w:tc>
        <w:tc>
          <w:tcPr>
            <w:tcW w:w="4340" w:type="dxa"/>
            <w:vAlign w:val="bottom"/>
            <w:tcBorders>
              <w:top w:val="single" w:sz="8" w:color="C0C0C0"/>
            </w:tcBorders>
          </w:tcPr>
          <w:p>
            <w:pPr>
              <w:spacing w:after="0"/>
              <w:rPr>
                <w:sz w:val="24"/>
                <w:szCs w:val="24"/>
                <w:color w:val="auto"/>
              </w:rPr>
            </w:pPr>
          </w:p>
        </w:tc>
        <w:tc>
          <w:tcPr>
            <w:tcW w:w="3040" w:type="dxa"/>
            <w:vAlign w:val="bottom"/>
            <w:tcBorders>
              <w:top w:val="single" w:sz="8" w:color="C0C0C0"/>
            </w:tcBorders>
          </w:tcPr>
          <w:p>
            <w:pPr>
              <w:jc w:val="right"/>
              <w:ind w:right="2612"/>
              <w:spacing w:after="0"/>
              <w:rPr>
                <w:sz w:val="20"/>
                <w:szCs w:val="20"/>
                <w:color w:val="auto"/>
              </w:rPr>
            </w:pPr>
            <w:r>
              <w:rPr>
                <w:rFonts w:ascii="Arial" w:cs="Arial" w:eastAsia="Arial" w:hAnsi="Arial"/>
                <w:sz w:val="18"/>
                <w:szCs w:val="18"/>
                <w:color w:val="auto"/>
              </w:rPr>
              <w:t>3</w:t>
            </w:r>
          </w:p>
        </w:tc>
        <w:tc>
          <w:tcPr>
            <w:tcW w:w="2180" w:type="dxa"/>
            <w:vAlign w:val="bottom"/>
            <w:tcBorders>
              <w:top w:val="single" w:sz="8" w:color="C0C0C0"/>
            </w:tcBorders>
          </w:tcPr>
          <w:p>
            <w:pPr>
              <w:spacing w:after="0"/>
              <w:rPr>
                <w:sz w:val="24"/>
                <w:szCs w:val="24"/>
                <w:color w:val="auto"/>
              </w:rPr>
            </w:pPr>
          </w:p>
        </w:tc>
        <w:tc>
          <w:tcPr>
            <w:tcW w:w="680" w:type="dxa"/>
            <w:vAlign w:val="bottom"/>
            <w:tcBorders>
              <w:top w:val="single" w:sz="8" w:color="C0C0C0"/>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20"/>
          </w:cols>
          <w:pgMar w:left="340" w:top="121" w:right="33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880" w:type="dxa"/>
            <w:vAlign w:val="bottom"/>
            <w:gridSpan w:val="3"/>
          </w:tcPr>
          <w:p>
            <w:pPr>
              <w:ind w:left="2100"/>
              <w:spacing w:after="0"/>
              <w:rPr>
                <w:sz w:val="20"/>
                <w:szCs w:val="20"/>
                <w:color w:val="auto"/>
              </w:rPr>
            </w:pPr>
            <w:r>
              <w:rPr>
                <w:rFonts w:ascii="Arial" w:cs="Arial" w:eastAsia="Arial" w:hAnsi="Arial"/>
                <w:sz w:val="18"/>
                <w:szCs w:val="18"/>
                <w:b w:val="1"/>
                <w:bCs w:val="1"/>
                <w:color w:val="auto"/>
                <w:w w:val="89"/>
              </w:rPr>
              <w:t>Exhibit 21</w:t>
            </w:r>
          </w:p>
        </w:tc>
      </w:tr>
      <w:tr>
        <w:trPr>
          <w:trHeight w:val="843"/>
        </w:trPr>
        <w:tc>
          <w:tcPr>
            <w:tcW w:w="2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Entity Name</w:t>
            </w:r>
          </w:p>
        </w:tc>
        <w:tc>
          <w:tcPr>
            <w:tcW w:w="3060" w:type="dxa"/>
            <w:vAlign w:val="bottom"/>
          </w:tcPr>
          <w:p>
            <w:pPr>
              <w:spacing w:after="0"/>
              <w:rPr>
                <w:sz w:val="24"/>
                <w:szCs w:val="24"/>
                <w:color w:val="auto"/>
              </w:rPr>
            </w:pPr>
          </w:p>
        </w:tc>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20" w:type="dxa"/>
            <w:vAlign w:val="bottom"/>
            <w:tcBorders>
              <w:bottom w:val="single" w:sz="8" w:color="C0C0C0"/>
            </w:tcBorders>
          </w:tcPr>
          <w:p>
            <w:pPr>
              <w:spacing w:after="0" w:line="20" w:lineRule="exact"/>
              <w:rPr>
                <w:sz w:val="1"/>
                <w:szCs w:val="1"/>
                <w:color w:val="auto"/>
              </w:rPr>
            </w:pPr>
          </w:p>
        </w:tc>
        <w:tc>
          <w:tcPr>
            <w:tcW w:w="940" w:type="dxa"/>
            <w:vAlign w:val="bottom"/>
            <w:tcBorders>
              <w:top w:val="single" w:sz="8" w:color="auto"/>
              <w:bottom w:val="single" w:sz="8" w:color="C0C0C0"/>
            </w:tcBorders>
          </w:tcPr>
          <w:p>
            <w:pPr>
              <w:spacing w:after="0" w:line="20" w:lineRule="exact"/>
              <w:rPr>
                <w:sz w:val="1"/>
                <w:szCs w:val="1"/>
                <w:color w:val="auto"/>
              </w:rPr>
            </w:pPr>
          </w:p>
        </w:tc>
        <w:tc>
          <w:tcPr>
            <w:tcW w:w="4320" w:type="dxa"/>
            <w:vAlign w:val="bottom"/>
            <w:tcBorders>
              <w:bottom w:val="single" w:sz="8" w:color="C0C0C0"/>
            </w:tcBorders>
          </w:tcPr>
          <w:p>
            <w:pPr>
              <w:spacing w:after="0" w:line="20" w:lineRule="exact"/>
              <w:rPr>
                <w:sz w:val="1"/>
                <w:szCs w:val="1"/>
                <w:color w:val="auto"/>
              </w:rPr>
            </w:pPr>
          </w:p>
        </w:tc>
        <w:tc>
          <w:tcPr>
            <w:tcW w:w="3060" w:type="dxa"/>
            <w:vAlign w:val="bottom"/>
            <w:tcBorders>
              <w:bottom w:val="single" w:sz="8" w:color="C0C0C0"/>
            </w:tcBorders>
          </w:tcPr>
          <w:p>
            <w:pPr>
              <w:spacing w:after="0" w:line="20" w:lineRule="exact"/>
              <w:rPr>
                <w:sz w:val="1"/>
                <w:szCs w:val="1"/>
                <w:color w:val="auto"/>
              </w:rPr>
            </w:pPr>
          </w:p>
        </w:tc>
        <w:tc>
          <w:tcPr>
            <w:tcW w:w="2180" w:type="dxa"/>
            <w:vAlign w:val="bottom"/>
            <w:tcBorders>
              <w:top w:val="single" w:sz="8" w:color="auto"/>
              <w:bottom w:val="single" w:sz="8" w:color="C0C0C0"/>
            </w:tcBorders>
          </w:tcPr>
          <w:p>
            <w:pPr>
              <w:spacing w:after="0" w:line="20" w:lineRule="exact"/>
              <w:rPr>
                <w:sz w:val="1"/>
                <w:szCs w:val="1"/>
                <w:color w:val="auto"/>
              </w:rPr>
            </w:pPr>
          </w:p>
        </w:tc>
        <w:tc>
          <w:tcPr>
            <w:tcW w:w="68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Frankfurt Marriott Hotelmanagement GmbH</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Furana Holdings Pvt Ltd</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Maldives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Galaxy Hotel Systems LLC</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Gambits, A Nonprofit Corporation (Incorporated Club)</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Utah</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Gateway Beverages, Inc.</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Geyex International N.V.</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Curacao</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GH Hotel Operating Company Limited</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Global Connextions LLC</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Global Hospitality Licensing S.à r.l.</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Global Hospitality Licensing S.À R.L. (Macao Tax Registration)</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Macao</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Global Hospitality Licensing S.A.R.L. (India Tax Registration)</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India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Global Hospitality Licensing S.A.R.L. (Jordan Tax Registration)</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Jordan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Global Hospitality Licensing S.A.R.L. (Kuwait Tax Registration)</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Kuwait</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Global Hospitality Licensing S.A.R.L. (Qatar Tax Registration)</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Qatar</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w w:val="95"/>
              </w:rPr>
              <w:t>Global Hospitality Licensing S.A.R.L. (Saudi Arabia Tax Registration)</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Saudi Arabia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Granton International, Ltd.</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Virgin Islands, British</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Guangzhou Gingerroot Information Technology Co., Ltd.</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Guangzhou Starwood Customer Contact Centre Co., Ltd.</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Hamburg Marriott Hotelmanagement GmbH</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Headquarters Hotel Management, L.L.C.</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New Jersey</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Heidelberg Marriott Hotelmanagement GmbH</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Hospitality International, Inc.</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Host Restaurants, Inc.</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HOT Finance Luxembourg SARL</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HOT Finance Luxembourg, LLC</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HOT Global Holding SCS</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HOT International Finance SARL</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HOT International Holding S.A.R.L., Luxembourg, Zurich Branch</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HOT International Holding SARL</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HOT Luxembourg Holding SARL</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HOT Ventures LLC</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Hotel Gym Ventures, LLC</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Hotel Investors of Michigan, Inc.</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Hotel Investors of Nebraska, Inc.</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Nebraska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Hotel Macenas Sl (Joint Venture)</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Spain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Hoteles de Chile S.A. (Joint Venture)</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Chile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Hoteles Sheraton del Peru S.A.C</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Peru</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Hoteles Sheraton, S. de R.L. de C.V.</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Hudson Sheraton Corporation LLC</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Hunt Valley Courtyard, Inc.</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IDF Enterprises LLC</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Inter Heritage (M) Sdn. Bhd.</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Malaysia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International Hotel Licensing Company (India Tax Registration)</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India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2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International Hotel Licensing Company (Jordan Tax Registration)</w:t>
            </w:r>
          </w:p>
        </w:tc>
        <w:tc>
          <w:tcPr>
            <w:tcW w:w="306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Jordan</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International Hotel Licensing Company (Kuwait Tax Registration)</w:t>
            </w:r>
          </w:p>
        </w:tc>
        <w:tc>
          <w:tcPr>
            <w:tcW w:w="306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Arial" w:cs="Arial" w:eastAsia="Arial" w:hAnsi="Arial"/>
                <w:sz w:val="18"/>
                <w:szCs w:val="18"/>
                <w:color w:val="auto"/>
              </w:rPr>
              <w:t>Kuwait</w:t>
            </w:r>
          </w:p>
        </w:tc>
      </w:tr>
      <w:tr>
        <w:trPr>
          <w:trHeight w:val="822"/>
        </w:trPr>
        <w:tc>
          <w:tcPr>
            <w:tcW w:w="20" w:type="dxa"/>
            <w:vAlign w:val="bottom"/>
            <w:tcBorders>
              <w:top w:val="single" w:sz="8" w:color="C0C0C0"/>
            </w:tcBorders>
          </w:tcPr>
          <w:p>
            <w:pPr>
              <w:spacing w:after="0"/>
              <w:rPr>
                <w:sz w:val="24"/>
                <w:szCs w:val="24"/>
                <w:color w:val="auto"/>
              </w:rPr>
            </w:pPr>
          </w:p>
        </w:tc>
        <w:tc>
          <w:tcPr>
            <w:tcW w:w="940" w:type="dxa"/>
            <w:vAlign w:val="bottom"/>
            <w:tcBorders>
              <w:top w:val="single" w:sz="8" w:color="C0C0C0"/>
            </w:tcBorders>
          </w:tcPr>
          <w:p>
            <w:pPr>
              <w:spacing w:after="0"/>
              <w:rPr>
                <w:sz w:val="24"/>
                <w:szCs w:val="24"/>
                <w:color w:val="auto"/>
              </w:rPr>
            </w:pPr>
          </w:p>
        </w:tc>
        <w:tc>
          <w:tcPr>
            <w:tcW w:w="4320" w:type="dxa"/>
            <w:vAlign w:val="bottom"/>
            <w:tcBorders>
              <w:top w:val="single" w:sz="8" w:color="C0C0C0"/>
            </w:tcBorders>
          </w:tcPr>
          <w:p>
            <w:pPr>
              <w:spacing w:after="0"/>
              <w:rPr>
                <w:sz w:val="24"/>
                <w:szCs w:val="24"/>
                <w:color w:val="auto"/>
              </w:rPr>
            </w:pPr>
          </w:p>
        </w:tc>
        <w:tc>
          <w:tcPr>
            <w:tcW w:w="3060" w:type="dxa"/>
            <w:vAlign w:val="bottom"/>
            <w:tcBorders>
              <w:top w:val="single" w:sz="8" w:color="C0C0C0"/>
            </w:tcBorders>
          </w:tcPr>
          <w:p>
            <w:pPr>
              <w:jc w:val="right"/>
              <w:ind w:right="2612"/>
              <w:spacing w:after="0"/>
              <w:rPr>
                <w:sz w:val="20"/>
                <w:szCs w:val="20"/>
                <w:color w:val="auto"/>
              </w:rPr>
            </w:pPr>
            <w:r>
              <w:rPr>
                <w:rFonts w:ascii="Arial" w:cs="Arial" w:eastAsia="Arial" w:hAnsi="Arial"/>
                <w:sz w:val="18"/>
                <w:szCs w:val="18"/>
                <w:color w:val="auto"/>
              </w:rPr>
              <w:t>4</w:t>
            </w:r>
          </w:p>
        </w:tc>
        <w:tc>
          <w:tcPr>
            <w:tcW w:w="2180" w:type="dxa"/>
            <w:vAlign w:val="bottom"/>
            <w:tcBorders>
              <w:top w:val="single" w:sz="8" w:color="C0C0C0"/>
            </w:tcBorders>
          </w:tcPr>
          <w:p>
            <w:pPr>
              <w:spacing w:after="0"/>
              <w:rPr>
                <w:sz w:val="24"/>
                <w:szCs w:val="24"/>
                <w:color w:val="auto"/>
              </w:rPr>
            </w:pPr>
          </w:p>
        </w:tc>
        <w:tc>
          <w:tcPr>
            <w:tcW w:w="680" w:type="dxa"/>
            <w:vAlign w:val="bottom"/>
            <w:tcBorders>
              <w:top w:val="single" w:sz="8" w:color="C0C0C0"/>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20"/>
          </w:cols>
          <w:pgMar w:left="340" w:top="121" w:right="3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2880" w:type="dxa"/>
            <w:vAlign w:val="bottom"/>
            <w:gridSpan w:val="3"/>
          </w:tcPr>
          <w:p>
            <w:pPr>
              <w:ind w:left="2100"/>
              <w:spacing w:after="0"/>
              <w:rPr>
                <w:sz w:val="20"/>
                <w:szCs w:val="20"/>
                <w:color w:val="auto"/>
              </w:rPr>
            </w:pPr>
            <w:r>
              <w:rPr>
                <w:rFonts w:ascii="Arial" w:cs="Arial" w:eastAsia="Arial" w:hAnsi="Arial"/>
                <w:sz w:val="18"/>
                <w:szCs w:val="18"/>
                <w:b w:val="1"/>
                <w:bCs w:val="1"/>
                <w:color w:val="auto"/>
                <w:w w:val="89"/>
              </w:rPr>
              <w:t>Exhibit 21</w:t>
            </w:r>
          </w:p>
        </w:tc>
      </w:tr>
      <w:tr>
        <w:trPr>
          <w:trHeight w:val="843"/>
        </w:trPr>
        <w:tc>
          <w:tcPr>
            <w:tcW w:w="2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Entity Name</w:t>
            </w:r>
          </w:p>
        </w:tc>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20" w:type="dxa"/>
            <w:vAlign w:val="bottom"/>
            <w:tcBorders>
              <w:bottom w:val="single" w:sz="8" w:color="C0C0C0"/>
            </w:tcBorders>
          </w:tcPr>
          <w:p>
            <w:pPr>
              <w:spacing w:after="0" w:line="20" w:lineRule="exact"/>
              <w:rPr>
                <w:sz w:val="1"/>
                <w:szCs w:val="1"/>
                <w:color w:val="auto"/>
              </w:rPr>
            </w:pPr>
          </w:p>
        </w:tc>
        <w:tc>
          <w:tcPr>
            <w:tcW w:w="940" w:type="dxa"/>
            <w:vAlign w:val="bottom"/>
            <w:tcBorders>
              <w:top w:val="single" w:sz="8" w:color="auto"/>
              <w:bottom w:val="single" w:sz="8" w:color="C0C0C0"/>
            </w:tcBorders>
          </w:tcPr>
          <w:p>
            <w:pPr>
              <w:spacing w:after="0" w:line="20" w:lineRule="exact"/>
              <w:rPr>
                <w:sz w:val="1"/>
                <w:szCs w:val="1"/>
                <w:color w:val="auto"/>
              </w:rPr>
            </w:pPr>
          </w:p>
        </w:tc>
        <w:tc>
          <w:tcPr>
            <w:tcW w:w="7380" w:type="dxa"/>
            <w:vAlign w:val="bottom"/>
            <w:tcBorders>
              <w:bottom w:val="single" w:sz="8" w:color="C0C0C0"/>
            </w:tcBorders>
          </w:tcPr>
          <w:p>
            <w:pPr>
              <w:spacing w:after="0" w:line="20" w:lineRule="exact"/>
              <w:rPr>
                <w:sz w:val="1"/>
                <w:szCs w:val="1"/>
                <w:color w:val="auto"/>
              </w:rPr>
            </w:pPr>
          </w:p>
        </w:tc>
        <w:tc>
          <w:tcPr>
            <w:tcW w:w="2180" w:type="dxa"/>
            <w:vAlign w:val="bottom"/>
            <w:tcBorders>
              <w:top w:val="single" w:sz="8" w:color="auto"/>
              <w:bottom w:val="single" w:sz="8" w:color="C0C0C0"/>
            </w:tcBorders>
          </w:tcPr>
          <w:p>
            <w:pPr>
              <w:spacing w:after="0" w:line="20" w:lineRule="exact"/>
              <w:rPr>
                <w:sz w:val="1"/>
                <w:szCs w:val="1"/>
                <w:color w:val="auto"/>
              </w:rPr>
            </w:pPr>
          </w:p>
        </w:tc>
        <w:tc>
          <w:tcPr>
            <w:tcW w:w="68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International Hotel Licensing Company (Qatar Tax Registration)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Qatar</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International Hotel Licensing Company (Saudi Arabia Tax Registration)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Saudi Arabia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International Hotel Licensing Company S.à r.l, Luxembourg, Zurich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International Hotel Licensing Company S.àr.l.</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International Luxury Hotels (Singapore) Pte.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Singapore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International Tourism Management Services,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Inversiones ECA, S.A. de C.V.</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ITT Corporation Split Dollar Life/Death Benefits Trust</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New York</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Jamaica Grande Limited - (Joint Venture)</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Jamaica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Japan Hospitality Service Company</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Japan Hotel Management Company</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JG's Vancouver Market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Kansas Hospitality Services,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Kansas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Koorshevel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Israel</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KW Beach Suites Limited Partnership</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LAX Properties,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Le Centre Sheraton Limited Partnership</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Leipzig Marriott Hotelmanagement GmbH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LF, South Beach,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LHI (MYANMAR) CO.,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Myanmar</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LHI Rwanda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Rwanda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Limited Liability Company "CYBM Voznesenkiy Hotel Leasing"</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Russian Federation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Limited Liability Company "Renaissance Samara Hotel Leasing"</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Russian Federation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Limited Liability Company "Renaissance St. Petersburg Hotel Leasing"</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Russian Federation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Limited Liability Company "St. Petersburg CY Hotel Leasing"</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Russian Federation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Limited Liability Company Marriott Novy Arbat Hotel Leasing</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Russian Federation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LLC MHR Nizhny Novgorod Hotel Management</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Russian Federation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LM IPCO (Italy)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Lottco I,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Lottco II,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 Hotels Management Peru S.A.C.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Peru</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 International Hotels N.V.</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Curacao</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Canada, ULC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China Hotels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Hong Kong</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China Hotels Limited (China Registration)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Finance,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Holding of Luxembourg S.àr.l.</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 Leasing South Africa (Pty) Ltd (f/k/a PH Hunters Rest (Pty)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South Africa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 Management of Bolivia S.R.L.</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Bolivia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 Management of Czech Republic s.r.o.</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Czech Republic</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&amp; Resorts (Thailand)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Thailand</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(Barbados)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Barbados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(China) International Management of Hong Kong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Hong Kong</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(China) International Management of Hong Kong Limited (China Tax registration)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Broad-Based Ownership Trust</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South Africa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Cape Town (Pty)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South Africa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Design &amp; Construction Hong Kong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Hong Kong</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(Gabon) SARL</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Gabon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Company of Jamaica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Jamaica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Design &amp; Construction Services,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20"/>
          </w:cols>
          <w:pgMar w:left="340" w:top="121" w:right="339" w:bottom="144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2880" w:type="dxa"/>
            <w:vAlign w:val="bottom"/>
            <w:gridSpan w:val="3"/>
          </w:tcPr>
          <w:p>
            <w:pPr>
              <w:ind w:left="2100"/>
              <w:spacing w:after="0"/>
              <w:rPr>
                <w:sz w:val="20"/>
                <w:szCs w:val="20"/>
                <w:color w:val="auto"/>
              </w:rPr>
            </w:pPr>
            <w:r>
              <w:rPr>
                <w:rFonts w:ascii="Arial" w:cs="Arial" w:eastAsia="Arial" w:hAnsi="Arial"/>
                <w:sz w:val="18"/>
                <w:szCs w:val="18"/>
                <w:b w:val="1"/>
                <w:bCs w:val="1"/>
                <w:color w:val="auto"/>
                <w:w w:val="89"/>
              </w:rPr>
              <w:t>Exhibit 21</w:t>
            </w:r>
          </w:p>
        </w:tc>
      </w:tr>
      <w:tr>
        <w:trPr>
          <w:trHeight w:val="843"/>
        </w:trPr>
        <w:tc>
          <w:tcPr>
            <w:tcW w:w="2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Entity Name</w:t>
            </w:r>
          </w:p>
        </w:tc>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20" w:type="dxa"/>
            <w:vAlign w:val="bottom"/>
            <w:tcBorders>
              <w:bottom w:val="single" w:sz="8" w:color="C0C0C0"/>
            </w:tcBorders>
          </w:tcPr>
          <w:p>
            <w:pPr>
              <w:spacing w:after="0" w:line="20" w:lineRule="exact"/>
              <w:rPr>
                <w:sz w:val="1"/>
                <w:szCs w:val="1"/>
                <w:color w:val="auto"/>
              </w:rPr>
            </w:pPr>
          </w:p>
        </w:tc>
        <w:tc>
          <w:tcPr>
            <w:tcW w:w="940" w:type="dxa"/>
            <w:vAlign w:val="bottom"/>
            <w:tcBorders>
              <w:top w:val="single" w:sz="8" w:color="auto"/>
              <w:bottom w:val="single" w:sz="8" w:color="C0C0C0"/>
            </w:tcBorders>
          </w:tcPr>
          <w:p>
            <w:pPr>
              <w:spacing w:after="0" w:line="20" w:lineRule="exact"/>
              <w:rPr>
                <w:sz w:val="1"/>
                <w:szCs w:val="1"/>
                <w:color w:val="auto"/>
              </w:rPr>
            </w:pPr>
          </w:p>
        </w:tc>
        <w:tc>
          <w:tcPr>
            <w:tcW w:w="7380" w:type="dxa"/>
            <w:vAlign w:val="bottom"/>
            <w:tcBorders>
              <w:bottom w:val="single" w:sz="8" w:color="C0C0C0"/>
            </w:tcBorders>
          </w:tcPr>
          <w:p>
            <w:pPr>
              <w:spacing w:after="0" w:line="20" w:lineRule="exact"/>
              <w:rPr>
                <w:sz w:val="1"/>
                <w:szCs w:val="1"/>
                <w:color w:val="auto"/>
              </w:rPr>
            </w:pPr>
          </w:p>
        </w:tc>
        <w:tc>
          <w:tcPr>
            <w:tcW w:w="2180" w:type="dxa"/>
            <w:vAlign w:val="bottom"/>
            <w:tcBorders>
              <w:top w:val="single" w:sz="8" w:color="auto"/>
              <w:bottom w:val="single" w:sz="8" w:color="C0C0C0"/>
            </w:tcBorders>
          </w:tcPr>
          <w:p>
            <w:pPr>
              <w:spacing w:after="0" w:line="20" w:lineRule="exact"/>
              <w:rPr>
                <w:sz w:val="1"/>
                <w:szCs w:val="1"/>
                <w:color w:val="auto"/>
              </w:rPr>
            </w:pPr>
          </w:p>
        </w:tc>
        <w:tc>
          <w:tcPr>
            <w:tcW w:w="68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Lodging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Bermuda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Lodging Ltd. (Cayman Islands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Cayman Islands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Lodging Ltd. (Panama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Panama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Management (Bonaire) B.V.</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Bonaire, Sint Eustatius and Saba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Management (Oman)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Oman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Management Austria GmbH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Austria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Management Belgium SPRL</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Belgium</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Management Colombia S.A.S.</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Colombia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Management Company B.V.</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Management Company B.V. (Azerbaijan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Azerbaijan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Management Company B.V. (China Tax Registration)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Management Company B.V. (Egypt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Egypt</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Management Company B.V. (El Salvador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El Salvador</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Management Company B.V. (Libya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Libya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Management Company B.V. (Malaysia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Malaysia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Management Company B.V. (Portuguese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Portugal</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Management Company B.V. (Saudi Arabia Tax Registration)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Saudi Arabia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Management Company B.V., Taiwan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Taiwan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Management Company B.V., útibú á Íslandi (Iceland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Iceland</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Management Italy Srl.</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Italy</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Management Mexico, S.A. de C.V.</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Management of Aruba N.V.</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Aruba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Management of Guatemala, S.A.</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Guatemala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Management of Saudi Arabia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Saudi Arabia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Management St. Kitts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Saint Kitts and Nevis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Management Switzerland GmbH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MEA-KSA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Saudi Arabia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MEA-QFC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Qatar</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of Canada, ULC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of France SAS</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of Hong Kong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Hong Kong</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of Hong Kong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Hong Kong</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of Hong Kong Limited (China Registration)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of Hong Kong Limited (Korea Tax Registration)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of Hong Kong Limited (Macao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Macao</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of Japan,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of Puerto Rico,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Puerto Rico</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of Spain S.L.U.</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Spain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of Tunisia SARL</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Tunisia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OR Tambo (Pty)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South Africa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Sales of Israel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Israel</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Saudi Arabia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Saudi Arabia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South Africa (Pty)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South Africa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International Sweden AB</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Sweden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Irish Holding Company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Ireland</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Management (BVI)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Virgin Islands, British</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Management (BVI) Limited (Guyana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Guyana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Management (BVI) Limited (Haiti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Haiti</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Management (BVI) Limited Ogranak Beograd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Serbia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Management (Ghana)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Ghana</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20"/>
          </w:cols>
          <w:pgMar w:left="340" w:top="121" w:right="339" w:bottom="144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2880" w:type="dxa"/>
            <w:vAlign w:val="bottom"/>
            <w:gridSpan w:val="3"/>
          </w:tcPr>
          <w:p>
            <w:pPr>
              <w:ind w:left="2100"/>
              <w:spacing w:after="0"/>
              <w:rPr>
                <w:sz w:val="20"/>
                <w:szCs w:val="20"/>
                <w:color w:val="auto"/>
              </w:rPr>
            </w:pPr>
            <w:r>
              <w:rPr>
                <w:rFonts w:ascii="Arial" w:cs="Arial" w:eastAsia="Arial" w:hAnsi="Arial"/>
                <w:sz w:val="18"/>
                <w:szCs w:val="18"/>
                <w:b w:val="1"/>
                <w:bCs w:val="1"/>
                <w:color w:val="auto"/>
                <w:w w:val="89"/>
              </w:rPr>
              <w:t>Exhibit 21</w:t>
            </w:r>
          </w:p>
        </w:tc>
      </w:tr>
      <w:tr>
        <w:trPr>
          <w:trHeight w:val="843"/>
        </w:trPr>
        <w:tc>
          <w:tcPr>
            <w:tcW w:w="2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Entity Name</w:t>
            </w:r>
          </w:p>
        </w:tc>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20" w:type="dxa"/>
            <w:vAlign w:val="bottom"/>
            <w:tcBorders>
              <w:bottom w:val="single" w:sz="8" w:color="C0C0C0"/>
            </w:tcBorders>
          </w:tcPr>
          <w:p>
            <w:pPr>
              <w:spacing w:after="0" w:line="20" w:lineRule="exact"/>
              <w:rPr>
                <w:sz w:val="1"/>
                <w:szCs w:val="1"/>
                <w:color w:val="auto"/>
              </w:rPr>
            </w:pPr>
          </w:p>
        </w:tc>
        <w:tc>
          <w:tcPr>
            <w:tcW w:w="940" w:type="dxa"/>
            <w:vAlign w:val="bottom"/>
            <w:tcBorders>
              <w:top w:val="single" w:sz="8" w:color="auto"/>
              <w:bottom w:val="single" w:sz="8" w:color="C0C0C0"/>
            </w:tcBorders>
          </w:tcPr>
          <w:p>
            <w:pPr>
              <w:spacing w:after="0" w:line="20" w:lineRule="exact"/>
              <w:rPr>
                <w:sz w:val="1"/>
                <w:szCs w:val="1"/>
                <w:color w:val="auto"/>
              </w:rPr>
            </w:pPr>
          </w:p>
        </w:tc>
        <w:tc>
          <w:tcPr>
            <w:tcW w:w="7380" w:type="dxa"/>
            <w:vAlign w:val="bottom"/>
            <w:tcBorders>
              <w:bottom w:val="single" w:sz="8" w:color="C0C0C0"/>
            </w:tcBorders>
          </w:tcPr>
          <w:p>
            <w:pPr>
              <w:spacing w:after="0" w:line="20" w:lineRule="exact"/>
              <w:rPr>
                <w:sz w:val="1"/>
                <w:szCs w:val="1"/>
                <w:color w:val="auto"/>
              </w:rPr>
            </w:pPr>
          </w:p>
        </w:tc>
        <w:tc>
          <w:tcPr>
            <w:tcW w:w="2180" w:type="dxa"/>
            <w:vAlign w:val="bottom"/>
            <w:tcBorders>
              <w:top w:val="single" w:sz="8" w:color="auto"/>
              <w:bottom w:val="single" w:sz="8" w:color="C0C0C0"/>
            </w:tcBorders>
          </w:tcPr>
          <w:p>
            <w:pPr>
              <w:spacing w:after="0" w:line="20" w:lineRule="exact"/>
              <w:rPr>
                <w:sz w:val="1"/>
                <w:szCs w:val="1"/>
                <w:color w:val="auto"/>
              </w:rPr>
            </w:pPr>
          </w:p>
        </w:tc>
        <w:tc>
          <w:tcPr>
            <w:tcW w:w="68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Management Bermuda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Bermuda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Management MEA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United Arab Emirates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Management St. Lucia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Saint Lucia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of Costa Rica Management Company, Sociedad de Responsabilidad Limitada</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Costa Rica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of Turks &amp; Caicos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Turks and Caicos Islands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Poland sp. z o.o.</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Poland</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Hotels Uluslararasi Otel Isletmeciligi Limited Sirketi</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Turkey</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International Holdings of Canada, ULC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International Management Nigeria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Nigeria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Lodging (CMB) Co.,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Cambodia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MANAGEMENT COMPANY MACEDONIA DOOEL Skopje</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North Macedonia, Republic of</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Reservations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Ireland</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Swiss Management Company GmbH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Swiss Management Company GmbH (Morocco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Morocco</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Swiss Management Company GmbH (New Zealand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New Zealand</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Swiss Management Company GmbH, Ethiopia International Contracting Office</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Ethiopia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 Switzerland Holding Company GmbH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LuxuryHotels International of Ecuador Cia. Ltda.</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Ecuador</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M.H.S. Realty Sales,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Malta Regional Hospitality Licensing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Malta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Manhattan Sheraton Corporation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New York</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 Hoteis de Sao Paulo Ltda.</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Marceau Investissements SA</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Marquis Insurance Corporation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Hawaii</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(Schweiz) GmbH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Acquisition 2002 Subsidiary,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Acquisition 2002,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Argentina Licensing Company S.A.</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Argentina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BRASIL LICENCIAMENTO LTDA</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BRASIL SERVICOS LTDA</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Cayman Islands Licensing Company I,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Cayman Islands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Cayman Islands Licensing Company II,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Cayman Islands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Cayman Islands Licensing Company III,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Cayman Islands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Cayman Islands Licensing Company IV,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Cayman Islands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Cayman Islands Licensing Company VI,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Cayman Islands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Cayman Islands Licensing Company VIII,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Cayman Islands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Cayman Islands Licensing Company X,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Cayman Islands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Chile Licensing Company Limitada</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Chile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Chile S.A.</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Chile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Claims Services Corporation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Crystal City Manager,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Curacao N.V.</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Curacao</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De Honduras, Sociedad de Responsabilidad Limitada</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Honduras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DH Holding AG</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Ecuador Licensing Company MLC CIA LTDA</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Ecuador</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European Holdings Limited - (Joint Venture)</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Jersey</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European Hotel Operating Company Limited - (Joint Venture)</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Fifth Avenue,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France Group Companies SAS</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Hotel Holding GmbH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Hotel Management Company (Virgin Islands),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Virgin Islands, U.S.</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20"/>
          </w:cols>
          <w:pgMar w:left="340" w:top="121" w:right="339" w:bottom="144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2880" w:type="dxa"/>
            <w:vAlign w:val="bottom"/>
            <w:gridSpan w:val="3"/>
          </w:tcPr>
          <w:p>
            <w:pPr>
              <w:ind w:left="2100"/>
              <w:spacing w:after="0"/>
              <w:rPr>
                <w:sz w:val="20"/>
                <w:szCs w:val="20"/>
                <w:color w:val="auto"/>
              </w:rPr>
            </w:pPr>
            <w:r>
              <w:rPr>
                <w:rFonts w:ascii="Arial" w:cs="Arial" w:eastAsia="Arial" w:hAnsi="Arial"/>
                <w:sz w:val="18"/>
                <w:szCs w:val="18"/>
                <w:b w:val="1"/>
                <w:bCs w:val="1"/>
                <w:color w:val="auto"/>
                <w:w w:val="89"/>
              </w:rPr>
              <w:t>Exhibit 21</w:t>
            </w:r>
          </w:p>
        </w:tc>
      </w:tr>
      <w:tr>
        <w:trPr>
          <w:trHeight w:val="843"/>
        </w:trPr>
        <w:tc>
          <w:tcPr>
            <w:tcW w:w="2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Entity Name</w:t>
            </w:r>
          </w:p>
        </w:tc>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20" w:type="dxa"/>
            <w:vAlign w:val="bottom"/>
            <w:tcBorders>
              <w:bottom w:val="single" w:sz="8" w:color="C0C0C0"/>
            </w:tcBorders>
          </w:tcPr>
          <w:p>
            <w:pPr>
              <w:spacing w:after="0" w:line="20" w:lineRule="exact"/>
              <w:rPr>
                <w:sz w:val="1"/>
                <w:szCs w:val="1"/>
                <w:color w:val="auto"/>
              </w:rPr>
            </w:pPr>
          </w:p>
        </w:tc>
        <w:tc>
          <w:tcPr>
            <w:tcW w:w="940" w:type="dxa"/>
            <w:vAlign w:val="bottom"/>
            <w:tcBorders>
              <w:top w:val="single" w:sz="8" w:color="auto"/>
              <w:bottom w:val="single" w:sz="8" w:color="C0C0C0"/>
            </w:tcBorders>
          </w:tcPr>
          <w:p>
            <w:pPr>
              <w:spacing w:after="0" w:line="20" w:lineRule="exact"/>
              <w:rPr>
                <w:sz w:val="1"/>
                <w:szCs w:val="1"/>
                <w:color w:val="auto"/>
              </w:rPr>
            </w:pPr>
          </w:p>
        </w:tc>
        <w:tc>
          <w:tcPr>
            <w:tcW w:w="7380" w:type="dxa"/>
            <w:vAlign w:val="bottom"/>
            <w:tcBorders>
              <w:bottom w:val="single" w:sz="8" w:color="C0C0C0"/>
            </w:tcBorders>
          </w:tcPr>
          <w:p>
            <w:pPr>
              <w:spacing w:after="0" w:line="20" w:lineRule="exact"/>
              <w:rPr>
                <w:sz w:val="1"/>
                <w:szCs w:val="1"/>
                <w:color w:val="auto"/>
              </w:rPr>
            </w:pPr>
          </w:p>
        </w:tc>
        <w:tc>
          <w:tcPr>
            <w:tcW w:w="2180" w:type="dxa"/>
            <w:vAlign w:val="bottom"/>
            <w:tcBorders>
              <w:top w:val="single" w:sz="8" w:color="auto"/>
              <w:bottom w:val="single" w:sz="8" w:color="C0C0C0"/>
            </w:tcBorders>
          </w:tcPr>
          <w:p>
            <w:pPr>
              <w:spacing w:after="0" w:line="20" w:lineRule="exact"/>
              <w:rPr>
                <w:sz w:val="1"/>
                <w:szCs w:val="1"/>
                <w:color w:val="auto"/>
              </w:rPr>
            </w:pPr>
          </w:p>
        </w:tc>
        <w:tc>
          <w:tcPr>
            <w:tcW w:w="68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Hotel Services Berlin GmbH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Hotel Services,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Hotel-Betriebsgesellschaft, m.b.H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Austria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Hotelmanagement Cologne GmbH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Hotelmanagement GmbH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Hotels Denmark A/S</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Denmark</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Hotels Hellas, S.A.</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Greece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Hotels India Private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India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Hotels International B.V.</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Hotels International B.V. (Armenia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Armenia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Hotels International B.V. (Caracas, Venezuela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Venezuela, Bolivarian Republic of</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Hotels International B.V. (China Registration)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Hotels International B.V. (Dominican Republic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Dominican Republic</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Hotels International B.V. (Egypt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Egypt</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Hotels International B.V. (Jordan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Jordan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Hotels International B.V. (Kuwait Tax Registration)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Kuwait</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Hotels International B.V. (Portugal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Portugal</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Hotels International B.V. (Saudi Arabia Tax Registration)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Saudi Arabia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Hotels International B.V. (Seoul MEA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Hotels International B.V. (Seoul, South Korea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Hotels International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Hotels International Limited (Belgium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Belgium</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Hotels International Limited (French Branch - Liasion Office)</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Hotels International Limited (Representative Office)</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Spain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Hotels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Hotels Maldives Private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Maldives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Hotels Management France SAS</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Hotels of Amsterdam, B.V.</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Hotels, S.A. de C.V.</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Hurghada Management,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Hurghada Management, Inc. (Egypt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Egypt</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International Administrative Services,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International Capital Corporation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International Construction Services,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International Design &amp; Construction Services,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International Design &amp; Construction Services, Inc. (India Registration)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India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International Design &amp; Construction Services, Inc. (UK Establishment)</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International Design and Construction Services, Inc. (Qatar Tax Registration)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Qatar</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International Design and Construction Services, Inc., Kuwait Tax Registration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Kuwait</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International Finance Company B.V.</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International Holding Company B.V., Bertrange, Zurich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International Holding Company B.V./S.àr.l.</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International Hotels,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Maryland</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International Hotels, Inc. (Argentina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Argentina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International Hotels, Inc. (Ecuador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Ecuador</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International Hotels, Inc. (India Registration)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India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International Hotels, Inc. (Malaysia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Malaysia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International Hotels, Inc. (Philippine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Philippines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International Hotels, Inc. (Saudi Arabia Tax Registration)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Saudi Arabia</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20"/>
          </w:cols>
          <w:pgMar w:left="340" w:top="121" w:right="339" w:bottom="144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2880" w:type="dxa"/>
            <w:vAlign w:val="bottom"/>
            <w:gridSpan w:val="3"/>
          </w:tcPr>
          <w:p>
            <w:pPr>
              <w:ind w:left="2100"/>
              <w:spacing w:after="0"/>
              <w:rPr>
                <w:sz w:val="20"/>
                <w:szCs w:val="20"/>
                <w:color w:val="auto"/>
              </w:rPr>
            </w:pPr>
            <w:r>
              <w:rPr>
                <w:rFonts w:ascii="Arial" w:cs="Arial" w:eastAsia="Arial" w:hAnsi="Arial"/>
                <w:sz w:val="18"/>
                <w:szCs w:val="18"/>
                <w:b w:val="1"/>
                <w:bCs w:val="1"/>
                <w:color w:val="auto"/>
                <w:w w:val="89"/>
              </w:rPr>
              <w:t>Exhibit 21</w:t>
            </w:r>
          </w:p>
        </w:tc>
      </w:tr>
      <w:tr>
        <w:trPr>
          <w:trHeight w:val="843"/>
        </w:trPr>
        <w:tc>
          <w:tcPr>
            <w:tcW w:w="2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Entity Name</w:t>
            </w:r>
          </w:p>
        </w:tc>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20" w:type="dxa"/>
            <w:vAlign w:val="bottom"/>
            <w:tcBorders>
              <w:bottom w:val="single" w:sz="8" w:color="C0C0C0"/>
            </w:tcBorders>
          </w:tcPr>
          <w:p>
            <w:pPr>
              <w:spacing w:after="0" w:line="20" w:lineRule="exact"/>
              <w:rPr>
                <w:sz w:val="1"/>
                <w:szCs w:val="1"/>
                <w:color w:val="auto"/>
              </w:rPr>
            </w:pPr>
          </w:p>
        </w:tc>
        <w:tc>
          <w:tcPr>
            <w:tcW w:w="940" w:type="dxa"/>
            <w:vAlign w:val="bottom"/>
            <w:tcBorders>
              <w:top w:val="single" w:sz="8" w:color="auto"/>
              <w:bottom w:val="single" w:sz="8" w:color="C0C0C0"/>
            </w:tcBorders>
          </w:tcPr>
          <w:p>
            <w:pPr>
              <w:spacing w:after="0" w:line="20" w:lineRule="exact"/>
              <w:rPr>
                <w:sz w:val="1"/>
                <w:szCs w:val="1"/>
                <w:color w:val="auto"/>
              </w:rPr>
            </w:pPr>
          </w:p>
        </w:tc>
        <w:tc>
          <w:tcPr>
            <w:tcW w:w="7380" w:type="dxa"/>
            <w:vAlign w:val="bottom"/>
            <w:tcBorders>
              <w:bottom w:val="single" w:sz="8" w:color="C0C0C0"/>
            </w:tcBorders>
          </w:tcPr>
          <w:p>
            <w:pPr>
              <w:spacing w:after="0" w:line="20" w:lineRule="exact"/>
              <w:rPr>
                <w:sz w:val="1"/>
                <w:szCs w:val="1"/>
                <w:color w:val="auto"/>
              </w:rPr>
            </w:pPr>
          </w:p>
        </w:tc>
        <w:tc>
          <w:tcPr>
            <w:tcW w:w="2180" w:type="dxa"/>
            <w:vAlign w:val="bottom"/>
            <w:tcBorders>
              <w:top w:val="single" w:sz="8" w:color="auto"/>
              <w:bottom w:val="single" w:sz="8" w:color="C0C0C0"/>
            </w:tcBorders>
          </w:tcPr>
          <w:p>
            <w:pPr>
              <w:spacing w:after="0" w:line="20" w:lineRule="exact"/>
              <w:rPr>
                <w:sz w:val="1"/>
                <w:szCs w:val="1"/>
                <w:color w:val="auto"/>
              </w:rPr>
            </w:pPr>
          </w:p>
        </w:tc>
        <w:tc>
          <w:tcPr>
            <w:tcW w:w="68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International Hotels, Inc. Maryland USA Sucursala Bucuresti Romania (Romanian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Romania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International JBS Corporation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International Licensing Company B.V.</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International Licensing Company, B.V. (India Tax Registration)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India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International Lodging N.V.</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Curacao</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International Management Company B.V.</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International Management Company B.V. (Australian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Australia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International Management Company B.V. (Courtyard Suwon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International Management Company B.V. (Dongdaemoon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International Management Company B.V. (Fairfield Busan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International Management Company B.V. (Fairfield Busan Songdo Beach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International Management Company B.V. (Fairfield Yeongdeungpo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International Management Company B.V. (Magok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International Management Company B.V. (Namdaemun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International Management Company B.V. (Seongnam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International Management Company B.V. (Seoul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Korea, Republic of</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International Management Company BV (China Registration)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International,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International, Inc. (India Registration)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India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International, Inc. (Saudi Arabia Tax Registration)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Saudi Arabia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International, Inc. (Sucursal en Cuba)</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Cuba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Inversiones y Servicios Limitada</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Chile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Jamaica Licensing Company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Jamaica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Magenta Holding Company,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Market Street Hotel,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Mirage City Management,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Oak Brook Hills Services,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P.R. Management Corporation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Payment Services,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Payroll Services,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Peru Licensing Company SRL</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Peru</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Properties (International)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Hong Kong</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Ranch Properties,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Rewards Subsidiary,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Rewards,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Rewards,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Arizona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RHG Acquisition B.V./S.àr.l.</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Senior Holding Co.</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Sharm El Sheikh Management (Egypt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Egypt</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Sharm El Sheikh Management,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Switzerland Licensing Company II S.ar.l</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Switzerland Licensing Company S.ar.l</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Switzerland Licensing Company S.ar.l (Nevis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Saint Kitts and Nevis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Trinidad &amp; Tobago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Trinidad and Tobago</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Two Flags Member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Two Flags, LP</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U.S. Virgin Islands Licensing Company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Virgin Islands, U.S.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UK Group Company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UK Management Company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Worldwide Corporation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Maryland</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20"/>
          </w:cols>
          <w:pgMar w:left="340" w:top="121" w:right="33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880" w:type="dxa"/>
            <w:vAlign w:val="bottom"/>
            <w:gridSpan w:val="3"/>
          </w:tcPr>
          <w:p>
            <w:pPr>
              <w:ind w:left="2100"/>
              <w:spacing w:after="0"/>
              <w:rPr>
                <w:sz w:val="20"/>
                <w:szCs w:val="20"/>
                <w:color w:val="auto"/>
              </w:rPr>
            </w:pPr>
            <w:r>
              <w:rPr>
                <w:rFonts w:ascii="Arial" w:cs="Arial" w:eastAsia="Arial" w:hAnsi="Arial"/>
                <w:sz w:val="18"/>
                <w:szCs w:val="18"/>
                <w:b w:val="1"/>
                <w:bCs w:val="1"/>
                <w:color w:val="auto"/>
                <w:w w:val="89"/>
              </w:rPr>
              <w:t>Exhibit 21</w:t>
            </w:r>
          </w:p>
        </w:tc>
      </w:tr>
      <w:tr>
        <w:trPr>
          <w:trHeight w:val="843"/>
        </w:trPr>
        <w:tc>
          <w:tcPr>
            <w:tcW w:w="2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Entity Name</w:t>
            </w:r>
          </w:p>
        </w:tc>
        <w:tc>
          <w:tcPr>
            <w:tcW w:w="3300" w:type="dxa"/>
            <w:vAlign w:val="bottom"/>
          </w:tcPr>
          <w:p>
            <w:pPr>
              <w:spacing w:after="0"/>
              <w:rPr>
                <w:sz w:val="24"/>
                <w:szCs w:val="24"/>
                <w:color w:val="auto"/>
              </w:rPr>
            </w:pPr>
          </w:p>
        </w:tc>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20" w:type="dxa"/>
            <w:vAlign w:val="bottom"/>
            <w:tcBorders>
              <w:bottom w:val="single" w:sz="8" w:color="C0C0C0"/>
            </w:tcBorders>
          </w:tcPr>
          <w:p>
            <w:pPr>
              <w:spacing w:after="0" w:line="20" w:lineRule="exact"/>
              <w:rPr>
                <w:sz w:val="1"/>
                <w:szCs w:val="1"/>
                <w:color w:val="auto"/>
              </w:rPr>
            </w:pPr>
          </w:p>
        </w:tc>
        <w:tc>
          <w:tcPr>
            <w:tcW w:w="940" w:type="dxa"/>
            <w:vAlign w:val="bottom"/>
            <w:tcBorders>
              <w:top w:val="single" w:sz="8" w:color="auto"/>
              <w:bottom w:val="single" w:sz="8" w:color="C0C0C0"/>
            </w:tcBorders>
          </w:tcPr>
          <w:p>
            <w:pPr>
              <w:spacing w:after="0" w:line="20" w:lineRule="exact"/>
              <w:rPr>
                <w:sz w:val="1"/>
                <w:szCs w:val="1"/>
                <w:color w:val="auto"/>
              </w:rPr>
            </w:pPr>
          </w:p>
        </w:tc>
        <w:tc>
          <w:tcPr>
            <w:tcW w:w="4080" w:type="dxa"/>
            <w:vAlign w:val="bottom"/>
            <w:tcBorders>
              <w:bottom w:val="single" w:sz="8" w:color="C0C0C0"/>
            </w:tcBorders>
          </w:tcPr>
          <w:p>
            <w:pPr>
              <w:spacing w:after="0" w:line="20" w:lineRule="exact"/>
              <w:rPr>
                <w:sz w:val="1"/>
                <w:szCs w:val="1"/>
                <w:color w:val="auto"/>
              </w:rPr>
            </w:pPr>
          </w:p>
        </w:tc>
        <w:tc>
          <w:tcPr>
            <w:tcW w:w="3300" w:type="dxa"/>
            <w:vAlign w:val="bottom"/>
            <w:tcBorders>
              <w:bottom w:val="single" w:sz="8" w:color="C0C0C0"/>
            </w:tcBorders>
          </w:tcPr>
          <w:p>
            <w:pPr>
              <w:spacing w:after="0" w:line="20" w:lineRule="exact"/>
              <w:rPr>
                <w:sz w:val="1"/>
                <w:szCs w:val="1"/>
                <w:color w:val="auto"/>
              </w:rPr>
            </w:pPr>
          </w:p>
        </w:tc>
        <w:tc>
          <w:tcPr>
            <w:tcW w:w="2180" w:type="dxa"/>
            <w:vAlign w:val="bottom"/>
            <w:tcBorders>
              <w:top w:val="single" w:sz="8" w:color="auto"/>
              <w:bottom w:val="single" w:sz="8" w:color="C0C0C0"/>
            </w:tcBorders>
          </w:tcPr>
          <w:p>
            <w:pPr>
              <w:spacing w:after="0" w:line="20" w:lineRule="exact"/>
              <w:rPr>
                <w:sz w:val="1"/>
                <w:szCs w:val="1"/>
                <w:color w:val="auto"/>
              </w:rPr>
            </w:pPr>
          </w:p>
        </w:tc>
        <w:tc>
          <w:tcPr>
            <w:tcW w:w="68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0" w:type="dxa"/>
            <w:vAlign w:val="bottom"/>
            <w:tcBorders>
              <w:bottom w:val="single" w:sz="8" w:color="C0C0C0"/>
            </w:tcBorders>
          </w:tcPr>
          <w:p>
            <w:pPr>
              <w:spacing w:after="0"/>
              <w:rPr>
                <w:sz w:val="18"/>
                <w:szCs w:val="18"/>
                <w:color w:val="auto"/>
              </w:rPr>
            </w:pPr>
          </w:p>
        </w:tc>
        <w:tc>
          <w:tcPr>
            <w:tcW w:w="50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Worldwide Corporation (India Registration)</w:t>
            </w:r>
          </w:p>
        </w:tc>
        <w:tc>
          <w:tcPr>
            <w:tcW w:w="330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India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0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Worldwide Corporation (Jordan Branch)</w:t>
            </w:r>
          </w:p>
        </w:tc>
        <w:tc>
          <w:tcPr>
            <w:tcW w:w="330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Jordan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0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Worldwide Corporation (Pakistan Tax Registration)</w:t>
            </w:r>
          </w:p>
        </w:tc>
        <w:tc>
          <w:tcPr>
            <w:tcW w:w="330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Pakistan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0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w w:val="98"/>
              </w:rPr>
              <w:t>Marriott Worldwide Corporation (Saudi Arabia Tax Registration)</w:t>
            </w:r>
          </w:p>
        </w:tc>
        <w:tc>
          <w:tcPr>
            <w:tcW w:w="330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Saudi Arabia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0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Worldwide Payroll, LLC</w:t>
            </w:r>
          </w:p>
        </w:tc>
        <w:tc>
          <w:tcPr>
            <w:tcW w:w="330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0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 Worldwide Reservation Services, LLC</w:t>
            </w:r>
          </w:p>
        </w:tc>
        <w:tc>
          <w:tcPr>
            <w:tcW w:w="330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0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Marriott's Greenbelt Hotel Services, Inc.</w:t>
            </w:r>
          </w:p>
        </w:tc>
        <w:tc>
          <w:tcPr>
            <w:tcW w:w="330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0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Mars Merger Sub, LLC</w:t>
            </w:r>
          </w:p>
        </w:tc>
        <w:tc>
          <w:tcPr>
            <w:tcW w:w="330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0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MC Lodging Investment Opportunities, Inc.</w:t>
            </w:r>
          </w:p>
        </w:tc>
        <w:tc>
          <w:tcPr>
            <w:tcW w:w="330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0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Meridien India I LLC</w:t>
            </w:r>
          </w:p>
        </w:tc>
        <w:tc>
          <w:tcPr>
            <w:tcW w:w="330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0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Meridien India II LLC</w:t>
            </w:r>
          </w:p>
        </w:tc>
        <w:tc>
          <w:tcPr>
            <w:tcW w:w="330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0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Meridien SAS</w:t>
            </w:r>
          </w:p>
        </w:tc>
        <w:tc>
          <w:tcPr>
            <w:tcW w:w="330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0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Meridien SAS, Egypt Branch</w:t>
            </w:r>
          </w:p>
        </w:tc>
        <w:tc>
          <w:tcPr>
            <w:tcW w:w="330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Egypt</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0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Meridien SAS, KSA Tax Registration</w:t>
            </w:r>
          </w:p>
        </w:tc>
        <w:tc>
          <w:tcPr>
            <w:tcW w:w="330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Saudi Arabia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0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MHS Guam, Inc.</w:t>
            </w:r>
          </w:p>
        </w:tc>
        <w:tc>
          <w:tcPr>
            <w:tcW w:w="330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0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MHSFR II, LLC</w:t>
            </w:r>
          </w:p>
        </w:tc>
        <w:tc>
          <w:tcPr>
            <w:tcW w:w="330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0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MHSFR, LLC</w:t>
            </w:r>
          </w:p>
        </w:tc>
        <w:tc>
          <w:tcPr>
            <w:tcW w:w="330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0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MHSI Conference Centers of Texas, Inc.</w:t>
            </w:r>
          </w:p>
        </w:tc>
        <w:tc>
          <w:tcPr>
            <w:tcW w:w="330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MHSI Hawaii, LLC</w:t>
            </w:r>
          </w:p>
        </w:tc>
        <w:tc>
          <w:tcPr>
            <w:tcW w:w="330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822"/>
        </w:trPr>
        <w:tc>
          <w:tcPr>
            <w:tcW w:w="20" w:type="dxa"/>
            <w:vAlign w:val="bottom"/>
            <w:tcBorders>
              <w:top w:val="single" w:sz="8" w:color="C0C0C0"/>
            </w:tcBorders>
          </w:tcPr>
          <w:p>
            <w:pPr>
              <w:spacing w:after="0"/>
              <w:rPr>
                <w:sz w:val="24"/>
                <w:szCs w:val="24"/>
                <w:color w:val="auto"/>
              </w:rPr>
            </w:pPr>
          </w:p>
        </w:tc>
        <w:tc>
          <w:tcPr>
            <w:tcW w:w="940" w:type="dxa"/>
            <w:vAlign w:val="bottom"/>
            <w:tcBorders>
              <w:top w:val="single" w:sz="8" w:color="C0C0C0"/>
            </w:tcBorders>
          </w:tcPr>
          <w:p>
            <w:pPr>
              <w:spacing w:after="0"/>
              <w:rPr>
                <w:sz w:val="24"/>
                <w:szCs w:val="24"/>
                <w:color w:val="auto"/>
              </w:rPr>
            </w:pPr>
          </w:p>
        </w:tc>
        <w:tc>
          <w:tcPr>
            <w:tcW w:w="4080" w:type="dxa"/>
            <w:vAlign w:val="bottom"/>
            <w:tcBorders>
              <w:top w:val="single" w:sz="8" w:color="C0C0C0"/>
            </w:tcBorders>
          </w:tcPr>
          <w:p>
            <w:pPr>
              <w:spacing w:after="0"/>
              <w:rPr>
                <w:sz w:val="24"/>
                <w:szCs w:val="24"/>
                <w:color w:val="auto"/>
              </w:rPr>
            </w:pPr>
          </w:p>
        </w:tc>
        <w:tc>
          <w:tcPr>
            <w:tcW w:w="3300" w:type="dxa"/>
            <w:vAlign w:val="bottom"/>
            <w:tcBorders>
              <w:top w:val="single" w:sz="8" w:color="C0C0C0"/>
            </w:tcBorders>
          </w:tcPr>
          <w:p>
            <w:pPr>
              <w:jc w:val="right"/>
              <w:ind w:right="2552"/>
              <w:spacing w:after="0"/>
              <w:rPr>
                <w:sz w:val="20"/>
                <w:szCs w:val="20"/>
                <w:color w:val="auto"/>
              </w:rPr>
            </w:pPr>
            <w:r>
              <w:rPr>
                <w:rFonts w:ascii="Arial" w:cs="Arial" w:eastAsia="Arial" w:hAnsi="Arial"/>
                <w:sz w:val="18"/>
                <w:szCs w:val="18"/>
                <w:color w:val="auto"/>
              </w:rPr>
              <w:t>10</w:t>
            </w:r>
          </w:p>
        </w:tc>
        <w:tc>
          <w:tcPr>
            <w:tcW w:w="2180" w:type="dxa"/>
            <w:vAlign w:val="bottom"/>
            <w:tcBorders>
              <w:top w:val="single" w:sz="8" w:color="C0C0C0"/>
            </w:tcBorders>
          </w:tcPr>
          <w:p>
            <w:pPr>
              <w:spacing w:after="0"/>
              <w:rPr>
                <w:sz w:val="24"/>
                <w:szCs w:val="24"/>
                <w:color w:val="auto"/>
              </w:rPr>
            </w:pPr>
          </w:p>
        </w:tc>
        <w:tc>
          <w:tcPr>
            <w:tcW w:w="680" w:type="dxa"/>
            <w:vAlign w:val="bottom"/>
            <w:tcBorders>
              <w:top w:val="single" w:sz="8" w:color="C0C0C0"/>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20"/>
          </w:cols>
          <w:pgMar w:left="340" w:top="121" w:right="33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2880" w:type="dxa"/>
            <w:vAlign w:val="bottom"/>
            <w:gridSpan w:val="3"/>
          </w:tcPr>
          <w:p>
            <w:pPr>
              <w:ind w:left="2100"/>
              <w:spacing w:after="0"/>
              <w:rPr>
                <w:sz w:val="20"/>
                <w:szCs w:val="20"/>
                <w:color w:val="auto"/>
              </w:rPr>
            </w:pPr>
            <w:r>
              <w:rPr>
                <w:rFonts w:ascii="Arial" w:cs="Arial" w:eastAsia="Arial" w:hAnsi="Arial"/>
                <w:sz w:val="18"/>
                <w:szCs w:val="18"/>
                <w:b w:val="1"/>
                <w:bCs w:val="1"/>
                <w:color w:val="auto"/>
                <w:w w:val="89"/>
              </w:rPr>
              <w:t>Exhibit 21</w:t>
            </w:r>
          </w:p>
        </w:tc>
      </w:tr>
      <w:tr>
        <w:trPr>
          <w:trHeight w:val="843"/>
        </w:trPr>
        <w:tc>
          <w:tcPr>
            <w:tcW w:w="2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Entity Name</w:t>
            </w:r>
          </w:p>
        </w:tc>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20" w:type="dxa"/>
            <w:vAlign w:val="bottom"/>
            <w:tcBorders>
              <w:bottom w:val="single" w:sz="8" w:color="C0C0C0"/>
            </w:tcBorders>
          </w:tcPr>
          <w:p>
            <w:pPr>
              <w:spacing w:after="0" w:line="20" w:lineRule="exact"/>
              <w:rPr>
                <w:sz w:val="1"/>
                <w:szCs w:val="1"/>
                <w:color w:val="auto"/>
              </w:rPr>
            </w:pPr>
          </w:p>
        </w:tc>
        <w:tc>
          <w:tcPr>
            <w:tcW w:w="940" w:type="dxa"/>
            <w:vAlign w:val="bottom"/>
            <w:tcBorders>
              <w:top w:val="single" w:sz="8" w:color="auto"/>
              <w:bottom w:val="single" w:sz="8" w:color="C0C0C0"/>
            </w:tcBorders>
          </w:tcPr>
          <w:p>
            <w:pPr>
              <w:spacing w:after="0" w:line="20" w:lineRule="exact"/>
              <w:rPr>
                <w:sz w:val="1"/>
                <w:szCs w:val="1"/>
                <w:color w:val="auto"/>
              </w:rPr>
            </w:pPr>
          </w:p>
        </w:tc>
        <w:tc>
          <w:tcPr>
            <w:tcW w:w="7380" w:type="dxa"/>
            <w:vAlign w:val="bottom"/>
            <w:tcBorders>
              <w:bottom w:val="single" w:sz="8" w:color="C0C0C0"/>
            </w:tcBorders>
          </w:tcPr>
          <w:p>
            <w:pPr>
              <w:spacing w:after="0" w:line="20" w:lineRule="exact"/>
              <w:rPr>
                <w:sz w:val="1"/>
                <w:szCs w:val="1"/>
                <w:color w:val="auto"/>
              </w:rPr>
            </w:pPr>
          </w:p>
        </w:tc>
        <w:tc>
          <w:tcPr>
            <w:tcW w:w="2180" w:type="dxa"/>
            <w:vAlign w:val="bottom"/>
            <w:tcBorders>
              <w:top w:val="single" w:sz="8" w:color="auto"/>
              <w:bottom w:val="single" w:sz="8" w:color="C0C0C0"/>
            </w:tcBorders>
          </w:tcPr>
          <w:p>
            <w:pPr>
              <w:spacing w:after="0" w:line="20" w:lineRule="exact"/>
              <w:rPr>
                <w:sz w:val="1"/>
                <w:szCs w:val="1"/>
                <w:color w:val="auto"/>
              </w:rPr>
            </w:pPr>
          </w:p>
        </w:tc>
        <w:tc>
          <w:tcPr>
            <w:tcW w:w="68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MI CBM Investor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MI Finance Company</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MI Fulfillment Services,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Maryland</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MI Georgia Credits,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MI Holding, L. P.</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MI Hotels of Las Vegas,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MI Member,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MI NY Clock Tower,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MI Park 201,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MI Tenant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MI TH4 INVESTOR,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MICC (California),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MICC SPE I Corp.</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Midnight Lakeshore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Midnight Mexico,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Midnight Midland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Midnight Oil Company,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Midnight Sky,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Midnight Square,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Midnight Star,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MIF,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MII Conference Center,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Maryland</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Mission Hills Timeshare,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MRC I Funding,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MTS Holdco, L.P.</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Munich CY Schwanthaler Operating Company GmbH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Nara Hospitality Service Company</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North Dallas Holding Co.</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North Dallas Hotel Company</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North Wharf Restaurant (Pty)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South Africa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Operadora Marriott, S.A. de C.V.</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Osaka St. Regis Hotel Co.,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Paynes Bay Investments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Barbados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Permanent Establishment of Luxury Hotels International Management Company B.V.</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Ukraine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PH F and I Cape Town (Pty)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South Africa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PH Marine (Pty)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South Africa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PH Roodepoort (Pty)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South Africa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PH Victoria Junction (Pty)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South Africa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Polserv, S.A. de C.V. - (Joint Venture)</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Porto Bello Cove Hotel Corporation (Joint Venture)</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Philippines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Preferred Guest,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Promotora Hotelera Punta Mita S. de R.L. de C.V. (Joint Venture)</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Protea Hotel International Mauritius (50% owned)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Mauritius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Protea Hotels (International)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Protea Hotels and Inns (Pty) Limited</w:t>
            </w:r>
          </w:p>
        </w:tc>
        <w:tc>
          <w:tcPr>
            <w:tcW w:w="2880" w:type="dxa"/>
            <w:vAlign w:val="bottom"/>
            <w:gridSpan w:val="3"/>
          </w:tcPr>
          <w:p>
            <w:pPr>
              <w:spacing w:after="0"/>
              <w:rPr>
                <w:sz w:val="20"/>
                <w:szCs w:val="20"/>
                <w:color w:val="auto"/>
              </w:rPr>
            </w:pPr>
            <w:r>
              <w:rPr>
                <w:rFonts w:ascii="Arial" w:cs="Arial" w:eastAsia="Arial" w:hAnsi="Arial"/>
                <w:sz w:val="18"/>
                <w:szCs w:val="18"/>
                <w:color w:val="auto"/>
              </w:rPr>
              <w:t>South Africa</w:t>
            </w:r>
          </w:p>
        </w:tc>
      </w:tr>
      <w:tr>
        <w:trPr>
          <w:trHeight w:val="822"/>
        </w:trPr>
        <w:tc>
          <w:tcPr>
            <w:tcW w:w="8340" w:type="dxa"/>
            <w:vAlign w:val="bottom"/>
            <w:tcBorders>
              <w:top w:val="single" w:sz="8" w:color="C0C0C0"/>
            </w:tcBorders>
            <w:gridSpan w:val="3"/>
          </w:tcPr>
          <w:p>
            <w:pPr>
              <w:jc w:val="right"/>
              <w:ind w:right="2660"/>
              <w:spacing w:after="0"/>
              <w:rPr>
                <w:sz w:val="20"/>
                <w:szCs w:val="20"/>
                <w:color w:val="auto"/>
              </w:rPr>
            </w:pPr>
            <w:r>
              <w:rPr>
                <w:rFonts w:ascii="Arial" w:cs="Arial" w:eastAsia="Arial" w:hAnsi="Arial"/>
                <w:sz w:val="18"/>
                <w:szCs w:val="18"/>
                <w:color w:val="auto"/>
              </w:rPr>
              <w:t>11</w:t>
            </w:r>
          </w:p>
        </w:tc>
        <w:tc>
          <w:tcPr>
            <w:tcW w:w="2180" w:type="dxa"/>
            <w:vAlign w:val="bottom"/>
            <w:tcBorders>
              <w:top w:val="single" w:sz="8" w:color="C0C0C0"/>
            </w:tcBorders>
          </w:tcPr>
          <w:p>
            <w:pPr>
              <w:spacing w:after="0"/>
              <w:rPr>
                <w:sz w:val="24"/>
                <w:szCs w:val="24"/>
                <w:color w:val="auto"/>
              </w:rPr>
            </w:pPr>
          </w:p>
        </w:tc>
        <w:tc>
          <w:tcPr>
            <w:tcW w:w="680" w:type="dxa"/>
            <w:vAlign w:val="bottom"/>
            <w:tcBorders>
              <w:top w:val="single" w:sz="8" w:color="C0C0C0"/>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20"/>
          </w:cols>
          <w:pgMar w:left="340" w:top="121" w:right="33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2880" w:type="dxa"/>
            <w:vAlign w:val="bottom"/>
            <w:gridSpan w:val="3"/>
          </w:tcPr>
          <w:p>
            <w:pPr>
              <w:ind w:left="2100"/>
              <w:spacing w:after="0"/>
              <w:rPr>
                <w:sz w:val="20"/>
                <w:szCs w:val="20"/>
                <w:color w:val="auto"/>
              </w:rPr>
            </w:pPr>
            <w:r>
              <w:rPr>
                <w:rFonts w:ascii="Arial" w:cs="Arial" w:eastAsia="Arial" w:hAnsi="Arial"/>
                <w:sz w:val="18"/>
                <w:szCs w:val="18"/>
                <w:b w:val="1"/>
                <w:bCs w:val="1"/>
                <w:color w:val="auto"/>
                <w:w w:val="89"/>
              </w:rPr>
              <w:t>Exhibit 21</w:t>
            </w:r>
          </w:p>
        </w:tc>
      </w:tr>
      <w:tr>
        <w:trPr>
          <w:trHeight w:val="843"/>
        </w:trPr>
        <w:tc>
          <w:tcPr>
            <w:tcW w:w="2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Entity Name</w:t>
            </w:r>
          </w:p>
        </w:tc>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20" w:type="dxa"/>
            <w:vAlign w:val="bottom"/>
            <w:tcBorders>
              <w:bottom w:val="single" w:sz="8" w:color="C0C0C0"/>
            </w:tcBorders>
          </w:tcPr>
          <w:p>
            <w:pPr>
              <w:spacing w:after="0" w:line="20" w:lineRule="exact"/>
              <w:rPr>
                <w:sz w:val="1"/>
                <w:szCs w:val="1"/>
                <w:color w:val="auto"/>
              </w:rPr>
            </w:pPr>
          </w:p>
        </w:tc>
        <w:tc>
          <w:tcPr>
            <w:tcW w:w="940" w:type="dxa"/>
            <w:vAlign w:val="bottom"/>
            <w:tcBorders>
              <w:top w:val="single" w:sz="8" w:color="auto"/>
              <w:bottom w:val="single" w:sz="8" w:color="C0C0C0"/>
            </w:tcBorders>
          </w:tcPr>
          <w:p>
            <w:pPr>
              <w:spacing w:after="0" w:line="20" w:lineRule="exact"/>
              <w:rPr>
                <w:sz w:val="1"/>
                <w:szCs w:val="1"/>
                <w:color w:val="auto"/>
              </w:rPr>
            </w:pPr>
          </w:p>
        </w:tc>
        <w:tc>
          <w:tcPr>
            <w:tcW w:w="7380" w:type="dxa"/>
            <w:vAlign w:val="bottom"/>
            <w:tcBorders>
              <w:bottom w:val="single" w:sz="8" w:color="C0C0C0"/>
            </w:tcBorders>
          </w:tcPr>
          <w:p>
            <w:pPr>
              <w:spacing w:after="0" w:line="20" w:lineRule="exact"/>
              <w:rPr>
                <w:sz w:val="1"/>
                <w:szCs w:val="1"/>
                <w:color w:val="auto"/>
              </w:rPr>
            </w:pPr>
          </w:p>
        </w:tc>
        <w:tc>
          <w:tcPr>
            <w:tcW w:w="2180" w:type="dxa"/>
            <w:vAlign w:val="bottom"/>
            <w:tcBorders>
              <w:top w:val="single" w:sz="8" w:color="auto"/>
              <w:bottom w:val="single" w:sz="8" w:color="C0C0C0"/>
            </w:tcBorders>
          </w:tcPr>
          <w:p>
            <w:pPr>
              <w:spacing w:after="0" w:line="20" w:lineRule="exact"/>
              <w:rPr>
                <w:sz w:val="1"/>
                <w:szCs w:val="1"/>
                <w:color w:val="auto"/>
              </w:rPr>
            </w:pPr>
          </w:p>
        </w:tc>
        <w:tc>
          <w:tcPr>
            <w:tcW w:w="68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Protea Hotels Empowerment Consortium (Pty)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South Africa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Protea Hotels Empowerment Initiative (Pty)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South Africa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Protea Hotels Nigeria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Nigeria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Prudential - HEI Joint Venture</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Georgia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PT Indo Pacific Sheraton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PT Luxury Hotels International Indonesia</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PT Marriott International Indonesia</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PT Ritz Carlton Indonesia</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Indonesia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Punta Mita Holding Company, S. de R.L. de C.V.</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Ramasia International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Virgin Islands, British</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Ramcap SAS</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RC Hotel Holding Company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Virgin Islands, British</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RC Hotel Holding Company Limited (Cayman Islands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Cayman Islands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RC Marriott II,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RC Marriott III,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RC Marriott,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RC Paradise Valley Development,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RC Rose Holding Company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Virgin Islands, British</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RC Rose Island Hotel Company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Bahamas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RC-UK,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REN Boston Hotel Management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REN Boston LP</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REN Boston Waterfront Hotel,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Renaissance Cleveland Hotel,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Renaissance Cleveland IOSA,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Renaissance do Brasil Hotelaria Ltda.</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8"/>
                <w:szCs w:val="18"/>
                <w:color w:val="auto"/>
              </w:rPr>
            </w:pPr>
          </w:p>
        </w:tc>
      </w:tr>
      <w:tr>
        <w:trPr>
          <w:trHeight w:val="165"/>
        </w:trPr>
        <w:tc>
          <w:tcPr>
            <w:tcW w:w="20" w:type="dxa"/>
            <w:vAlign w:val="bottom"/>
          </w:tcPr>
          <w:p>
            <w:pPr>
              <w:spacing w:after="0"/>
              <w:rPr>
                <w:sz w:val="14"/>
                <w:szCs w:val="14"/>
                <w:color w:val="auto"/>
              </w:rPr>
            </w:pPr>
          </w:p>
        </w:tc>
        <w:tc>
          <w:tcPr>
            <w:tcW w:w="8320" w:type="dxa"/>
            <w:vAlign w:val="bottom"/>
            <w:gridSpan w:val="2"/>
          </w:tcPr>
          <w:p>
            <w:pPr>
              <w:spacing w:after="0" w:line="165" w:lineRule="exact"/>
              <w:rPr>
                <w:sz w:val="20"/>
                <w:szCs w:val="20"/>
                <w:color w:val="auto"/>
              </w:rPr>
            </w:pPr>
            <w:r>
              <w:rPr>
                <w:rFonts w:ascii="Arial" w:cs="Arial" w:eastAsia="Arial" w:hAnsi="Arial"/>
                <w:sz w:val="18"/>
                <w:szCs w:val="18"/>
                <w:color w:val="auto"/>
              </w:rPr>
              <w:t>Renaissance do Brasil Hotelaria Ltda. (Haddock Office Jardins, Alameda Santos, 2326 CEP 01418-</w:t>
            </w:r>
          </w:p>
        </w:tc>
        <w:tc>
          <w:tcPr>
            <w:tcW w:w="2880" w:type="dxa"/>
            <w:vAlign w:val="bottom"/>
            <w:gridSpan w:val="3"/>
          </w:tcPr>
          <w:p>
            <w:pPr>
              <w:spacing w:after="0" w:line="165" w:lineRule="exact"/>
              <w:rPr>
                <w:sz w:val="20"/>
                <w:szCs w:val="20"/>
                <w:color w:val="auto"/>
              </w:rPr>
            </w:pPr>
            <w:r>
              <w:rPr>
                <w:rFonts w:ascii="Arial" w:cs="Arial" w:eastAsia="Arial" w:hAnsi="Arial"/>
                <w:sz w:val="18"/>
                <w:szCs w:val="18"/>
                <w:color w:val="auto"/>
              </w:rPr>
              <w:t>Brazil</w:t>
            </w:r>
          </w:p>
        </w:tc>
      </w:tr>
      <w:tr>
        <w:trPr>
          <w:trHeight w:val="223"/>
        </w:trPr>
        <w:tc>
          <w:tcPr>
            <w:tcW w:w="20" w:type="dxa"/>
            <w:vAlign w:val="bottom"/>
            <w:tcBorders>
              <w:bottom w:val="single" w:sz="8" w:color="C0C0C0"/>
            </w:tcBorders>
          </w:tcPr>
          <w:p>
            <w:pPr>
              <w:spacing w:after="0"/>
              <w:rPr>
                <w:sz w:val="19"/>
                <w:szCs w:val="19"/>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200, Sao Paulo) - Brazil Branch</w:t>
            </w:r>
          </w:p>
        </w:tc>
        <w:tc>
          <w:tcPr>
            <w:tcW w:w="2180" w:type="dxa"/>
            <w:vAlign w:val="bottom"/>
            <w:tcBorders>
              <w:bottom w:val="single" w:sz="8" w:color="C0C0C0"/>
            </w:tcBorders>
          </w:tcPr>
          <w:p>
            <w:pPr>
              <w:spacing w:after="0"/>
              <w:rPr>
                <w:sz w:val="19"/>
                <w:szCs w:val="19"/>
                <w:color w:val="auto"/>
              </w:rPr>
            </w:pPr>
          </w:p>
        </w:tc>
        <w:tc>
          <w:tcPr>
            <w:tcW w:w="680" w:type="dxa"/>
            <w:vAlign w:val="bottom"/>
            <w:tcBorders>
              <w:bottom w:val="single" w:sz="8" w:color="C0C0C0"/>
            </w:tcBorders>
          </w:tcPr>
          <w:p>
            <w:pPr>
              <w:spacing w:after="0"/>
              <w:rPr>
                <w:sz w:val="19"/>
                <w:szCs w:val="19"/>
                <w:color w:val="auto"/>
              </w:rPr>
            </w:pPr>
          </w:p>
        </w:tc>
        <w:tc>
          <w:tcPr>
            <w:tcW w:w="20" w:type="dxa"/>
            <w:vAlign w:val="bottom"/>
          </w:tcPr>
          <w:p>
            <w:pPr>
              <w:spacing w:after="0"/>
              <w:rPr>
                <w:sz w:val="19"/>
                <w:szCs w:val="19"/>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Renaissance do Brasil Hotelaria Ltda. (Porto Maravilha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Renaissance do Brasil Hotelaria Ltda. (Recife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Renaissance do Brasil Hotelaria Ltda. (Sao Paulo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Renaissance Dusseldorf Hotelmanagement GmbH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Renaissance Hamburg Hotelmanagement GmbH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Renaissance Hollywood Payroll Company,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Renaissance Hotel Holdings,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Renaissance Hotel Management Company,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Renaissance Hotel Operating Company</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Renaissance Hotels International B.V.</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Renaissance Hotels International B.V. (Kazakhstan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Kazakhstan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Renaissance Hotels International BV (China Registration)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Renaissance Hotels International Corporation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Virgin Islands, British</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Renaissance Hotels International Corporation Limited (Malaysia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Malaysia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Renaissance Hotels International Corporation Limited (Philippine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Philippines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Renaissance Hotels International Management Belgium SPRL</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Belgium</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Renaissance Hotels Marketing Services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Virgin Islands, British</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Renaissance International Lodging Ltd.</w:t>
            </w:r>
          </w:p>
        </w:tc>
        <w:tc>
          <w:tcPr>
            <w:tcW w:w="2880" w:type="dxa"/>
            <w:vAlign w:val="bottom"/>
            <w:gridSpan w:val="3"/>
          </w:tcPr>
          <w:p>
            <w:pPr>
              <w:spacing w:after="0"/>
              <w:rPr>
                <w:sz w:val="20"/>
                <w:szCs w:val="20"/>
                <w:color w:val="auto"/>
              </w:rPr>
            </w:pPr>
            <w:r>
              <w:rPr>
                <w:rFonts w:ascii="Arial" w:cs="Arial" w:eastAsia="Arial" w:hAnsi="Arial"/>
                <w:sz w:val="18"/>
                <w:szCs w:val="18"/>
                <w:color w:val="auto"/>
              </w:rPr>
              <w:t>Bermuda</w:t>
            </w:r>
          </w:p>
        </w:tc>
      </w:tr>
      <w:tr>
        <w:trPr>
          <w:trHeight w:val="822"/>
        </w:trPr>
        <w:tc>
          <w:tcPr>
            <w:tcW w:w="8340" w:type="dxa"/>
            <w:vAlign w:val="bottom"/>
            <w:tcBorders>
              <w:top w:val="single" w:sz="8" w:color="C0C0C0"/>
            </w:tcBorders>
            <w:gridSpan w:val="3"/>
          </w:tcPr>
          <w:p>
            <w:pPr>
              <w:jc w:val="right"/>
              <w:ind w:right="2640"/>
              <w:spacing w:after="0"/>
              <w:rPr>
                <w:sz w:val="20"/>
                <w:szCs w:val="20"/>
                <w:color w:val="auto"/>
              </w:rPr>
            </w:pPr>
            <w:r>
              <w:rPr>
                <w:rFonts w:ascii="Arial" w:cs="Arial" w:eastAsia="Arial" w:hAnsi="Arial"/>
                <w:sz w:val="18"/>
                <w:szCs w:val="18"/>
                <w:color w:val="auto"/>
              </w:rPr>
              <w:t>12</w:t>
            </w:r>
          </w:p>
        </w:tc>
        <w:tc>
          <w:tcPr>
            <w:tcW w:w="2180" w:type="dxa"/>
            <w:vAlign w:val="bottom"/>
            <w:tcBorders>
              <w:top w:val="single" w:sz="8" w:color="C0C0C0"/>
            </w:tcBorders>
          </w:tcPr>
          <w:p>
            <w:pPr>
              <w:spacing w:after="0"/>
              <w:rPr>
                <w:sz w:val="24"/>
                <w:szCs w:val="24"/>
                <w:color w:val="auto"/>
              </w:rPr>
            </w:pPr>
          </w:p>
        </w:tc>
        <w:tc>
          <w:tcPr>
            <w:tcW w:w="680" w:type="dxa"/>
            <w:vAlign w:val="bottom"/>
            <w:tcBorders>
              <w:top w:val="single" w:sz="8" w:color="C0C0C0"/>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20"/>
          </w:cols>
          <w:pgMar w:left="340" w:top="121" w:right="339"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880" w:type="dxa"/>
            <w:vAlign w:val="bottom"/>
            <w:gridSpan w:val="3"/>
          </w:tcPr>
          <w:p>
            <w:pPr>
              <w:ind w:left="2100"/>
              <w:spacing w:after="0"/>
              <w:rPr>
                <w:sz w:val="20"/>
                <w:szCs w:val="20"/>
                <w:color w:val="auto"/>
              </w:rPr>
            </w:pPr>
            <w:r>
              <w:rPr>
                <w:rFonts w:ascii="Arial" w:cs="Arial" w:eastAsia="Arial" w:hAnsi="Arial"/>
                <w:sz w:val="18"/>
                <w:szCs w:val="18"/>
                <w:b w:val="1"/>
                <w:bCs w:val="1"/>
                <w:color w:val="auto"/>
                <w:w w:val="89"/>
              </w:rPr>
              <w:t>Exhibit 21</w:t>
            </w:r>
          </w:p>
        </w:tc>
      </w:tr>
      <w:tr>
        <w:trPr>
          <w:trHeight w:val="843"/>
        </w:trPr>
        <w:tc>
          <w:tcPr>
            <w:tcW w:w="2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Entity Name</w:t>
            </w:r>
          </w:p>
        </w:tc>
        <w:tc>
          <w:tcPr>
            <w:tcW w:w="2920" w:type="dxa"/>
            <w:vAlign w:val="bottom"/>
          </w:tcPr>
          <w:p>
            <w:pPr>
              <w:spacing w:after="0"/>
              <w:rPr>
                <w:sz w:val="24"/>
                <w:szCs w:val="24"/>
                <w:color w:val="auto"/>
              </w:rPr>
            </w:pPr>
          </w:p>
        </w:tc>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20" w:type="dxa"/>
            <w:vAlign w:val="bottom"/>
            <w:tcBorders>
              <w:bottom w:val="single" w:sz="8" w:color="C0C0C0"/>
            </w:tcBorders>
          </w:tcPr>
          <w:p>
            <w:pPr>
              <w:spacing w:after="0" w:line="20" w:lineRule="exact"/>
              <w:rPr>
                <w:sz w:val="1"/>
                <w:szCs w:val="1"/>
                <w:color w:val="auto"/>
              </w:rPr>
            </w:pPr>
          </w:p>
        </w:tc>
        <w:tc>
          <w:tcPr>
            <w:tcW w:w="940" w:type="dxa"/>
            <w:vAlign w:val="bottom"/>
            <w:tcBorders>
              <w:top w:val="single" w:sz="8" w:color="auto"/>
              <w:bottom w:val="single" w:sz="8" w:color="C0C0C0"/>
            </w:tcBorders>
          </w:tcPr>
          <w:p>
            <w:pPr>
              <w:spacing w:after="0" w:line="20" w:lineRule="exact"/>
              <w:rPr>
                <w:sz w:val="1"/>
                <w:szCs w:val="1"/>
                <w:color w:val="auto"/>
              </w:rPr>
            </w:pPr>
          </w:p>
        </w:tc>
        <w:tc>
          <w:tcPr>
            <w:tcW w:w="4460" w:type="dxa"/>
            <w:vAlign w:val="bottom"/>
            <w:tcBorders>
              <w:bottom w:val="single" w:sz="8" w:color="C0C0C0"/>
            </w:tcBorders>
          </w:tcPr>
          <w:p>
            <w:pPr>
              <w:spacing w:after="0" w:line="20" w:lineRule="exact"/>
              <w:rPr>
                <w:sz w:val="1"/>
                <w:szCs w:val="1"/>
                <w:color w:val="auto"/>
              </w:rPr>
            </w:pPr>
          </w:p>
        </w:tc>
        <w:tc>
          <w:tcPr>
            <w:tcW w:w="2920" w:type="dxa"/>
            <w:vAlign w:val="bottom"/>
            <w:tcBorders>
              <w:bottom w:val="single" w:sz="8" w:color="C0C0C0"/>
            </w:tcBorders>
          </w:tcPr>
          <w:p>
            <w:pPr>
              <w:spacing w:after="0" w:line="20" w:lineRule="exact"/>
              <w:rPr>
                <w:sz w:val="1"/>
                <w:szCs w:val="1"/>
                <w:color w:val="auto"/>
              </w:rPr>
            </w:pPr>
          </w:p>
        </w:tc>
        <w:tc>
          <w:tcPr>
            <w:tcW w:w="2180" w:type="dxa"/>
            <w:vAlign w:val="bottom"/>
            <w:tcBorders>
              <w:top w:val="single" w:sz="8" w:color="auto"/>
              <w:bottom w:val="single" w:sz="8" w:color="C0C0C0"/>
            </w:tcBorders>
          </w:tcPr>
          <w:p>
            <w:pPr>
              <w:spacing w:after="0" w:line="20" w:lineRule="exact"/>
              <w:rPr>
                <w:sz w:val="1"/>
                <w:szCs w:val="1"/>
                <w:color w:val="auto"/>
              </w:rPr>
            </w:pPr>
          </w:p>
        </w:tc>
        <w:tc>
          <w:tcPr>
            <w:tcW w:w="68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Renaissance International Lodging N.V.</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Curacao</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Renaissance International Management Company B.V.</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w w:val="90"/>
              </w:rPr>
              <w:t>Renaissance International Management Company BV (China Registration)</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Renaissance International, Inc.</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Renaissance Le Parc SAS</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Renaissance Oakbrook Hotel, LLC</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Renaissance P.V. Mexicana S.A. de C.V.</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Renaissance Services B.V.</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Renaissance Services B.V. (Bahrain Representative Office)</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Bahrain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Renaissance Services B.V. (Dubai Branch)</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United Arab Emirates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Renaissance Services B.V. (India Tax Registration)</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India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Renaissance Special Purposes B.V.</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Renaissance St. Louis Grand, LLC</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Renaissance St. Louis Suites, LLC</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Residence Inn by Marriott, LLC</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RG Holdings LLC</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RHG Holding N.V.</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Curacao</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RHG Investments, LLC</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RHIL Limited</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Hong Kong</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RHOC Consolidation, LLC</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RI BWI Airport, L.L.C.</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Rio Hotel Brasil Empreendimentos Imobiliários Ltda.</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Ritz-Carlton (Virgin Islands), Inc.</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Rockville Hotel Associates LLC</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Roissy CYBM SAS</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Ronevsorg Hotel Operating Company Limited</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Royal Orchid Hotel (Thailand) Public Company Limited</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Thailand</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 Collection, Inc.</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Sabrina Operators, Inc.</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Wisconsin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SAMHI JV Business Hotels Private Limited</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India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San Diego Sheraton LLC</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San Fernando Sheraton Corporation</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SC Orlando, L.L.C.</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Schaumberg/Oakbrook Marriott Hotels, LLC</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Scoops, Inc.</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Kansas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Seattle Management Corporation</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Seattle Union Street Associates LLP</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Washington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Senior Living Limited Partnership</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Servicios Culinary Concepts, S. de R.L. de C.V.</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Servicios Hoteleros Starwood Limitada</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Chile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Seville Acquisition, LLC</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SF Museum Tower LLC</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Shanghai Gingerroot Enterprise Management Co., Ltd.</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54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w w:val="95"/>
              </w:rPr>
              <w:t>Shanghai Gingerroot Enterprise Management Co., Ltd., Beijing Branch</w:t>
            </w:r>
          </w:p>
        </w:tc>
        <w:tc>
          <w:tcPr>
            <w:tcW w:w="292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w w:val="89"/>
              </w:rPr>
              <w:t>Shanghai Gingerroot Enterprise Management Co., Ltd., Guangzhou Branch</w:t>
            </w:r>
          </w:p>
        </w:tc>
        <w:tc>
          <w:tcPr>
            <w:tcW w:w="292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Arial" w:cs="Arial" w:eastAsia="Arial" w:hAnsi="Arial"/>
                <w:sz w:val="18"/>
                <w:szCs w:val="18"/>
                <w:color w:val="auto"/>
              </w:rPr>
              <w:t>China</w:t>
            </w:r>
          </w:p>
        </w:tc>
      </w:tr>
      <w:tr>
        <w:trPr>
          <w:trHeight w:val="822"/>
        </w:trPr>
        <w:tc>
          <w:tcPr>
            <w:tcW w:w="20" w:type="dxa"/>
            <w:vAlign w:val="bottom"/>
            <w:tcBorders>
              <w:top w:val="single" w:sz="8" w:color="C0C0C0"/>
            </w:tcBorders>
          </w:tcPr>
          <w:p>
            <w:pPr>
              <w:spacing w:after="0"/>
              <w:rPr>
                <w:sz w:val="24"/>
                <w:szCs w:val="24"/>
                <w:color w:val="auto"/>
              </w:rPr>
            </w:pPr>
          </w:p>
        </w:tc>
        <w:tc>
          <w:tcPr>
            <w:tcW w:w="940" w:type="dxa"/>
            <w:vAlign w:val="bottom"/>
            <w:tcBorders>
              <w:top w:val="single" w:sz="8" w:color="C0C0C0"/>
            </w:tcBorders>
          </w:tcPr>
          <w:p>
            <w:pPr>
              <w:spacing w:after="0"/>
              <w:rPr>
                <w:sz w:val="24"/>
                <w:szCs w:val="24"/>
                <w:color w:val="auto"/>
              </w:rPr>
            </w:pPr>
          </w:p>
        </w:tc>
        <w:tc>
          <w:tcPr>
            <w:tcW w:w="4460" w:type="dxa"/>
            <w:vAlign w:val="bottom"/>
            <w:tcBorders>
              <w:top w:val="single" w:sz="8" w:color="C0C0C0"/>
            </w:tcBorders>
          </w:tcPr>
          <w:p>
            <w:pPr>
              <w:spacing w:after="0"/>
              <w:rPr>
                <w:sz w:val="24"/>
                <w:szCs w:val="24"/>
                <w:color w:val="auto"/>
              </w:rPr>
            </w:pPr>
          </w:p>
        </w:tc>
        <w:tc>
          <w:tcPr>
            <w:tcW w:w="2920" w:type="dxa"/>
            <w:vAlign w:val="bottom"/>
            <w:tcBorders>
              <w:top w:val="single" w:sz="8" w:color="C0C0C0"/>
            </w:tcBorders>
          </w:tcPr>
          <w:p>
            <w:pPr>
              <w:jc w:val="right"/>
              <w:ind w:right="2552"/>
              <w:spacing w:after="0"/>
              <w:rPr>
                <w:sz w:val="20"/>
                <w:szCs w:val="20"/>
                <w:color w:val="auto"/>
              </w:rPr>
            </w:pPr>
            <w:r>
              <w:rPr>
                <w:rFonts w:ascii="Arial" w:cs="Arial" w:eastAsia="Arial" w:hAnsi="Arial"/>
                <w:sz w:val="18"/>
                <w:szCs w:val="18"/>
                <w:color w:val="auto"/>
              </w:rPr>
              <w:t>13</w:t>
            </w:r>
          </w:p>
        </w:tc>
        <w:tc>
          <w:tcPr>
            <w:tcW w:w="2180" w:type="dxa"/>
            <w:vAlign w:val="bottom"/>
            <w:tcBorders>
              <w:top w:val="single" w:sz="8" w:color="C0C0C0"/>
            </w:tcBorders>
          </w:tcPr>
          <w:p>
            <w:pPr>
              <w:spacing w:after="0"/>
              <w:rPr>
                <w:sz w:val="24"/>
                <w:szCs w:val="24"/>
                <w:color w:val="auto"/>
              </w:rPr>
            </w:pPr>
          </w:p>
        </w:tc>
        <w:tc>
          <w:tcPr>
            <w:tcW w:w="680" w:type="dxa"/>
            <w:vAlign w:val="bottom"/>
            <w:tcBorders>
              <w:top w:val="single" w:sz="8" w:color="C0C0C0"/>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20"/>
          </w:cols>
          <w:pgMar w:left="340" w:top="121" w:right="33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2880" w:type="dxa"/>
            <w:vAlign w:val="bottom"/>
            <w:gridSpan w:val="3"/>
          </w:tcPr>
          <w:p>
            <w:pPr>
              <w:ind w:left="2100"/>
              <w:spacing w:after="0"/>
              <w:rPr>
                <w:sz w:val="20"/>
                <w:szCs w:val="20"/>
                <w:color w:val="auto"/>
              </w:rPr>
            </w:pPr>
            <w:r>
              <w:rPr>
                <w:rFonts w:ascii="Arial" w:cs="Arial" w:eastAsia="Arial" w:hAnsi="Arial"/>
                <w:sz w:val="18"/>
                <w:szCs w:val="18"/>
                <w:b w:val="1"/>
                <w:bCs w:val="1"/>
                <w:color w:val="auto"/>
                <w:w w:val="89"/>
              </w:rPr>
              <w:t>Exhibit 21</w:t>
            </w:r>
          </w:p>
        </w:tc>
      </w:tr>
      <w:tr>
        <w:trPr>
          <w:trHeight w:val="843"/>
        </w:trPr>
        <w:tc>
          <w:tcPr>
            <w:tcW w:w="2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Entity Name</w:t>
            </w:r>
          </w:p>
        </w:tc>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20" w:type="dxa"/>
            <w:vAlign w:val="bottom"/>
            <w:tcBorders>
              <w:bottom w:val="single" w:sz="8" w:color="C0C0C0"/>
            </w:tcBorders>
          </w:tcPr>
          <w:p>
            <w:pPr>
              <w:spacing w:after="0" w:line="20" w:lineRule="exact"/>
              <w:rPr>
                <w:sz w:val="1"/>
                <w:szCs w:val="1"/>
                <w:color w:val="auto"/>
              </w:rPr>
            </w:pPr>
          </w:p>
        </w:tc>
        <w:tc>
          <w:tcPr>
            <w:tcW w:w="940" w:type="dxa"/>
            <w:vAlign w:val="bottom"/>
            <w:tcBorders>
              <w:top w:val="single" w:sz="8" w:color="auto"/>
              <w:bottom w:val="single" w:sz="8" w:color="C0C0C0"/>
            </w:tcBorders>
          </w:tcPr>
          <w:p>
            <w:pPr>
              <w:spacing w:after="0" w:line="20" w:lineRule="exact"/>
              <w:rPr>
                <w:sz w:val="1"/>
                <w:szCs w:val="1"/>
                <w:color w:val="auto"/>
              </w:rPr>
            </w:pPr>
          </w:p>
        </w:tc>
        <w:tc>
          <w:tcPr>
            <w:tcW w:w="7380" w:type="dxa"/>
            <w:vAlign w:val="bottom"/>
            <w:tcBorders>
              <w:bottom w:val="single" w:sz="8" w:color="C0C0C0"/>
            </w:tcBorders>
          </w:tcPr>
          <w:p>
            <w:pPr>
              <w:spacing w:after="0" w:line="20" w:lineRule="exact"/>
              <w:rPr>
                <w:sz w:val="1"/>
                <w:szCs w:val="1"/>
                <w:color w:val="auto"/>
              </w:rPr>
            </w:pPr>
          </w:p>
        </w:tc>
        <w:tc>
          <w:tcPr>
            <w:tcW w:w="2180" w:type="dxa"/>
            <w:vAlign w:val="bottom"/>
            <w:tcBorders>
              <w:top w:val="single" w:sz="8" w:color="auto"/>
              <w:bottom w:val="single" w:sz="8" w:color="C0C0C0"/>
            </w:tcBorders>
          </w:tcPr>
          <w:p>
            <w:pPr>
              <w:spacing w:after="0" w:line="20" w:lineRule="exact"/>
              <w:rPr>
                <w:sz w:val="1"/>
                <w:szCs w:val="1"/>
                <w:color w:val="auto"/>
              </w:rPr>
            </w:pPr>
          </w:p>
        </w:tc>
        <w:tc>
          <w:tcPr>
            <w:tcW w:w="68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Shanghai Gingerroot Hotel Management Co.,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Shanghai Gingerroot Hotel Management Co., Ltd., Beijing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Shanghai Gingerroot Hotel Management Co., Ltd., Guangzhou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(Bermuda)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Bermuda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Asia-Pacific Corporation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Beijing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Centre Toronto Limited Partnership</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Crescent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de Venezuela CA</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Venezuela, Bolivarian Republic of</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Florida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Forty-Five Park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Gaming (Peru)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Gaming Corporation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Gateway Limited Partnership</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Grand Phoenix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Hawaii Hotels Corporation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Hawaii</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Hotels (England)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Hotels (U.K.)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Intercontinental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Bahamas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Intercontinental Ltd. - Israel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Israel</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International (Hong Kong)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Hong Kong</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International de Mexico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International GmbH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Austria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International IP,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International,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IPCO (Italy)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Key West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License Company Russia,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License Operating Company,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Management Company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Bahamas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Management GmbH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Management,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Miami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Middle East Management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New Jersey Corporation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New Jersey</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New York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on the Park Pty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Australia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Operating Corporation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Overseas Company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Bahamas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Overseas Company Limited, Egypt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Egypt</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Overseas Management Corporation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Overseas Management Corporation - Tunis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Tunisia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Overseas Management Corporation (Argentina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Argentina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Overseas Management Corporation (Thailand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Thailand</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Overseas Technical Services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Peachtree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Puerto Rico Management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Royal Orchid Co.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Thailand</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San Antonio Holdings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SGC Sub Corporation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20"/>
          </w:cols>
          <w:pgMar w:left="340" w:top="121" w:right="33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2880" w:type="dxa"/>
            <w:vAlign w:val="bottom"/>
            <w:gridSpan w:val="3"/>
          </w:tcPr>
          <w:p>
            <w:pPr>
              <w:ind w:left="2100"/>
              <w:spacing w:after="0"/>
              <w:rPr>
                <w:sz w:val="20"/>
                <w:szCs w:val="20"/>
                <w:color w:val="auto"/>
              </w:rPr>
            </w:pPr>
            <w:r>
              <w:rPr>
                <w:rFonts w:ascii="Arial" w:cs="Arial" w:eastAsia="Arial" w:hAnsi="Arial"/>
                <w:sz w:val="18"/>
                <w:szCs w:val="18"/>
                <w:b w:val="1"/>
                <w:bCs w:val="1"/>
                <w:color w:val="auto"/>
                <w:w w:val="89"/>
              </w:rPr>
              <w:t>Exhibit 21</w:t>
            </w:r>
          </w:p>
        </w:tc>
      </w:tr>
      <w:tr>
        <w:trPr>
          <w:trHeight w:val="843"/>
        </w:trPr>
        <w:tc>
          <w:tcPr>
            <w:tcW w:w="2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Entity Name</w:t>
            </w:r>
          </w:p>
        </w:tc>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20" w:type="dxa"/>
            <w:vAlign w:val="bottom"/>
            <w:tcBorders>
              <w:bottom w:val="single" w:sz="8" w:color="C0C0C0"/>
            </w:tcBorders>
          </w:tcPr>
          <w:p>
            <w:pPr>
              <w:spacing w:after="0" w:line="20" w:lineRule="exact"/>
              <w:rPr>
                <w:sz w:val="1"/>
                <w:szCs w:val="1"/>
                <w:color w:val="auto"/>
              </w:rPr>
            </w:pPr>
          </w:p>
        </w:tc>
        <w:tc>
          <w:tcPr>
            <w:tcW w:w="940" w:type="dxa"/>
            <w:vAlign w:val="bottom"/>
            <w:tcBorders>
              <w:top w:val="single" w:sz="8" w:color="auto"/>
              <w:bottom w:val="single" w:sz="8" w:color="C0C0C0"/>
            </w:tcBorders>
          </w:tcPr>
          <w:p>
            <w:pPr>
              <w:spacing w:after="0" w:line="20" w:lineRule="exact"/>
              <w:rPr>
                <w:sz w:val="1"/>
                <w:szCs w:val="1"/>
                <w:color w:val="auto"/>
              </w:rPr>
            </w:pPr>
          </w:p>
        </w:tc>
        <w:tc>
          <w:tcPr>
            <w:tcW w:w="7380" w:type="dxa"/>
            <w:vAlign w:val="bottom"/>
            <w:tcBorders>
              <w:bottom w:val="single" w:sz="8" w:color="C0C0C0"/>
            </w:tcBorders>
          </w:tcPr>
          <w:p>
            <w:pPr>
              <w:spacing w:after="0" w:line="20" w:lineRule="exact"/>
              <w:rPr>
                <w:sz w:val="1"/>
                <w:szCs w:val="1"/>
                <w:color w:val="auto"/>
              </w:rPr>
            </w:pPr>
          </w:p>
        </w:tc>
        <w:tc>
          <w:tcPr>
            <w:tcW w:w="2180" w:type="dxa"/>
            <w:vAlign w:val="bottom"/>
            <w:tcBorders>
              <w:top w:val="single" w:sz="8" w:color="auto"/>
              <w:bottom w:val="single" w:sz="8" w:color="C0C0C0"/>
            </w:tcBorders>
          </w:tcPr>
          <w:p>
            <w:pPr>
              <w:spacing w:after="0" w:line="20" w:lineRule="exact"/>
              <w:rPr>
                <w:sz w:val="1"/>
                <w:szCs w:val="1"/>
                <w:color w:val="auto"/>
              </w:rPr>
            </w:pPr>
          </w:p>
        </w:tc>
        <w:tc>
          <w:tcPr>
            <w:tcW w:w="68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Suites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Texas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Vermont Corporation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Vermont</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Sheraton West Houston Beverage,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SII Real Estate Holdings,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SJMEC,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California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SJMFB,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California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SLC Acquisition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SLC Atlanta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SLC Indianapolis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SLC Management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SLC Mexico,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SLC Operating Limited Partnership</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Socho, S.A.</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Argentina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Sociedad Administradora General SA v CIA En Comandita Acciones (Joint Venture)</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Chile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Societe des Hotels de Noumea</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New Caledonia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Societe des Hotels Meridien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Solar International Holdings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Cayman Islands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SPG Holding,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Arizona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Spice Market Holdings,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Spice Market NY,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New York</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SPRINGHILL SMC,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Square 369 Hotel Associates,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SRH Chicago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Illinois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 Francis Hotel Corporation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 Regis New York Holdings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 Regis New York Operating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 Regis San Francisco Hotel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 Regis Sheraton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 Real Estate Licensing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(M) France Holdings SAS</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(M) Hotels Holding Corporation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(M) International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(M) Middle East I,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(M) Middle East II,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(M) Services Company,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(Ukraine) Management Company,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AFIO &amp; Brussels GSO BVBA</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Belgium</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Alfonso XIII Hotel Company, S.L.U.</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Spain</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Starwood Asia Pacific Hotels &amp; Resorts Pte. Ltd.</w:t>
            </w:r>
          </w:p>
        </w:tc>
        <w:tc>
          <w:tcPr>
            <w:tcW w:w="2880" w:type="dxa"/>
            <w:vAlign w:val="bottom"/>
            <w:gridSpan w:val="3"/>
          </w:tcPr>
          <w:p>
            <w:pPr>
              <w:spacing w:after="0"/>
              <w:rPr>
                <w:sz w:val="20"/>
                <w:szCs w:val="20"/>
                <w:color w:val="auto"/>
              </w:rPr>
            </w:pPr>
            <w:r>
              <w:rPr>
                <w:rFonts w:ascii="Arial" w:cs="Arial" w:eastAsia="Arial" w:hAnsi="Arial"/>
                <w:sz w:val="18"/>
                <w:szCs w:val="18"/>
                <w:color w:val="auto"/>
              </w:rPr>
              <w:t>Singapore</w:t>
            </w:r>
          </w:p>
        </w:tc>
      </w:tr>
      <w:tr>
        <w:trPr>
          <w:trHeight w:val="822"/>
        </w:trPr>
        <w:tc>
          <w:tcPr>
            <w:tcW w:w="8340" w:type="dxa"/>
            <w:vAlign w:val="bottom"/>
            <w:tcBorders>
              <w:top w:val="single" w:sz="8" w:color="C0C0C0"/>
            </w:tcBorders>
            <w:gridSpan w:val="3"/>
          </w:tcPr>
          <w:p>
            <w:pPr>
              <w:jc w:val="right"/>
              <w:ind w:right="2640"/>
              <w:spacing w:after="0"/>
              <w:rPr>
                <w:sz w:val="20"/>
                <w:szCs w:val="20"/>
                <w:color w:val="auto"/>
              </w:rPr>
            </w:pPr>
            <w:r>
              <w:rPr>
                <w:rFonts w:ascii="Arial" w:cs="Arial" w:eastAsia="Arial" w:hAnsi="Arial"/>
                <w:sz w:val="18"/>
                <w:szCs w:val="18"/>
                <w:color w:val="auto"/>
              </w:rPr>
              <w:t>15</w:t>
            </w:r>
          </w:p>
        </w:tc>
        <w:tc>
          <w:tcPr>
            <w:tcW w:w="2180" w:type="dxa"/>
            <w:vAlign w:val="bottom"/>
            <w:tcBorders>
              <w:top w:val="single" w:sz="8" w:color="C0C0C0"/>
            </w:tcBorders>
          </w:tcPr>
          <w:p>
            <w:pPr>
              <w:spacing w:after="0"/>
              <w:rPr>
                <w:sz w:val="24"/>
                <w:szCs w:val="24"/>
                <w:color w:val="auto"/>
              </w:rPr>
            </w:pPr>
          </w:p>
        </w:tc>
        <w:tc>
          <w:tcPr>
            <w:tcW w:w="680" w:type="dxa"/>
            <w:vAlign w:val="bottom"/>
            <w:tcBorders>
              <w:top w:val="single" w:sz="8" w:color="C0C0C0"/>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20"/>
          </w:cols>
          <w:pgMar w:left="340" w:top="121" w:right="33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2880" w:type="dxa"/>
            <w:vAlign w:val="bottom"/>
            <w:gridSpan w:val="3"/>
          </w:tcPr>
          <w:p>
            <w:pPr>
              <w:ind w:left="2100"/>
              <w:spacing w:after="0"/>
              <w:rPr>
                <w:sz w:val="20"/>
                <w:szCs w:val="20"/>
                <w:color w:val="auto"/>
              </w:rPr>
            </w:pPr>
            <w:r>
              <w:rPr>
                <w:rFonts w:ascii="Arial" w:cs="Arial" w:eastAsia="Arial" w:hAnsi="Arial"/>
                <w:sz w:val="18"/>
                <w:szCs w:val="18"/>
                <w:b w:val="1"/>
                <w:bCs w:val="1"/>
                <w:color w:val="auto"/>
                <w:w w:val="89"/>
              </w:rPr>
              <w:t>Exhibit 21</w:t>
            </w:r>
          </w:p>
        </w:tc>
      </w:tr>
      <w:tr>
        <w:trPr>
          <w:trHeight w:val="843"/>
        </w:trPr>
        <w:tc>
          <w:tcPr>
            <w:tcW w:w="2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Entity Name</w:t>
            </w:r>
          </w:p>
        </w:tc>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20" w:type="dxa"/>
            <w:vAlign w:val="bottom"/>
            <w:tcBorders>
              <w:bottom w:val="single" w:sz="8" w:color="C0C0C0"/>
            </w:tcBorders>
          </w:tcPr>
          <w:p>
            <w:pPr>
              <w:spacing w:after="0" w:line="20" w:lineRule="exact"/>
              <w:rPr>
                <w:sz w:val="1"/>
                <w:szCs w:val="1"/>
                <w:color w:val="auto"/>
              </w:rPr>
            </w:pPr>
          </w:p>
        </w:tc>
        <w:tc>
          <w:tcPr>
            <w:tcW w:w="940" w:type="dxa"/>
            <w:vAlign w:val="bottom"/>
            <w:tcBorders>
              <w:top w:val="single" w:sz="8" w:color="auto"/>
              <w:bottom w:val="single" w:sz="8" w:color="C0C0C0"/>
            </w:tcBorders>
          </w:tcPr>
          <w:p>
            <w:pPr>
              <w:spacing w:after="0" w:line="20" w:lineRule="exact"/>
              <w:rPr>
                <w:sz w:val="1"/>
                <w:szCs w:val="1"/>
                <w:color w:val="auto"/>
              </w:rPr>
            </w:pPr>
          </w:p>
        </w:tc>
        <w:tc>
          <w:tcPr>
            <w:tcW w:w="7380" w:type="dxa"/>
            <w:vAlign w:val="bottom"/>
            <w:tcBorders>
              <w:bottom w:val="single" w:sz="8" w:color="C0C0C0"/>
            </w:tcBorders>
          </w:tcPr>
          <w:p>
            <w:pPr>
              <w:spacing w:after="0" w:line="20" w:lineRule="exact"/>
              <w:rPr>
                <w:sz w:val="1"/>
                <w:szCs w:val="1"/>
                <w:color w:val="auto"/>
              </w:rPr>
            </w:pPr>
          </w:p>
        </w:tc>
        <w:tc>
          <w:tcPr>
            <w:tcW w:w="2180" w:type="dxa"/>
            <w:vAlign w:val="bottom"/>
            <w:tcBorders>
              <w:top w:val="single" w:sz="8" w:color="auto"/>
              <w:bottom w:val="single" w:sz="8" w:color="C0C0C0"/>
            </w:tcBorders>
          </w:tcPr>
          <w:p>
            <w:pPr>
              <w:spacing w:after="0" w:line="20" w:lineRule="exact"/>
              <w:rPr>
                <w:sz w:val="1"/>
                <w:szCs w:val="1"/>
                <w:color w:val="auto"/>
              </w:rPr>
            </w:pPr>
          </w:p>
        </w:tc>
        <w:tc>
          <w:tcPr>
            <w:tcW w:w="68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Asia Pacific Hotels &amp; Resorts Pte. Ltd. (Maldives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Maldives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Asia Pacific Hotels &amp; Resorts Pte. Ltd. (Samoa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Samoa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Aspen Realty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Atlanta Colony Square Realty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Atlantic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Australia Hotels Pty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Australia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BPP Holdings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Canada ULC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Cayman Holdings</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Cayman Islands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Centralised Services Pty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Australia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Checkmate Holdings,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Chicago City Center Realty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Chicago Lakeshore Realty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Chicago Special Manager I,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Chicago Special Manager II,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Chile Holdings, S.A.</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Chile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CMBS I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CMBS II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Customer Contact Centre (AP) Pte.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Singapore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Development Consulting Services (AP) Pte.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Singapore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EAME License &amp; Services Company BVBA, KSA Tax Registration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Saudi Arabia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EAME License and Services Company BVBA</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Belgium</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EAME License and Services Company BVBA, Kuwait Tax Registration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Kuwait</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EAME Services Company BVBA</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Belgium</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Edison GP Holdings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Edison LP Holdings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Egypt Management Company SAE</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Egypt</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ESPP Funding,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Fiji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Finance Luxembourg SARL</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Flight Operations,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Pennsylvania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Holdings (HK)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Hong Kong</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Hong Kong Holdings</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Cayman Islands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Hotel Management Company Greece S.A.</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Greece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Hotels &amp; Resorts (SEA) Sdn. Bhd.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Malaysia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Hotels &amp; Resorts (Shanghai) Co.,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Hotels &amp; Resorts (Shanghai) Co., Ltd., Beijing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Hotels &amp; Resorts (Shanghai) Co., Ltd., Guangzhou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Hotels &amp; Resorts India Private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India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Hotels &amp; Resorts Management Company,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Hotels &amp; Resorts Worldwide,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Maryland</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Hotels (Thailand) Company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Thailand</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Hotels Japan Company</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India Private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India</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Starwood International Finance Ltd</w:t>
            </w:r>
          </w:p>
        </w:tc>
        <w:tc>
          <w:tcPr>
            <w:tcW w:w="2880" w:type="dxa"/>
            <w:vAlign w:val="bottom"/>
            <w:gridSpan w:val="3"/>
          </w:tcPr>
          <w:p>
            <w:pPr>
              <w:spacing w:after="0"/>
              <w:rPr>
                <w:sz w:val="20"/>
                <w:szCs w:val="20"/>
                <w:color w:val="auto"/>
              </w:rPr>
            </w:pPr>
            <w:r>
              <w:rPr>
                <w:rFonts w:ascii="Arial" w:cs="Arial" w:eastAsia="Arial" w:hAnsi="Arial"/>
                <w:sz w:val="18"/>
                <w:szCs w:val="18"/>
                <w:color w:val="auto"/>
              </w:rPr>
              <w:t>Ireland</w:t>
            </w:r>
          </w:p>
        </w:tc>
      </w:tr>
      <w:tr>
        <w:trPr>
          <w:trHeight w:val="822"/>
        </w:trPr>
        <w:tc>
          <w:tcPr>
            <w:tcW w:w="8340" w:type="dxa"/>
            <w:vAlign w:val="bottom"/>
            <w:tcBorders>
              <w:top w:val="single" w:sz="8" w:color="C0C0C0"/>
            </w:tcBorders>
            <w:gridSpan w:val="3"/>
          </w:tcPr>
          <w:p>
            <w:pPr>
              <w:jc w:val="right"/>
              <w:ind w:right="2640"/>
              <w:spacing w:after="0"/>
              <w:rPr>
                <w:sz w:val="20"/>
                <w:szCs w:val="20"/>
                <w:color w:val="auto"/>
              </w:rPr>
            </w:pPr>
            <w:r>
              <w:rPr>
                <w:rFonts w:ascii="Arial" w:cs="Arial" w:eastAsia="Arial" w:hAnsi="Arial"/>
                <w:sz w:val="18"/>
                <w:szCs w:val="18"/>
                <w:color w:val="auto"/>
              </w:rPr>
              <w:t>16</w:t>
            </w:r>
          </w:p>
        </w:tc>
        <w:tc>
          <w:tcPr>
            <w:tcW w:w="2180" w:type="dxa"/>
            <w:vAlign w:val="bottom"/>
            <w:tcBorders>
              <w:top w:val="single" w:sz="8" w:color="C0C0C0"/>
            </w:tcBorders>
          </w:tcPr>
          <w:p>
            <w:pPr>
              <w:spacing w:after="0"/>
              <w:rPr>
                <w:sz w:val="24"/>
                <w:szCs w:val="24"/>
                <w:color w:val="auto"/>
              </w:rPr>
            </w:pPr>
          </w:p>
        </w:tc>
        <w:tc>
          <w:tcPr>
            <w:tcW w:w="680" w:type="dxa"/>
            <w:vAlign w:val="bottom"/>
            <w:tcBorders>
              <w:top w:val="single" w:sz="8" w:color="C0C0C0"/>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20"/>
          </w:cols>
          <w:pgMar w:left="340" w:top="121" w:right="33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880" w:type="dxa"/>
            <w:vAlign w:val="bottom"/>
            <w:gridSpan w:val="3"/>
          </w:tcPr>
          <w:p>
            <w:pPr>
              <w:ind w:left="2100"/>
              <w:spacing w:after="0"/>
              <w:rPr>
                <w:sz w:val="20"/>
                <w:szCs w:val="20"/>
                <w:color w:val="auto"/>
              </w:rPr>
            </w:pPr>
            <w:r>
              <w:rPr>
                <w:rFonts w:ascii="Arial" w:cs="Arial" w:eastAsia="Arial" w:hAnsi="Arial"/>
                <w:sz w:val="18"/>
                <w:szCs w:val="18"/>
                <w:b w:val="1"/>
                <w:bCs w:val="1"/>
                <w:color w:val="auto"/>
                <w:w w:val="89"/>
              </w:rPr>
              <w:t>Exhibit 21</w:t>
            </w:r>
          </w:p>
        </w:tc>
      </w:tr>
      <w:tr>
        <w:trPr>
          <w:trHeight w:val="843"/>
        </w:trPr>
        <w:tc>
          <w:tcPr>
            <w:tcW w:w="2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Entity Name</w:t>
            </w:r>
          </w:p>
        </w:tc>
        <w:tc>
          <w:tcPr>
            <w:tcW w:w="3680" w:type="dxa"/>
            <w:vAlign w:val="bottom"/>
          </w:tcPr>
          <w:p>
            <w:pPr>
              <w:spacing w:after="0"/>
              <w:rPr>
                <w:sz w:val="24"/>
                <w:szCs w:val="24"/>
                <w:color w:val="auto"/>
              </w:rPr>
            </w:pPr>
          </w:p>
        </w:tc>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20" w:type="dxa"/>
            <w:vAlign w:val="bottom"/>
            <w:tcBorders>
              <w:bottom w:val="single" w:sz="8" w:color="C0C0C0"/>
            </w:tcBorders>
          </w:tcPr>
          <w:p>
            <w:pPr>
              <w:spacing w:after="0" w:line="20" w:lineRule="exact"/>
              <w:rPr>
                <w:sz w:val="1"/>
                <w:szCs w:val="1"/>
                <w:color w:val="auto"/>
              </w:rPr>
            </w:pPr>
          </w:p>
        </w:tc>
        <w:tc>
          <w:tcPr>
            <w:tcW w:w="940" w:type="dxa"/>
            <w:vAlign w:val="bottom"/>
            <w:tcBorders>
              <w:top w:val="single" w:sz="8" w:color="auto"/>
              <w:bottom w:val="single" w:sz="8" w:color="C0C0C0"/>
            </w:tcBorders>
          </w:tcPr>
          <w:p>
            <w:pPr>
              <w:spacing w:after="0" w:line="20" w:lineRule="exact"/>
              <w:rPr>
                <w:sz w:val="1"/>
                <w:szCs w:val="1"/>
                <w:color w:val="auto"/>
              </w:rPr>
            </w:pPr>
          </w:p>
        </w:tc>
        <w:tc>
          <w:tcPr>
            <w:tcW w:w="3700" w:type="dxa"/>
            <w:vAlign w:val="bottom"/>
            <w:tcBorders>
              <w:bottom w:val="single" w:sz="8" w:color="C0C0C0"/>
            </w:tcBorders>
          </w:tcPr>
          <w:p>
            <w:pPr>
              <w:spacing w:after="0" w:line="20" w:lineRule="exact"/>
              <w:rPr>
                <w:sz w:val="1"/>
                <w:szCs w:val="1"/>
                <w:color w:val="auto"/>
              </w:rPr>
            </w:pPr>
          </w:p>
        </w:tc>
        <w:tc>
          <w:tcPr>
            <w:tcW w:w="3680" w:type="dxa"/>
            <w:vAlign w:val="bottom"/>
            <w:tcBorders>
              <w:bottom w:val="single" w:sz="8" w:color="C0C0C0"/>
            </w:tcBorders>
          </w:tcPr>
          <w:p>
            <w:pPr>
              <w:spacing w:after="0" w:line="20" w:lineRule="exact"/>
              <w:rPr>
                <w:sz w:val="1"/>
                <w:szCs w:val="1"/>
                <w:color w:val="auto"/>
              </w:rPr>
            </w:pPr>
          </w:p>
        </w:tc>
        <w:tc>
          <w:tcPr>
            <w:tcW w:w="2180" w:type="dxa"/>
            <w:vAlign w:val="bottom"/>
            <w:tcBorders>
              <w:top w:val="single" w:sz="8" w:color="auto"/>
              <w:bottom w:val="single" w:sz="8" w:color="C0C0C0"/>
            </w:tcBorders>
          </w:tcPr>
          <w:p>
            <w:pPr>
              <w:spacing w:after="0" w:line="20" w:lineRule="exact"/>
              <w:rPr>
                <w:sz w:val="1"/>
                <w:szCs w:val="1"/>
                <w:color w:val="auto"/>
              </w:rPr>
            </w:pPr>
          </w:p>
        </w:tc>
        <w:tc>
          <w:tcPr>
            <w:tcW w:w="68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International Holding SARL</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International Licensing Company SARL</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Israel Hotel Management - Israel Branch</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Israel</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Israel Hotel Management Inc.</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Italia S.R.L.</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Italy</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Lahaina LLC</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Latin America, Inc.</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Lexington Realty LLC</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Los Angeles Payroll Company, LLC</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Luxembourg Holding SARL</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Mexico II, LLC</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Mexico LF, S. de R.L. de C.V.</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Mexico Servicios Compartidos SA de CV</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Mexico, LLC</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Nevada Holdings, LLC</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Newton Realty LLC</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Omaha Realty LLC</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Operator I LLC</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Operator II LLC</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Pacific Hotels Pty Limited</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Australia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Park Ridge GP Holdings LLC</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Park Ridge LP Holdings LLC</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Philadelphia Airport Realty I LLC</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Philadelphia Airport Realty II LLC</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Rancho Mirage Fee Owner, LLC</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Reservations (Canada) Co.</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Reservations LLC</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Reservations LLC (Irish Branch)</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Ireland</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Reservations LLC, Kuwait Tax Registration</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Kuwait</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Resventure LLC</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San Francisco Aloft Realty LLC</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Seattle Sixth Avenue Realty LLC</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Services (UK) Ltd.</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Services Poland Sp. z.o.o.</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Poland</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Sierra Suites License Company, LLC</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Taiwan Co. Ltd.</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Taiwan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Wakefield Realty LLC</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 Weststate LLC</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Starwood-Charlotte Management LLC</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Stuttgart Sindelfingen Hotel Management GmbH</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Suites Management LLC</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SW Business Services, LLC</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Arizona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Tamarind Cove Hotel Co. Limited</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Barbados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6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Tamcove SL 1 Limited</w:t>
            </w:r>
          </w:p>
        </w:tc>
        <w:tc>
          <w:tcPr>
            <w:tcW w:w="36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Saint Lucia</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Thai Royal Orchid Real Estate Limited</w:t>
            </w:r>
          </w:p>
        </w:tc>
        <w:tc>
          <w:tcPr>
            <w:tcW w:w="368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Arial" w:cs="Arial" w:eastAsia="Arial" w:hAnsi="Arial"/>
                <w:sz w:val="18"/>
                <w:szCs w:val="18"/>
                <w:color w:val="auto"/>
              </w:rPr>
              <w:t>Thailand</w:t>
            </w:r>
          </w:p>
        </w:tc>
      </w:tr>
      <w:tr>
        <w:trPr>
          <w:trHeight w:val="822"/>
        </w:trPr>
        <w:tc>
          <w:tcPr>
            <w:tcW w:w="20" w:type="dxa"/>
            <w:vAlign w:val="bottom"/>
            <w:tcBorders>
              <w:top w:val="single" w:sz="8" w:color="C0C0C0"/>
            </w:tcBorders>
          </w:tcPr>
          <w:p>
            <w:pPr>
              <w:spacing w:after="0"/>
              <w:rPr>
                <w:sz w:val="24"/>
                <w:szCs w:val="24"/>
                <w:color w:val="auto"/>
              </w:rPr>
            </w:pPr>
          </w:p>
        </w:tc>
        <w:tc>
          <w:tcPr>
            <w:tcW w:w="940" w:type="dxa"/>
            <w:vAlign w:val="bottom"/>
            <w:tcBorders>
              <w:top w:val="single" w:sz="8" w:color="C0C0C0"/>
            </w:tcBorders>
          </w:tcPr>
          <w:p>
            <w:pPr>
              <w:spacing w:after="0"/>
              <w:rPr>
                <w:sz w:val="24"/>
                <w:szCs w:val="24"/>
                <w:color w:val="auto"/>
              </w:rPr>
            </w:pPr>
          </w:p>
        </w:tc>
        <w:tc>
          <w:tcPr>
            <w:tcW w:w="3700" w:type="dxa"/>
            <w:vAlign w:val="bottom"/>
            <w:tcBorders>
              <w:top w:val="single" w:sz="8" w:color="C0C0C0"/>
            </w:tcBorders>
          </w:tcPr>
          <w:p>
            <w:pPr>
              <w:spacing w:after="0"/>
              <w:rPr>
                <w:sz w:val="24"/>
                <w:szCs w:val="24"/>
                <w:color w:val="auto"/>
              </w:rPr>
            </w:pPr>
          </w:p>
        </w:tc>
        <w:tc>
          <w:tcPr>
            <w:tcW w:w="3680" w:type="dxa"/>
            <w:vAlign w:val="bottom"/>
            <w:tcBorders>
              <w:top w:val="single" w:sz="8" w:color="C0C0C0"/>
            </w:tcBorders>
          </w:tcPr>
          <w:p>
            <w:pPr>
              <w:jc w:val="right"/>
              <w:ind w:right="2552"/>
              <w:spacing w:after="0"/>
              <w:rPr>
                <w:sz w:val="20"/>
                <w:szCs w:val="20"/>
                <w:color w:val="auto"/>
              </w:rPr>
            </w:pPr>
            <w:r>
              <w:rPr>
                <w:rFonts w:ascii="Arial" w:cs="Arial" w:eastAsia="Arial" w:hAnsi="Arial"/>
                <w:sz w:val="18"/>
                <w:szCs w:val="18"/>
                <w:color w:val="auto"/>
              </w:rPr>
              <w:t>17</w:t>
            </w:r>
          </w:p>
        </w:tc>
        <w:tc>
          <w:tcPr>
            <w:tcW w:w="2180" w:type="dxa"/>
            <w:vAlign w:val="bottom"/>
            <w:tcBorders>
              <w:top w:val="single" w:sz="8" w:color="C0C0C0"/>
            </w:tcBorders>
          </w:tcPr>
          <w:p>
            <w:pPr>
              <w:spacing w:after="0"/>
              <w:rPr>
                <w:sz w:val="24"/>
                <w:szCs w:val="24"/>
                <w:color w:val="auto"/>
              </w:rPr>
            </w:pPr>
          </w:p>
        </w:tc>
        <w:tc>
          <w:tcPr>
            <w:tcW w:w="680" w:type="dxa"/>
            <w:vAlign w:val="bottom"/>
            <w:tcBorders>
              <w:top w:val="single" w:sz="8" w:color="C0C0C0"/>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20"/>
          </w:cols>
          <w:pgMar w:left="340" w:top="121" w:right="33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2880" w:type="dxa"/>
            <w:vAlign w:val="bottom"/>
            <w:gridSpan w:val="3"/>
          </w:tcPr>
          <w:p>
            <w:pPr>
              <w:ind w:left="2100"/>
              <w:spacing w:after="0"/>
              <w:rPr>
                <w:sz w:val="20"/>
                <w:szCs w:val="20"/>
                <w:color w:val="auto"/>
              </w:rPr>
            </w:pPr>
            <w:r>
              <w:rPr>
                <w:rFonts w:ascii="Arial" w:cs="Arial" w:eastAsia="Arial" w:hAnsi="Arial"/>
                <w:sz w:val="18"/>
                <w:szCs w:val="18"/>
                <w:b w:val="1"/>
                <w:bCs w:val="1"/>
                <w:color w:val="auto"/>
                <w:w w:val="89"/>
              </w:rPr>
              <w:t>Exhibit 21</w:t>
            </w:r>
          </w:p>
        </w:tc>
      </w:tr>
      <w:tr>
        <w:trPr>
          <w:trHeight w:val="843"/>
        </w:trPr>
        <w:tc>
          <w:tcPr>
            <w:tcW w:w="2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Entity Name</w:t>
            </w:r>
          </w:p>
        </w:tc>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20" w:type="dxa"/>
            <w:vAlign w:val="bottom"/>
            <w:tcBorders>
              <w:bottom w:val="single" w:sz="8" w:color="C0C0C0"/>
            </w:tcBorders>
          </w:tcPr>
          <w:p>
            <w:pPr>
              <w:spacing w:after="0" w:line="20" w:lineRule="exact"/>
              <w:rPr>
                <w:sz w:val="1"/>
                <w:szCs w:val="1"/>
                <w:color w:val="auto"/>
              </w:rPr>
            </w:pPr>
          </w:p>
        </w:tc>
        <w:tc>
          <w:tcPr>
            <w:tcW w:w="940" w:type="dxa"/>
            <w:vAlign w:val="bottom"/>
            <w:tcBorders>
              <w:top w:val="single" w:sz="8" w:color="auto"/>
              <w:bottom w:val="single" w:sz="8" w:color="C0C0C0"/>
            </w:tcBorders>
          </w:tcPr>
          <w:p>
            <w:pPr>
              <w:spacing w:after="0" w:line="20" w:lineRule="exact"/>
              <w:rPr>
                <w:sz w:val="1"/>
                <w:szCs w:val="1"/>
                <w:color w:val="auto"/>
              </w:rPr>
            </w:pPr>
          </w:p>
        </w:tc>
        <w:tc>
          <w:tcPr>
            <w:tcW w:w="7380" w:type="dxa"/>
            <w:vAlign w:val="bottom"/>
            <w:tcBorders>
              <w:bottom w:val="single" w:sz="8" w:color="C0C0C0"/>
            </w:tcBorders>
          </w:tcPr>
          <w:p>
            <w:pPr>
              <w:spacing w:after="0" w:line="20" w:lineRule="exact"/>
              <w:rPr>
                <w:sz w:val="1"/>
                <w:szCs w:val="1"/>
                <w:color w:val="auto"/>
              </w:rPr>
            </w:pPr>
          </w:p>
        </w:tc>
        <w:tc>
          <w:tcPr>
            <w:tcW w:w="2180" w:type="dxa"/>
            <w:vAlign w:val="bottom"/>
            <w:tcBorders>
              <w:top w:val="single" w:sz="8" w:color="auto"/>
              <w:bottom w:val="single" w:sz="8" w:color="C0C0C0"/>
            </w:tcBorders>
          </w:tcPr>
          <w:p>
            <w:pPr>
              <w:spacing w:after="0" w:line="20" w:lineRule="exact"/>
              <w:rPr>
                <w:sz w:val="1"/>
                <w:szCs w:val="1"/>
                <w:color w:val="auto"/>
              </w:rPr>
            </w:pPr>
          </w:p>
        </w:tc>
        <w:tc>
          <w:tcPr>
            <w:tcW w:w="68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The Dining Room Corporation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Georgia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The House SL 1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Saint Lucia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The R.C. Management Company of Mexico, S.A. de C.V.</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The Ritz-Carlton Hotel Company (Berlin) GmbH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The Ritz-Carlton Hotel Company B.V.</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The Ritz-Carlton Hotel Company N.V.</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Curacao</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The Ritz-Carlton Hotel Company of Canada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The Ritz-Carlton Hotel Company of Chile S.A.</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Chile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The Ritz-Carlton Hotel Company of Egypt S.A.E.</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Egypt</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The Ritz-Carlton Hotel Company of Mexico, S.A. de C.V.</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The Ritz-Carlton Hotel Company of Puerto Rico,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The Ritz-Carlton Hotel Company of Singapore Pte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Singapore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The Ritz-Carlton Hotel Company of the Cayman Islands,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Cayman Islands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The Ritz-Carlton Hotel Company,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The Ritz-Carlton Hotel Company, L.L.C. (Malaysian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Malaysia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The Ritz-Carlton Hotel Company,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Bermuda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The Ritz-Carlton Hotel Company, Ltd. (Bahamas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Bahamas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The Ritz-Carlton Hotel Management GmbH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The Ritz-Carlton International Construction Services,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The Ritz-Carlton International Licensing Company B.V.</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The Ritz-Carlton International Licensing Company,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The Ritz-Carlton International Management Company B.V.</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The Ritz-Carlton International Management Company B.V. (China Registration)</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The Ritz-Carlton Property Management Company (Kyoto)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The Ritz-Carlton Property Management Company (Tokyo),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The Ritz-Carlton Residences Management Company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The Ritz-Carlton Residential Management Company of Singapore Pte. Ltd.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Singapore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The Sheraton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The Westin Building Company</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Washington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Tokyo Hospitality Service Company</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Torriam Hotel Operating Company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Ireland</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Torriam International Lodging N.V.</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Curacao</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Toulouse Operating Company SAS</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TownePlace Management,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Townhouse Management Realty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Transamerican Hoteles, S.A.S</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Dominican Republic</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Travel Ease International</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Cayman Islands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Travel Ease International (Hong Kong)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Hong Kong</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Treasure SL 1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Saint Lucia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Treasure SL 1 Limited. (Barbados Branch)</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Barbados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Tribute Portfolio IP, LLC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Turtle Beach Resort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Barbados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Turtle SL 1 Limited</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Saint Lucia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83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Victory Beverages, Inc</w:t>
            </w: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W Atlanta Buckhead Beverage LLC</w:t>
            </w:r>
          </w:p>
        </w:tc>
        <w:tc>
          <w:tcPr>
            <w:tcW w:w="28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822"/>
        </w:trPr>
        <w:tc>
          <w:tcPr>
            <w:tcW w:w="8340" w:type="dxa"/>
            <w:vAlign w:val="bottom"/>
            <w:tcBorders>
              <w:top w:val="single" w:sz="8" w:color="C0C0C0"/>
            </w:tcBorders>
            <w:gridSpan w:val="3"/>
          </w:tcPr>
          <w:p>
            <w:pPr>
              <w:jc w:val="right"/>
              <w:ind w:right="2640"/>
              <w:spacing w:after="0"/>
              <w:rPr>
                <w:sz w:val="20"/>
                <w:szCs w:val="20"/>
                <w:color w:val="auto"/>
              </w:rPr>
            </w:pPr>
            <w:r>
              <w:rPr>
                <w:rFonts w:ascii="Arial" w:cs="Arial" w:eastAsia="Arial" w:hAnsi="Arial"/>
                <w:sz w:val="18"/>
                <w:szCs w:val="18"/>
                <w:color w:val="auto"/>
              </w:rPr>
              <w:t>18</w:t>
            </w:r>
          </w:p>
        </w:tc>
        <w:tc>
          <w:tcPr>
            <w:tcW w:w="2180" w:type="dxa"/>
            <w:vAlign w:val="bottom"/>
            <w:tcBorders>
              <w:top w:val="single" w:sz="8" w:color="C0C0C0"/>
            </w:tcBorders>
          </w:tcPr>
          <w:p>
            <w:pPr>
              <w:spacing w:after="0"/>
              <w:rPr>
                <w:sz w:val="24"/>
                <w:szCs w:val="24"/>
                <w:color w:val="auto"/>
              </w:rPr>
            </w:pPr>
          </w:p>
        </w:tc>
        <w:tc>
          <w:tcPr>
            <w:tcW w:w="680" w:type="dxa"/>
            <w:vAlign w:val="bottom"/>
            <w:tcBorders>
              <w:top w:val="single" w:sz="8" w:color="C0C0C0"/>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20"/>
          </w:cols>
          <w:pgMar w:left="340" w:top="121" w:right="339"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880" w:type="dxa"/>
            <w:vAlign w:val="bottom"/>
            <w:gridSpan w:val="3"/>
          </w:tcPr>
          <w:p>
            <w:pPr>
              <w:ind w:left="2100"/>
              <w:spacing w:after="0"/>
              <w:rPr>
                <w:sz w:val="20"/>
                <w:szCs w:val="20"/>
                <w:color w:val="auto"/>
              </w:rPr>
            </w:pPr>
            <w:r>
              <w:rPr>
                <w:rFonts w:ascii="Arial" w:cs="Arial" w:eastAsia="Arial" w:hAnsi="Arial"/>
                <w:sz w:val="18"/>
                <w:szCs w:val="18"/>
                <w:b w:val="1"/>
                <w:bCs w:val="1"/>
                <w:color w:val="auto"/>
                <w:w w:val="89"/>
              </w:rPr>
              <w:t>Exhibit 21</w:t>
            </w:r>
          </w:p>
        </w:tc>
      </w:tr>
      <w:tr>
        <w:trPr>
          <w:trHeight w:val="843"/>
        </w:trPr>
        <w:tc>
          <w:tcPr>
            <w:tcW w:w="20" w:type="dxa"/>
            <w:vAlign w:val="bottom"/>
          </w:tcPr>
          <w:p>
            <w:pPr>
              <w:spacing w:after="0"/>
              <w:rPr>
                <w:sz w:val="24"/>
                <w:szCs w:val="24"/>
                <w:color w:val="auto"/>
              </w:rPr>
            </w:pPr>
          </w:p>
        </w:tc>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Entity Name</w:t>
            </w:r>
          </w:p>
        </w:tc>
        <w:tc>
          <w:tcPr>
            <w:tcW w:w="4140" w:type="dxa"/>
            <w:vAlign w:val="bottom"/>
          </w:tcPr>
          <w:p>
            <w:pPr>
              <w:spacing w:after="0"/>
              <w:rPr>
                <w:sz w:val="24"/>
                <w:szCs w:val="24"/>
                <w:color w:val="auto"/>
              </w:rPr>
            </w:pPr>
          </w:p>
        </w:tc>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20" w:type="dxa"/>
            <w:vAlign w:val="bottom"/>
            <w:tcBorders>
              <w:bottom w:val="single" w:sz="8" w:color="C0C0C0"/>
            </w:tcBorders>
          </w:tcPr>
          <w:p>
            <w:pPr>
              <w:spacing w:after="0" w:line="20" w:lineRule="exact"/>
              <w:rPr>
                <w:sz w:val="1"/>
                <w:szCs w:val="1"/>
                <w:color w:val="auto"/>
              </w:rPr>
            </w:pPr>
          </w:p>
        </w:tc>
        <w:tc>
          <w:tcPr>
            <w:tcW w:w="940" w:type="dxa"/>
            <w:vAlign w:val="bottom"/>
            <w:tcBorders>
              <w:top w:val="single" w:sz="8" w:color="auto"/>
              <w:bottom w:val="single" w:sz="8" w:color="C0C0C0"/>
            </w:tcBorders>
          </w:tcPr>
          <w:p>
            <w:pPr>
              <w:spacing w:after="0" w:line="20" w:lineRule="exact"/>
              <w:rPr>
                <w:sz w:val="1"/>
                <w:szCs w:val="1"/>
                <w:color w:val="auto"/>
              </w:rPr>
            </w:pPr>
          </w:p>
        </w:tc>
        <w:tc>
          <w:tcPr>
            <w:tcW w:w="3240" w:type="dxa"/>
            <w:vAlign w:val="bottom"/>
            <w:tcBorders>
              <w:bottom w:val="single" w:sz="8" w:color="C0C0C0"/>
            </w:tcBorders>
          </w:tcPr>
          <w:p>
            <w:pPr>
              <w:spacing w:after="0" w:line="20" w:lineRule="exact"/>
              <w:rPr>
                <w:sz w:val="1"/>
                <w:szCs w:val="1"/>
                <w:color w:val="auto"/>
              </w:rPr>
            </w:pPr>
          </w:p>
        </w:tc>
        <w:tc>
          <w:tcPr>
            <w:tcW w:w="4140" w:type="dxa"/>
            <w:vAlign w:val="bottom"/>
            <w:tcBorders>
              <w:bottom w:val="single" w:sz="8" w:color="C0C0C0"/>
            </w:tcBorders>
          </w:tcPr>
          <w:p>
            <w:pPr>
              <w:spacing w:after="0" w:line="20" w:lineRule="exact"/>
              <w:rPr>
                <w:sz w:val="1"/>
                <w:szCs w:val="1"/>
                <w:color w:val="auto"/>
              </w:rPr>
            </w:pPr>
          </w:p>
        </w:tc>
        <w:tc>
          <w:tcPr>
            <w:tcW w:w="2180" w:type="dxa"/>
            <w:vAlign w:val="bottom"/>
            <w:tcBorders>
              <w:top w:val="single" w:sz="8" w:color="auto"/>
              <w:bottom w:val="single" w:sz="8" w:color="C0C0C0"/>
            </w:tcBorders>
          </w:tcPr>
          <w:p>
            <w:pPr>
              <w:spacing w:after="0" w:line="20" w:lineRule="exact"/>
              <w:rPr>
                <w:sz w:val="1"/>
                <w:szCs w:val="1"/>
                <w:color w:val="auto"/>
              </w:rPr>
            </w:pPr>
          </w:p>
        </w:tc>
        <w:tc>
          <w:tcPr>
            <w:tcW w:w="68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 Atlanta Midtown Beverage, LLC</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 Hotel Limited Partnership</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 Hotel Management, Inc.</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 Hotels Management, LLC</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 Hotels Music LLC</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 Hotels Real Estate, LLC</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 Hotels TCI GP Ltd.</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Turks and Caicos Islands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 Hotels Turks &amp; Caicos LP</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Turks and Caicos Islands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 International Hotel Management, Inc.</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 International Inc.</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 IPCO (Italy) LLC</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 Leicester Square Ltd.</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 Miami Beach Holdings LLC</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 Montreal Opco Inc.</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 Operating Company LLC</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 PR Management LLC</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 San Diego Hotel, LLC</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 Scottsdale Beverage LLC</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 Turks &amp; Caicos GP, LLC</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Washington Sheraton LLC</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Water Acquisition, LLC</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Waves Hotel Limited</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Barbados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Waves SL 1 Limited</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Saint Lucia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WEC 99C-1 LLC</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WEC 99C-10 LLC</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WEC 99C-11 LLC</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WEC 99C-12 LLC</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WEC 99C-13 LLC</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WEC 99C-14 LLC</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WEC 99C-2 LLC</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WEC 99C-3 LLC</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WEC 99C-4 LLC</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WEC 99C-5 LLC</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WEC 99C-6 LLC</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WEC 99C-7 LLC</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WEC 99C-8 LLC</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WEC 99C-9 LLC</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West Virginia Marriott Hotels, Inc.</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West Virginia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Western Host, Inc.</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California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Westin 200, Inc.</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Westin Arizona LLC</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Westin Aruba Hotel Advisors, LLC</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Westin Aruba Hotel Management LLC</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18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Westin Asia Management Co., LLC</w:t>
            </w:r>
          </w:p>
        </w:tc>
        <w:tc>
          <w:tcPr>
            <w:tcW w:w="414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Westin Asset Management Co.</w:t>
            </w:r>
          </w:p>
        </w:tc>
        <w:tc>
          <w:tcPr>
            <w:tcW w:w="414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822"/>
        </w:trPr>
        <w:tc>
          <w:tcPr>
            <w:tcW w:w="20" w:type="dxa"/>
            <w:vAlign w:val="bottom"/>
            <w:tcBorders>
              <w:top w:val="single" w:sz="8" w:color="C0C0C0"/>
            </w:tcBorders>
          </w:tcPr>
          <w:p>
            <w:pPr>
              <w:spacing w:after="0"/>
              <w:rPr>
                <w:sz w:val="24"/>
                <w:szCs w:val="24"/>
                <w:color w:val="auto"/>
              </w:rPr>
            </w:pPr>
          </w:p>
        </w:tc>
        <w:tc>
          <w:tcPr>
            <w:tcW w:w="940" w:type="dxa"/>
            <w:vAlign w:val="bottom"/>
            <w:tcBorders>
              <w:top w:val="single" w:sz="8" w:color="C0C0C0"/>
            </w:tcBorders>
          </w:tcPr>
          <w:p>
            <w:pPr>
              <w:spacing w:after="0"/>
              <w:rPr>
                <w:sz w:val="24"/>
                <w:szCs w:val="24"/>
                <w:color w:val="auto"/>
              </w:rPr>
            </w:pPr>
          </w:p>
        </w:tc>
        <w:tc>
          <w:tcPr>
            <w:tcW w:w="3240" w:type="dxa"/>
            <w:vAlign w:val="bottom"/>
            <w:tcBorders>
              <w:top w:val="single" w:sz="8" w:color="C0C0C0"/>
            </w:tcBorders>
          </w:tcPr>
          <w:p>
            <w:pPr>
              <w:spacing w:after="0"/>
              <w:rPr>
                <w:sz w:val="24"/>
                <w:szCs w:val="24"/>
                <w:color w:val="auto"/>
              </w:rPr>
            </w:pPr>
          </w:p>
        </w:tc>
        <w:tc>
          <w:tcPr>
            <w:tcW w:w="4140" w:type="dxa"/>
            <w:vAlign w:val="bottom"/>
            <w:tcBorders>
              <w:top w:val="single" w:sz="8" w:color="C0C0C0"/>
            </w:tcBorders>
          </w:tcPr>
          <w:p>
            <w:pPr>
              <w:jc w:val="right"/>
              <w:ind w:right="2552"/>
              <w:spacing w:after="0"/>
              <w:rPr>
                <w:sz w:val="20"/>
                <w:szCs w:val="20"/>
                <w:color w:val="auto"/>
              </w:rPr>
            </w:pPr>
            <w:r>
              <w:rPr>
                <w:rFonts w:ascii="Arial" w:cs="Arial" w:eastAsia="Arial" w:hAnsi="Arial"/>
                <w:sz w:val="18"/>
                <w:szCs w:val="18"/>
                <w:color w:val="auto"/>
              </w:rPr>
              <w:t>19</w:t>
            </w:r>
          </w:p>
        </w:tc>
        <w:tc>
          <w:tcPr>
            <w:tcW w:w="2180" w:type="dxa"/>
            <w:vAlign w:val="bottom"/>
            <w:tcBorders>
              <w:top w:val="single" w:sz="8" w:color="C0C0C0"/>
            </w:tcBorders>
          </w:tcPr>
          <w:p>
            <w:pPr>
              <w:spacing w:after="0"/>
              <w:rPr>
                <w:sz w:val="24"/>
                <w:szCs w:val="24"/>
                <w:color w:val="auto"/>
              </w:rPr>
            </w:pPr>
          </w:p>
        </w:tc>
        <w:tc>
          <w:tcPr>
            <w:tcW w:w="680" w:type="dxa"/>
            <w:vAlign w:val="bottom"/>
            <w:tcBorders>
              <w:top w:val="single" w:sz="8" w:color="C0C0C0"/>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20"/>
          </w:cols>
          <w:pgMar w:left="340" w:top="121" w:right="339" w:bottom="144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880" w:type="dxa"/>
            <w:vAlign w:val="bottom"/>
            <w:gridSpan w:val="3"/>
          </w:tcPr>
          <w:p>
            <w:pPr>
              <w:ind w:left="2100"/>
              <w:spacing w:after="0"/>
              <w:rPr>
                <w:sz w:val="20"/>
                <w:szCs w:val="20"/>
                <w:color w:val="auto"/>
              </w:rPr>
            </w:pPr>
            <w:r>
              <w:rPr>
                <w:rFonts w:ascii="Arial" w:cs="Arial" w:eastAsia="Arial" w:hAnsi="Arial"/>
                <w:sz w:val="18"/>
                <w:szCs w:val="18"/>
                <w:b w:val="1"/>
                <w:bCs w:val="1"/>
                <w:color w:val="auto"/>
                <w:w w:val="89"/>
              </w:rPr>
              <w:t>Exhibit 21</w:t>
            </w:r>
          </w:p>
        </w:tc>
      </w:tr>
      <w:tr>
        <w:trPr>
          <w:trHeight w:val="843"/>
        </w:trPr>
        <w:tc>
          <w:tcPr>
            <w:tcW w:w="2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Entity Name</w:t>
            </w:r>
          </w:p>
        </w:tc>
        <w:tc>
          <w:tcPr>
            <w:tcW w:w="3380" w:type="dxa"/>
            <w:vAlign w:val="bottom"/>
          </w:tcPr>
          <w:p>
            <w:pPr>
              <w:spacing w:after="0"/>
              <w:rPr>
                <w:sz w:val="24"/>
                <w:szCs w:val="24"/>
                <w:color w:val="auto"/>
              </w:rPr>
            </w:pPr>
          </w:p>
        </w:tc>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20" w:type="dxa"/>
            <w:vAlign w:val="bottom"/>
            <w:tcBorders>
              <w:bottom w:val="single" w:sz="8" w:color="C0C0C0"/>
            </w:tcBorders>
          </w:tcPr>
          <w:p>
            <w:pPr>
              <w:spacing w:after="0" w:line="20" w:lineRule="exact"/>
              <w:rPr>
                <w:sz w:val="1"/>
                <w:szCs w:val="1"/>
                <w:color w:val="auto"/>
              </w:rPr>
            </w:pPr>
          </w:p>
        </w:tc>
        <w:tc>
          <w:tcPr>
            <w:tcW w:w="940" w:type="dxa"/>
            <w:vAlign w:val="bottom"/>
            <w:tcBorders>
              <w:top w:val="single" w:sz="8" w:color="auto"/>
              <w:bottom w:val="single" w:sz="8" w:color="C0C0C0"/>
            </w:tcBorders>
          </w:tcPr>
          <w:p>
            <w:pPr>
              <w:spacing w:after="0" w:line="20" w:lineRule="exact"/>
              <w:rPr>
                <w:sz w:val="1"/>
                <w:szCs w:val="1"/>
                <w:color w:val="auto"/>
              </w:rPr>
            </w:pPr>
          </w:p>
        </w:tc>
        <w:tc>
          <w:tcPr>
            <w:tcW w:w="4000" w:type="dxa"/>
            <w:vAlign w:val="bottom"/>
            <w:tcBorders>
              <w:bottom w:val="single" w:sz="8" w:color="C0C0C0"/>
            </w:tcBorders>
          </w:tcPr>
          <w:p>
            <w:pPr>
              <w:spacing w:after="0" w:line="20" w:lineRule="exact"/>
              <w:rPr>
                <w:sz w:val="1"/>
                <w:szCs w:val="1"/>
                <w:color w:val="auto"/>
              </w:rPr>
            </w:pPr>
          </w:p>
        </w:tc>
        <w:tc>
          <w:tcPr>
            <w:tcW w:w="3380" w:type="dxa"/>
            <w:vAlign w:val="bottom"/>
            <w:tcBorders>
              <w:bottom w:val="single" w:sz="8" w:color="C0C0C0"/>
            </w:tcBorders>
          </w:tcPr>
          <w:p>
            <w:pPr>
              <w:spacing w:after="0" w:line="20" w:lineRule="exact"/>
              <w:rPr>
                <w:sz w:val="1"/>
                <w:szCs w:val="1"/>
                <w:color w:val="auto"/>
              </w:rPr>
            </w:pPr>
          </w:p>
        </w:tc>
        <w:tc>
          <w:tcPr>
            <w:tcW w:w="2180" w:type="dxa"/>
            <w:vAlign w:val="bottom"/>
            <w:tcBorders>
              <w:top w:val="single" w:sz="8" w:color="auto"/>
              <w:bottom w:val="single" w:sz="8" w:color="C0C0C0"/>
            </w:tcBorders>
          </w:tcPr>
          <w:p>
            <w:pPr>
              <w:spacing w:after="0" w:line="20" w:lineRule="exact"/>
              <w:rPr>
                <w:sz w:val="1"/>
                <w:szCs w:val="1"/>
                <w:color w:val="auto"/>
              </w:rPr>
            </w:pPr>
          </w:p>
        </w:tc>
        <w:tc>
          <w:tcPr>
            <w:tcW w:w="680" w:type="dxa"/>
            <w:vAlign w:val="bottom"/>
            <w:tcBorders>
              <w:bottom w:val="single" w:sz="8" w:color="C0C0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0" w:type="dxa"/>
            <w:vAlign w:val="bottom"/>
            <w:tcBorders>
              <w:bottom w:val="single" w:sz="8" w:color="C0C0C0"/>
            </w:tcBorders>
          </w:tcPr>
          <w:p>
            <w:pPr>
              <w:spacing w:after="0"/>
              <w:rPr>
                <w:sz w:val="18"/>
                <w:szCs w:val="18"/>
                <w:color w:val="auto"/>
              </w:rPr>
            </w:pPr>
          </w:p>
        </w:tc>
        <w:tc>
          <w:tcPr>
            <w:tcW w:w="49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Westin Beverage Services LLC</w:t>
            </w:r>
          </w:p>
        </w:tc>
        <w:tc>
          <w:tcPr>
            <w:tcW w:w="33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9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Westin Birmingham Operator, LLC</w:t>
            </w:r>
          </w:p>
        </w:tc>
        <w:tc>
          <w:tcPr>
            <w:tcW w:w="33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9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Westin Chicago at North River Payroll Company</w:t>
            </w:r>
          </w:p>
        </w:tc>
        <w:tc>
          <w:tcPr>
            <w:tcW w:w="33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9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Westin CP Beverage Company, Inc.</w:t>
            </w:r>
          </w:p>
        </w:tc>
        <w:tc>
          <w:tcPr>
            <w:tcW w:w="33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9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Westin Crown Plaza Hotel Company</w:t>
            </w:r>
          </w:p>
        </w:tc>
        <w:tc>
          <w:tcPr>
            <w:tcW w:w="33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9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Westin DIA Operator, LLC</w:t>
            </w:r>
          </w:p>
        </w:tc>
        <w:tc>
          <w:tcPr>
            <w:tcW w:w="33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9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Westin Hotel Management, L.P.</w:t>
            </w:r>
          </w:p>
        </w:tc>
        <w:tc>
          <w:tcPr>
            <w:tcW w:w="33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9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w w:val="99"/>
              </w:rPr>
              <w:t>Westin Hotel Management, L.P. (Dominican Republic Branch)</w:t>
            </w:r>
          </w:p>
        </w:tc>
        <w:tc>
          <w:tcPr>
            <w:tcW w:w="33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Dominican Republic</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9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Westin Hotels Management, LLC</w:t>
            </w:r>
          </w:p>
        </w:tc>
        <w:tc>
          <w:tcPr>
            <w:tcW w:w="33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9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Westin Hotels PRC, LLC</w:t>
            </w:r>
          </w:p>
        </w:tc>
        <w:tc>
          <w:tcPr>
            <w:tcW w:w="33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9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Westin International (Malta) Ltd</w:t>
            </w:r>
          </w:p>
        </w:tc>
        <w:tc>
          <w:tcPr>
            <w:tcW w:w="33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Malta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9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Westin International Europe B.V.</w:t>
            </w:r>
          </w:p>
        </w:tc>
        <w:tc>
          <w:tcPr>
            <w:tcW w:w="33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9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Westin IPCO (Italy) LLC</w:t>
            </w:r>
          </w:p>
        </w:tc>
        <w:tc>
          <w:tcPr>
            <w:tcW w:w="33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9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Westin Kierland, LLC</w:t>
            </w:r>
          </w:p>
        </w:tc>
        <w:tc>
          <w:tcPr>
            <w:tcW w:w="33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9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Westin License Holding, LLC</w:t>
            </w:r>
          </w:p>
        </w:tc>
        <w:tc>
          <w:tcPr>
            <w:tcW w:w="33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9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Westin Montreal Airport Hotel Company</w:t>
            </w:r>
          </w:p>
        </w:tc>
        <w:tc>
          <w:tcPr>
            <w:tcW w:w="33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9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Westin O'Hare Hotel Company</w:t>
            </w:r>
          </w:p>
        </w:tc>
        <w:tc>
          <w:tcPr>
            <w:tcW w:w="33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9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Westin Ontario (London) Hotel Company</w:t>
            </w:r>
          </w:p>
        </w:tc>
        <w:tc>
          <w:tcPr>
            <w:tcW w:w="33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9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Westin Operator, LLC</w:t>
            </w:r>
          </w:p>
        </w:tc>
        <w:tc>
          <w:tcPr>
            <w:tcW w:w="33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9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Westin Ottawa Management Co., LLC</w:t>
            </w:r>
          </w:p>
        </w:tc>
        <w:tc>
          <w:tcPr>
            <w:tcW w:w="33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9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Westin Portland L.L.C.</w:t>
            </w:r>
          </w:p>
        </w:tc>
        <w:tc>
          <w:tcPr>
            <w:tcW w:w="33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9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Westin Realty Corp.</w:t>
            </w:r>
          </w:p>
        </w:tc>
        <w:tc>
          <w:tcPr>
            <w:tcW w:w="33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9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Westin River North, Chicago Beverage Company</w:t>
            </w:r>
          </w:p>
        </w:tc>
        <w:tc>
          <w:tcPr>
            <w:tcW w:w="33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9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Westin San Antonio Resort Company</w:t>
            </w:r>
          </w:p>
        </w:tc>
        <w:tc>
          <w:tcPr>
            <w:tcW w:w="33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9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Westin Savannah Holdings, LLC</w:t>
            </w:r>
          </w:p>
        </w:tc>
        <w:tc>
          <w:tcPr>
            <w:tcW w:w="33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9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Westin St. Lucia Management LLC</w:t>
            </w:r>
          </w:p>
        </w:tc>
        <w:tc>
          <w:tcPr>
            <w:tcW w:w="33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9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Westin Two Hundred L.L.C.</w:t>
            </w:r>
          </w:p>
        </w:tc>
        <w:tc>
          <w:tcPr>
            <w:tcW w:w="33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9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Westin Washington Operator L.L.C.</w:t>
            </w:r>
          </w:p>
        </w:tc>
        <w:tc>
          <w:tcPr>
            <w:tcW w:w="33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9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Wetbar New York, LLC</w:t>
            </w:r>
          </w:p>
        </w:tc>
        <w:tc>
          <w:tcPr>
            <w:tcW w:w="33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9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WHC Payroll Company</w:t>
            </w:r>
          </w:p>
        </w:tc>
        <w:tc>
          <w:tcPr>
            <w:tcW w:w="33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9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Whiskey Blue Boston, LLC</w:t>
            </w:r>
          </w:p>
        </w:tc>
        <w:tc>
          <w:tcPr>
            <w:tcW w:w="33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9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Whiskey Blue New Orleans, LLC</w:t>
            </w:r>
          </w:p>
        </w:tc>
        <w:tc>
          <w:tcPr>
            <w:tcW w:w="33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9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WHLP Acquisition, LLC</w:t>
            </w:r>
          </w:p>
        </w:tc>
        <w:tc>
          <w:tcPr>
            <w:tcW w:w="33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9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WHR Colorado Beverage Company</w:t>
            </w:r>
          </w:p>
        </w:tc>
        <w:tc>
          <w:tcPr>
            <w:tcW w:w="33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9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Windward Investments Limited</w:t>
            </w:r>
          </w:p>
        </w:tc>
        <w:tc>
          <w:tcPr>
            <w:tcW w:w="33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Barbados</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C0C0C0"/>
            </w:tcBorders>
          </w:tcPr>
          <w:p>
            <w:pPr>
              <w:spacing w:after="0"/>
              <w:rPr>
                <w:sz w:val="18"/>
                <w:szCs w:val="18"/>
                <w:color w:val="auto"/>
              </w:rPr>
            </w:pPr>
          </w:p>
        </w:tc>
        <w:tc>
          <w:tcPr>
            <w:tcW w:w="49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Witty Restaurant Group, Inc.</w:t>
            </w:r>
          </w:p>
        </w:tc>
        <w:tc>
          <w:tcPr>
            <w:tcW w:w="3380" w:type="dxa"/>
            <w:vAlign w:val="bottom"/>
            <w:tcBorders>
              <w:bottom w:val="single" w:sz="8" w:color="C0C0C0"/>
            </w:tcBorders>
          </w:tcPr>
          <w:p>
            <w:pPr>
              <w:spacing w:after="0"/>
              <w:rPr>
                <w:sz w:val="18"/>
                <w:szCs w:val="18"/>
                <w:color w:val="auto"/>
              </w:rPr>
            </w:pPr>
          </w:p>
        </w:tc>
        <w:tc>
          <w:tcPr>
            <w:tcW w:w="286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Worldwide Franchise Systems, Inc.</w:t>
            </w:r>
          </w:p>
        </w:tc>
        <w:tc>
          <w:tcPr>
            <w:tcW w:w="338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822"/>
        </w:trPr>
        <w:tc>
          <w:tcPr>
            <w:tcW w:w="20" w:type="dxa"/>
            <w:vAlign w:val="bottom"/>
            <w:tcBorders>
              <w:top w:val="single" w:sz="8" w:color="C0C0C0"/>
            </w:tcBorders>
          </w:tcPr>
          <w:p>
            <w:pPr>
              <w:spacing w:after="0"/>
              <w:rPr>
                <w:sz w:val="24"/>
                <w:szCs w:val="24"/>
                <w:color w:val="auto"/>
              </w:rPr>
            </w:pPr>
          </w:p>
        </w:tc>
        <w:tc>
          <w:tcPr>
            <w:tcW w:w="940" w:type="dxa"/>
            <w:vAlign w:val="bottom"/>
            <w:tcBorders>
              <w:top w:val="single" w:sz="8" w:color="C0C0C0"/>
            </w:tcBorders>
          </w:tcPr>
          <w:p>
            <w:pPr>
              <w:spacing w:after="0"/>
              <w:rPr>
                <w:sz w:val="24"/>
                <w:szCs w:val="24"/>
                <w:color w:val="auto"/>
              </w:rPr>
            </w:pPr>
          </w:p>
        </w:tc>
        <w:tc>
          <w:tcPr>
            <w:tcW w:w="4000" w:type="dxa"/>
            <w:vAlign w:val="bottom"/>
            <w:tcBorders>
              <w:top w:val="single" w:sz="8" w:color="C0C0C0"/>
            </w:tcBorders>
          </w:tcPr>
          <w:p>
            <w:pPr>
              <w:spacing w:after="0"/>
              <w:rPr>
                <w:sz w:val="24"/>
                <w:szCs w:val="24"/>
                <w:color w:val="auto"/>
              </w:rPr>
            </w:pPr>
          </w:p>
        </w:tc>
        <w:tc>
          <w:tcPr>
            <w:tcW w:w="3380" w:type="dxa"/>
            <w:vAlign w:val="bottom"/>
            <w:tcBorders>
              <w:top w:val="single" w:sz="8" w:color="C0C0C0"/>
            </w:tcBorders>
          </w:tcPr>
          <w:p>
            <w:pPr>
              <w:jc w:val="right"/>
              <w:ind w:right="2552"/>
              <w:spacing w:after="0"/>
              <w:rPr>
                <w:sz w:val="20"/>
                <w:szCs w:val="20"/>
                <w:color w:val="auto"/>
              </w:rPr>
            </w:pPr>
            <w:r>
              <w:rPr>
                <w:rFonts w:ascii="Arial" w:cs="Arial" w:eastAsia="Arial" w:hAnsi="Arial"/>
                <w:sz w:val="18"/>
                <w:szCs w:val="18"/>
                <w:color w:val="auto"/>
              </w:rPr>
              <w:t>20</w:t>
            </w:r>
          </w:p>
        </w:tc>
        <w:tc>
          <w:tcPr>
            <w:tcW w:w="2180" w:type="dxa"/>
            <w:vAlign w:val="bottom"/>
            <w:tcBorders>
              <w:top w:val="single" w:sz="8" w:color="C0C0C0"/>
            </w:tcBorders>
          </w:tcPr>
          <w:p>
            <w:pPr>
              <w:spacing w:after="0"/>
              <w:rPr>
                <w:sz w:val="24"/>
                <w:szCs w:val="24"/>
                <w:color w:val="auto"/>
              </w:rPr>
            </w:pPr>
          </w:p>
        </w:tc>
        <w:tc>
          <w:tcPr>
            <w:tcW w:w="680" w:type="dxa"/>
            <w:vAlign w:val="bottom"/>
            <w:tcBorders>
              <w:top w:val="single" w:sz="8" w:color="C0C0C0"/>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20"/>
          </w:cols>
          <w:pgMar w:left="340" w:top="121"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6"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We consent to the incorporation by reference of our reports dated February 18, 2021, with respect to the consolidated financial statements and the effectiveness of internal control over financial reporting of Marriott International, Inc., included in this Amendment No. 1 on Form 10-K/A for the year ended December 31, 2020, in the following Registration Statements of Marriott International, Inc.:</w:t>
      </w:r>
    </w:p>
    <w:p>
      <w:pPr>
        <w:spacing w:after="0" w:line="213" w:lineRule="exact"/>
        <w:rPr>
          <w:sz w:val="20"/>
          <w:szCs w:val="20"/>
          <w:color w:val="auto"/>
        </w:rPr>
      </w:pPr>
    </w:p>
    <w:p>
      <w:pPr>
        <w:ind w:left="640" w:hanging="319"/>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Registration Statement (Form S-8 No. 333-230005) pertaining to the Marriott International, Inc. Executive Deferred Compensation Plan;</w:t>
      </w:r>
    </w:p>
    <w:p>
      <w:pPr>
        <w:spacing w:after="0" w:line="38" w:lineRule="exact"/>
        <w:rPr>
          <w:rFonts w:ascii="Arial" w:cs="Arial" w:eastAsia="Arial" w:hAnsi="Arial"/>
          <w:sz w:val="16"/>
          <w:szCs w:val="16"/>
          <w:color w:val="auto"/>
        </w:rPr>
      </w:pPr>
    </w:p>
    <w:p>
      <w:pPr>
        <w:ind w:left="640" w:hanging="319"/>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Registration Statement (Form S-8 No. 333-58747) pertaining to the Marriott International, Inc. Employee Stock Purchase Plan;</w:t>
      </w:r>
    </w:p>
    <w:p>
      <w:pPr>
        <w:spacing w:after="0" w:line="3" w:lineRule="exact"/>
        <w:rPr>
          <w:rFonts w:ascii="Arial" w:cs="Arial" w:eastAsia="Arial" w:hAnsi="Arial"/>
          <w:sz w:val="18"/>
          <w:szCs w:val="18"/>
          <w:color w:val="auto"/>
        </w:rPr>
      </w:pPr>
    </w:p>
    <w:p>
      <w:pPr>
        <w:ind w:left="620" w:hanging="299"/>
        <w:spacing w:after="0"/>
        <w:tabs>
          <w:tab w:leader="none" w:pos="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Registration Statement (Form S-8 No. 333-161194) pertaining to the Marriott International, Inc. Stock and Cash Incentive Plan, as amended;</w:t>
      </w:r>
    </w:p>
    <w:p>
      <w:pPr>
        <w:spacing w:after="0" w:line="15" w:lineRule="exact"/>
        <w:rPr>
          <w:rFonts w:ascii="Arial" w:cs="Arial" w:eastAsia="Arial" w:hAnsi="Arial"/>
          <w:sz w:val="16"/>
          <w:szCs w:val="16"/>
          <w:color w:val="auto"/>
        </w:rPr>
      </w:pPr>
    </w:p>
    <w:p>
      <w:pPr>
        <w:ind w:left="640" w:hanging="319"/>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Registration Statement (Form S-3 ASR No. 333-253260) of Marriott International, Inc.;</w:t>
      </w:r>
    </w:p>
    <w:p>
      <w:pPr>
        <w:spacing w:after="0" w:line="1" w:lineRule="exact"/>
        <w:rPr>
          <w:rFonts w:ascii="Arial" w:cs="Arial" w:eastAsia="Arial" w:hAnsi="Arial"/>
          <w:sz w:val="18"/>
          <w:szCs w:val="18"/>
          <w:color w:val="auto"/>
        </w:rPr>
      </w:pPr>
    </w:p>
    <w:p>
      <w:pPr>
        <w:ind w:left="640" w:hanging="319"/>
        <w:spacing w:after="0" w:line="231"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Registration Statement (Forms S-8 No. 333-236688 and No. 333-253252) pertaining to the Marriott Retirement Savings Plan; and</w:t>
      </w:r>
    </w:p>
    <w:p>
      <w:pPr>
        <w:ind w:left="640" w:right="220" w:hanging="319"/>
        <w:spacing w:after="0" w:line="245" w:lineRule="auto"/>
        <w:tabs>
          <w:tab w:leader="none" w:pos="634"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Registration Statement (Form S-8 No. 333-249913) pertaining to the Marriott International, Inc. Puerto Rico Retirement Plan and San Juan Marriott Resort &amp; Stellaris Casino Employee Retirement Plan.</w:t>
      </w:r>
    </w:p>
    <w:p>
      <w:pPr>
        <w:spacing w:after="0" w:line="200" w:lineRule="exact"/>
        <w:rPr>
          <w:sz w:val="20"/>
          <w:szCs w:val="20"/>
          <w:color w:val="auto"/>
        </w:rPr>
      </w:pPr>
    </w:p>
    <w:p>
      <w:pPr>
        <w:spacing w:after="0" w:line="29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 2021</w:t>
      </w:r>
    </w:p>
    <w:p>
      <w:pPr>
        <w:sectPr>
          <w:pgSz w:w="11900" w:h="16838" w:orient="portrait"/>
          <w:cols w:equalWidth="0" w:num="1">
            <w:col w:w="11240"/>
          </w:cols>
          <w:pgMar w:left="320" w:top="871"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 Anthony G. Capuano, certify that:</w:t>
      </w:r>
    </w:p>
    <w:p>
      <w:pPr>
        <w:spacing w:after="0" w:line="161" w:lineRule="exact"/>
        <w:rPr>
          <w:sz w:val="20"/>
          <w:szCs w:val="20"/>
          <w:color w:val="auto"/>
        </w:rPr>
      </w:pPr>
    </w:p>
    <w:p>
      <w:pPr>
        <w:ind w:left="640" w:hanging="635"/>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Marriott International, Inc.;</w:t>
      </w:r>
    </w:p>
    <w:p>
      <w:pPr>
        <w:spacing w:after="0" w:line="161" w:lineRule="exact"/>
        <w:rPr>
          <w:rFonts w:ascii="Arial" w:cs="Arial" w:eastAsia="Arial" w:hAnsi="Arial"/>
          <w:sz w:val="18"/>
          <w:szCs w:val="18"/>
          <w:color w:val="auto"/>
        </w:rPr>
      </w:pPr>
    </w:p>
    <w:p>
      <w:pPr>
        <w:jc w:val="both"/>
        <w:ind w:left="640" w:right="400" w:hanging="635"/>
        <w:spacing w:after="0" w:line="252"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8"/>
          <w:szCs w:val="18"/>
          <w:color w:val="auto"/>
        </w:rPr>
      </w:pPr>
    </w:p>
    <w:p>
      <w:pPr>
        <w:ind w:left="640" w:right="360" w:hanging="635"/>
        <w:spacing w:after="0" w:line="324" w:lineRule="auto"/>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2" w:lineRule="exact"/>
        <w:rPr>
          <w:rFonts w:ascii="Arial" w:cs="Arial" w:eastAsia="Arial" w:hAnsi="Arial"/>
          <w:sz w:val="16"/>
          <w:szCs w:val="16"/>
          <w:color w:val="auto"/>
        </w:rPr>
      </w:pPr>
    </w:p>
    <w:p>
      <w:pPr>
        <w:ind w:left="640" w:right="400" w:hanging="635"/>
        <w:spacing w:after="0" w:line="252"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Arial" w:cs="Arial" w:eastAsia="Arial" w:hAnsi="Arial"/>
          <w:sz w:val="18"/>
          <w:szCs w:val="18"/>
          <w:color w:val="auto"/>
        </w:rPr>
      </w:pPr>
    </w:p>
    <w:p>
      <w:pPr>
        <w:ind w:left="1260" w:right="20" w:hanging="623"/>
        <w:spacing w:after="0" w:line="252" w:lineRule="auto"/>
        <w:tabs>
          <w:tab w:leader="none" w:pos="1257"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Arial" w:cs="Arial" w:eastAsia="Arial" w:hAnsi="Arial"/>
          <w:sz w:val="18"/>
          <w:szCs w:val="18"/>
          <w:color w:val="auto"/>
        </w:rPr>
      </w:pPr>
    </w:p>
    <w:p>
      <w:pPr>
        <w:ind w:left="1260" w:right="320" w:hanging="623"/>
        <w:spacing w:after="0" w:line="252" w:lineRule="auto"/>
        <w:tabs>
          <w:tab w:leader="none" w:pos="1254"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8"/>
          <w:szCs w:val="18"/>
          <w:color w:val="auto"/>
        </w:rPr>
      </w:pPr>
    </w:p>
    <w:p>
      <w:pPr>
        <w:jc w:val="both"/>
        <w:ind w:left="1260" w:right="500" w:hanging="623"/>
        <w:spacing w:after="0" w:line="362" w:lineRule="auto"/>
        <w:tabs>
          <w:tab w:leader="none" w:pos="1257" w:val="left"/>
        </w:tabs>
        <w:numPr>
          <w:ilvl w:val="1"/>
          <w:numId w:val="3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Arial" w:cs="Arial" w:eastAsia="Arial" w:hAnsi="Arial"/>
          <w:sz w:val="15"/>
          <w:szCs w:val="15"/>
          <w:color w:val="auto"/>
        </w:rPr>
      </w:pPr>
    </w:p>
    <w:p>
      <w:pPr>
        <w:ind w:left="1260" w:right="20" w:hanging="623"/>
        <w:spacing w:after="0" w:line="252" w:lineRule="auto"/>
        <w:tabs>
          <w:tab w:leader="none" w:pos="1254"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Arial" w:cs="Arial" w:eastAsia="Arial" w:hAnsi="Arial"/>
          <w:sz w:val="18"/>
          <w:szCs w:val="18"/>
          <w:color w:val="auto"/>
        </w:rPr>
      </w:pPr>
    </w:p>
    <w:p>
      <w:pPr>
        <w:ind w:left="640" w:right="300" w:hanging="635"/>
        <w:spacing w:after="0" w:line="324" w:lineRule="auto"/>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Arial" w:cs="Arial" w:eastAsia="Arial" w:hAnsi="Arial"/>
          <w:sz w:val="16"/>
          <w:szCs w:val="16"/>
          <w:color w:val="auto"/>
        </w:rPr>
      </w:pPr>
    </w:p>
    <w:p>
      <w:pPr>
        <w:ind w:left="1260" w:right="680" w:hanging="623"/>
        <w:spacing w:after="0" w:line="324" w:lineRule="auto"/>
        <w:tabs>
          <w:tab w:leader="none" w:pos="1257"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rFonts w:ascii="Arial" w:cs="Arial" w:eastAsia="Arial" w:hAnsi="Arial"/>
          <w:sz w:val="16"/>
          <w:szCs w:val="16"/>
          <w:color w:val="auto"/>
        </w:rPr>
      </w:pPr>
    </w:p>
    <w:p>
      <w:pPr>
        <w:ind w:left="1260" w:right="440" w:hanging="623"/>
        <w:spacing w:after="0" w:line="261" w:lineRule="auto"/>
        <w:tabs>
          <w:tab w:leader="none" w:pos="1254"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p>
      <w:pPr>
        <w:ind w:left="40"/>
        <w:spacing w:after="0"/>
        <w:tabs>
          <w:tab w:leader="none" w:pos="5140" w:val="left"/>
        </w:tabs>
        <w:rPr>
          <w:sz w:val="20"/>
          <w:szCs w:val="20"/>
          <w:color w:val="auto"/>
        </w:rPr>
      </w:pPr>
      <w:r>
        <w:rPr>
          <w:rFonts w:ascii="Arial" w:cs="Arial" w:eastAsia="Arial" w:hAnsi="Arial"/>
          <w:sz w:val="18"/>
          <w:szCs w:val="18"/>
          <w:color w:val="auto"/>
        </w:rPr>
        <w:t>April 2, 2021</w:t>
      </w:r>
      <w:r>
        <w:rPr>
          <w:sz w:val="20"/>
          <w:szCs w:val="20"/>
          <w:color w:val="auto"/>
        </w:rPr>
        <w:tab/>
      </w:r>
      <w:r>
        <w:rPr>
          <w:rFonts w:ascii="Arial" w:cs="Arial" w:eastAsia="Arial" w:hAnsi="Arial"/>
          <w:sz w:val="15"/>
          <w:szCs w:val="15"/>
          <w:color w:val="auto"/>
        </w:rPr>
        <w:t>/s/ Anthony G. Capuano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3261995</wp:posOffset>
            </wp:positionH>
            <wp:positionV relativeFrom="paragraph">
              <wp:posOffset>10160</wp:posOffset>
            </wp:positionV>
            <wp:extent cx="38684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6">
                      <a:extLst>
                        <a:ext uri="{28A0092B-C50C-407E-A947-70E740481C1C}"/>
                      </a:extLst>
                    </a:blip>
                    <a:srcRect/>
                    <a:stretch>
                      <a:fillRect/>
                    </a:stretch>
                  </pic:blipFill>
                  <pic:spPr bwMode="auto">
                    <a:xfrm>
                      <a:off x="0" y="0"/>
                      <a:ext cx="3868420" cy="8255"/>
                    </a:xfrm>
                    <a:prstGeom prst="rect">
                      <a:avLst/>
                    </a:prstGeom>
                    <a:noFill/>
                  </pic:spPr>
                </pic:pic>
              </a:graphicData>
            </a:graphic>
          </wp:anchor>
        </w:drawing>
      </w:r>
    </w:p>
    <w:p>
      <w:pPr>
        <w:ind w:left="5160"/>
        <w:spacing w:after="0"/>
        <w:rPr>
          <w:sz w:val="20"/>
          <w:szCs w:val="20"/>
          <w:color w:val="auto"/>
        </w:rPr>
      </w:pPr>
      <w:r>
        <w:rPr>
          <w:rFonts w:ascii="Arial" w:cs="Arial" w:eastAsia="Arial" w:hAnsi="Arial"/>
          <w:sz w:val="18"/>
          <w:szCs w:val="18"/>
          <w:color w:val="auto"/>
        </w:rPr>
        <w:t>Anthony G. Capuano</w:t>
      </w:r>
    </w:p>
    <w:p>
      <w:pPr>
        <w:ind w:left="5160"/>
        <w:spacing w:after="0" w:line="198" w:lineRule="auto"/>
        <w:rPr>
          <w:sz w:val="20"/>
          <w:szCs w:val="20"/>
          <w:color w:val="auto"/>
        </w:rPr>
      </w:pPr>
      <w:r>
        <w:rPr>
          <w:rFonts w:ascii="Arial" w:cs="Arial" w:eastAsia="Arial" w:hAnsi="Arial"/>
          <w:sz w:val="18"/>
          <w:szCs w:val="18"/>
          <w:color w:val="auto"/>
        </w:rPr>
        <w:t>Chief Executive Officer</w:t>
      </w:r>
    </w:p>
    <w:p>
      <w:pPr>
        <w:ind w:left="51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71"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 Kathleen K. Oberg, certify that:</w:t>
      </w:r>
    </w:p>
    <w:p>
      <w:pPr>
        <w:spacing w:after="0" w:line="161" w:lineRule="exact"/>
        <w:rPr>
          <w:sz w:val="20"/>
          <w:szCs w:val="20"/>
          <w:color w:val="auto"/>
        </w:rPr>
      </w:pPr>
    </w:p>
    <w:p>
      <w:pPr>
        <w:ind w:left="640" w:hanging="635"/>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Marriott International, Inc.;</w:t>
      </w:r>
    </w:p>
    <w:p>
      <w:pPr>
        <w:spacing w:after="0" w:line="161" w:lineRule="exact"/>
        <w:rPr>
          <w:rFonts w:ascii="Arial" w:cs="Arial" w:eastAsia="Arial" w:hAnsi="Arial"/>
          <w:sz w:val="18"/>
          <w:szCs w:val="18"/>
          <w:color w:val="auto"/>
        </w:rPr>
      </w:pPr>
    </w:p>
    <w:p>
      <w:pPr>
        <w:jc w:val="both"/>
        <w:ind w:left="640" w:right="400" w:hanging="635"/>
        <w:spacing w:after="0" w:line="252"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8"/>
          <w:szCs w:val="18"/>
          <w:color w:val="auto"/>
        </w:rPr>
      </w:pPr>
    </w:p>
    <w:p>
      <w:pPr>
        <w:ind w:left="640" w:right="360" w:hanging="635"/>
        <w:spacing w:after="0" w:line="324" w:lineRule="auto"/>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2" w:lineRule="exact"/>
        <w:rPr>
          <w:rFonts w:ascii="Arial" w:cs="Arial" w:eastAsia="Arial" w:hAnsi="Arial"/>
          <w:sz w:val="16"/>
          <w:szCs w:val="16"/>
          <w:color w:val="auto"/>
        </w:rPr>
      </w:pPr>
    </w:p>
    <w:p>
      <w:pPr>
        <w:ind w:left="640" w:right="400" w:hanging="635"/>
        <w:spacing w:after="0" w:line="252"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Arial" w:cs="Arial" w:eastAsia="Arial" w:hAnsi="Arial"/>
          <w:sz w:val="18"/>
          <w:szCs w:val="18"/>
          <w:color w:val="auto"/>
        </w:rPr>
      </w:pPr>
    </w:p>
    <w:p>
      <w:pPr>
        <w:ind w:left="1260" w:right="20" w:hanging="623"/>
        <w:spacing w:after="0" w:line="252" w:lineRule="auto"/>
        <w:tabs>
          <w:tab w:leader="none" w:pos="1257"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Arial" w:cs="Arial" w:eastAsia="Arial" w:hAnsi="Arial"/>
          <w:sz w:val="18"/>
          <w:szCs w:val="18"/>
          <w:color w:val="auto"/>
        </w:rPr>
      </w:pPr>
    </w:p>
    <w:p>
      <w:pPr>
        <w:ind w:left="1260" w:right="320" w:hanging="623"/>
        <w:spacing w:after="0" w:line="252" w:lineRule="auto"/>
        <w:tabs>
          <w:tab w:leader="none" w:pos="125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8"/>
          <w:szCs w:val="18"/>
          <w:color w:val="auto"/>
        </w:rPr>
      </w:pPr>
    </w:p>
    <w:p>
      <w:pPr>
        <w:jc w:val="both"/>
        <w:ind w:left="1260" w:right="500" w:hanging="623"/>
        <w:spacing w:after="0" w:line="362" w:lineRule="auto"/>
        <w:tabs>
          <w:tab w:leader="none" w:pos="1257" w:val="left"/>
        </w:tabs>
        <w:numPr>
          <w:ilvl w:val="1"/>
          <w:numId w:val="3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Arial" w:cs="Arial" w:eastAsia="Arial" w:hAnsi="Arial"/>
          <w:sz w:val="15"/>
          <w:szCs w:val="15"/>
          <w:color w:val="auto"/>
        </w:rPr>
      </w:pPr>
    </w:p>
    <w:p>
      <w:pPr>
        <w:ind w:left="1260" w:right="20" w:hanging="623"/>
        <w:spacing w:after="0" w:line="252" w:lineRule="auto"/>
        <w:tabs>
          <w:tab w:leader="none" w:pos="125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Arial" w:cs="Arial" w:eastAsia="Arial" w:hAnsi="Arial"/>
          <w:sz w:val="18"/>
          <w:szCs w:val="18"/>
          <w:color w:val="auto"/>
        </w:rPr>
      </w:pPr>
    </w:p>
    <w:p>
      <w:pPr>
        <w:ind w:left="640" w:right="300" w:hanging="635"/>
        <w:spacing w:after="0" w:line="324" w:lineRule="auto"/>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Arial" w:cs="Arial" w:eastAsia="Arial" w:hAnsi="Arial"/>
          <w:sz w:val="16"/>
          <w:szCs w:val="16"/>
          <w:color w:val="auto"/>
        </w:rPr>
      </w:pPr>
    </w:p>
    <w:p>
      <w:pPr>
        <w:ind w:left="1260" w:right="680" w:hanging="623"/>
        <w:spacing w:after="0" w:line="324" w:lineRule="auto"/>
        <w:tabs>
          <w:tab w:leader="none" w:pos="1257"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rFonts w:ascii="Arial" w:cs="Arial" w:eastAsia="Arial" w:hAnsi="Arial"/>
          <w:sz w:val="16"/>
          <w:szCs w:val="16"/>
          <w:color w:val="auto"/>
        </w:rPr>
      </w:pPr>
    </w:p>
    <w:p>
      <w:pPr>
        <w:ind w:left="1260" w:right="440" w:hanging="623"/>
        <w:spacing w:after="0" w:line="261" w:lineRule="auto"/>
        <w:tabs>
          <w:tab w:leader="none" w:pos="1254"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p>
      <w:pPr>
        <w:ind w:left="40"/>
        <w:spacing w:after="0"/>
        <w:tabs>
          <w:tab w:leader="none" w:pos="5140" w:val="left"/>
        </w:tabs>
        <w:rPr>
          <w:sz w:val="20"/>
          <w:szCs w:val="20"/>
          <w:color w:val="auto"/>
        </w:rPr>
      </w:pPr>
      <w:r>
        <w:rPr>
          <w:rFonts w:ascii="Arial" w:cs="Arial" w:eastAsia="Arial" w:hAnsi="Arial"/>
          <w:sz w:val="18"/>
          <w:szCs w:val="18"/>
          <w:color w:val="auto"/>
        </w:rPr>
        <w:t>April 2, 2021</w:t>
      </w:r>
      <w:r>
        <w:rPr>
          <w:sz w:val="20"/>
          <w:szCs w:val="20"/>
          <w:color w:val="auto"/>
        </w:rPr>
        <w:tab/>
      </w:r>
      <w:r>
        <w:rPr>
          <w:rFonts w:ascii="Arial" w:cs="Arial" w:eastAsia="Arial" w:hAnsi="Arial"/>
          <w:sz w:val="16"/>
          <w:szCs w:val="16"/>
          <w:color w:val="auto"/>
        </w:rPr>
        <w:t>/s/ Kathleen K. 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3261995</wp:posOffset>
            </wp:positionH>
            <wp:positionV relativeFrom="paragraph">
              <wp:posOffset>10160</wp:posOffset>
            </wp:positionV>
            <wp:extent cx="38684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7">
                      <a:extLst>
                        <a:ext uri="{28A0092B-C50C-407E-A947-70E740481C1C}"/>
                      </a:extLst>
                    </a:blip>
                    <a:srcRect/>
                    <a:stretch>
                      <a:fillRect/>
                    </a:stretch>
                  </pic:blipFill>
                  <pic:spPr bwMode="auto">
                    <a:xfrm>
                      <a:off x="0" y="0"/>
                      <a:ext cx="3868420" cy="8255"/>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8"/>
          <w:szCs w:val="18"/>
          <w:color w:val="auto"/>
        </w:rPr>
        <w:t>Kathleen K. Oberg</w:t>
      </w:r>
    </w:p>
    <w:p>
      <w:pPr>
        <w:ind w:left="5240"/>
        <w:spacing w:after="0" w:line="198" w:lineRule="auto"/>
        <w:rPr>
          <w:sz w:val="20"/>
          <w:szCs w:val="20"/>
          <w:color w:val="auto"/>
        </w:rPr>
      </w:pPr>
      <w:r>
        <w:rPr>
          <w:rFonts w:ascii="Arial" w:cs="Arial" w:eastAsia="Arial" w:hAnsi="Arial"/>
          <w:sz w:val="18"/>
          <w:szCs w:val="18"/>
          <w:color w:val="auto"/>
        </w:rPr>
        <w:t>Executive Vice President and</w:t>
      </w:r>
    </w:p>
    <w:p>
      <w:pPr>
        <w:ind w:left="5240"/>
        <w:spacing w:after="0" w:line="198"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71"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 Anthony G. Capuano, Chief Executive Officer of Marriott International, Inc. (the “Company”) certify that:</w:t>
      </w:r>
    </w:p>
    <w:p>
      <w:pPr>
        <w:spacing w:after="0" w:line="161" w:lineRule="exact"/>
        <w:rPr>
          <w:sz w:val="20"/>
          <w:szCs w:val="20"/>
          <w:color w:val="auto"/>
        </w:rPr>
      </w:pPr>
    </w:p>
    <w:p>
      <w:pPr>
        <w:ind w:left="1260" w:right="240" w:hanging="623"/>
        <w:spacing w:after="0" w:line="324" w:lineRule="auto"/>
        <w:tabs>
          <w:tab w:leader="none" w:pos="1254"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annual report on Form 10-K/A of the Company for the period ended December 31, 2020 (the “Annual Report”) fully complies with the requirements of section 13(a) or 15(d) of the Securities Exchange Act of 1934 (15 U.S.C. 78m or 78o(d)); and</w:t>
      </w:r>
    </w:p>
    <w:p>
      <w:pPr>
        <w:spacing w:after="0" w:line="82" w:lineRule="exact"/>
        <w:rPr>
          <w:rFonts w:ascii="Arial" w:cs="Arial" w:eastAsia="Arial" w:hAnsi="Arial"/>
          <w:sz w:val="16"/>
          <w:szCs w:val="16"/>
          <w:color w:val="auto"/>
        </w:rPr>
      </w:pPr>
    </w:p>
    <w:p>
      <w:pPr>
        <w:ind w:left="1260" w:right="60" w:hanging="623"/>
        <w:spacing w:after="0" w:line="261" w:lineRule="auto"/>
        <w:tabs>
          <w:tab w:leader="none" w:pos="125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0" w:lineRule="exact"/>
        <w:rPr>
          <w:sz w:val="20"/>
          <w:szCs w:val="20"/>
          <w:color w:val="auto"/>
        </w:rPr>
      </w:pPr>
    </w:p>
    <w:p>
      <w:pPr>
        <w:ind w:left="40"/>
        <w:spacing w:after="0"/>
        <w:tabs>
          <w:tab w:leader="none" w:pos="5140" w:val="left"/>
        </w:tabs>
        <w:rPr>
          <w:sz w:val="20"/>
          <w:szCs w:val="20"/>
          <w:color w:val="auto"/>
        </w:rPr>
      </w:pPr>
      <w:r>
        <w:rPr>
          <w:rFonts w:ascii="Arial" w:cs="Arial" w:eastAsia="Arial" w:hAnsi="Arial"/>
          <w:sz w:val="18"/>
          <w:szCs w:val="18"/>
          <w:color w:val="auto"/>
        </w:rPr>
        <w:t>April 2, 2021</w:t>
      </w:r>
      <w:r>
        <w:rPr>
          <w:sz w:val="20"/>
          <w:szCs w:val="20"/>
          <w:color w:val="auto"/>
        </w:rPr>
        <w:tab/>
      </w:r>
      <w:r>
        <w:rPr>
          <w:rFonts w:ascii="Arial" w:cs="Arial" w:eastAsia="Arial" w:hAnsi="Arial"/>
          <w:sz w:val="15"/>
          <w:szCs w:val="15"/>
          <w:color w:val="auto"/>
        </w:rPr>
        <w:t>/s/ Anthony G. Capuano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3261995</wp:posOffset>
            </wp:positionH>
            <wp:positionV relativeFrom="paragraph">
              <wp:posOffset>10160</wp:posOffset>
            </wp:positionV>
            <wp:extent cx="38684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8">
                      <a:extLst>
                        <a:ext uri="{28A0092B-C50C-407E-A947-70E740481C1C}"/>
                      </a:extLst>
                    </a:blip>
                    <a:srcRect/>
                    <a:stretch>
                      <a:fillRect/>
                    </a:stretch>
                  </pic:blipFill>
                  <pic:spPr bwMode="auto">
                    <a:xfrm>
                      <a:off x="0" y="0"/>
                      <a:ext cx="3868420" cy="8255"/>
                    </a:xfrm>
                    <a:prstGeom prst="rect">
                      <a:avLst/>
                    </a:prstGeom>
                    <a:noFill/>
                  </pic:spPr>
                </pic:pic>
              </a:graphicData>
            </a:graphic>
          </wp:anchor>
        </w:drawing>
      </w:r>
    </w:p>
    <w:p>
      <w:pPr>
        <w:ind w:left="5160"/>
        <w:spacing w:after="0"/>
        <w:rPr>
          <w:sz w:val="20"/>
          <w:szCs w:val="20"/>
          <w:color w:val="auto"/>
        </w:rPr>
      </w:pPr>
      <w:r>
        <w:rPr>
          <w:rFonts w:ascii="Arial" w:cs="Arial" w:eastAsia="Arial" w:hAnsi="Arial"/>
          <w:sz w:val="18"/>
          <w:szCs w:val="18"/>
          <w:color w:val="auto"/>
        </w:rPr>
        <w:t>Anthony G. Capuano</w:t>
      </w:r>
    </w:p>
    <w:p>
      <w:pPr>
        <w:ind w:left="5160"/>
        <w:spacing w:after="0" w:line="198" w:lineRule="auto"/>
        <w:rPr>
          <w:sz w:val="20"/>
          <w:szCs w:val="20"/>
          <w:color w:val="auto"/>
        </w:rPr>
      </w:pPr>
      <w:r>
        <w:rPr>
          <w:rFonts w:ascii="Arial" w:cs="Arial" w:eastAsia="Arial" w:hAnsi="Arial"/>
          <w:sz w:val="18"/>
          <w:szCs w:val="18"/>
          <w:color w:val="auto"/>
        </w:rPr>
        <w:t>Chief Executive Officer</w:t>
      </w:r>
    </w:p>
    <w:p>
      <w:pPr>
        <w:ind w:left="51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Kathleen K. Oberg, Executive Vice President and Chief Financial Officer of Marriott International, Inc. (the “Company”) certify that:</w:t>
      </w:r>
    </w:p>
    <w:p>
      <w:pPr>
        <w:spacing w:after="0" w:line="161" w:lineRule="exact"/>
        <w:rPr>
          <w:sz w:val="20"/>
          <w:szCs w:val="20"/>
          <w:color w:val="auto"/>
        </w:rPr>
      </w:pPr>
    </w:p>
    <w:p>
      <w:pPr>
        <w:ind w:left="1260" w:right="240" w:hanging="623"/>
        <w:spacing w:after="0" w:line="324" w:lineRule="auto"/>
        <w:tabs>
          <w:tab w:leader="none" w:pos="1254"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annual report on Form 10-K/A of the Company for the period ended December 31, 2020 (the “Annual Report”) fully complies with the requirements of section 13(a) or 15(d) of the Securities Exchange Act of 1934 (15 U.S.C. 78m or 78o(d)); and</w:t>
      </w:r>
    </w:p>
    <w:p>
      <w:pPr>
        <w:spacing w:after="0" w:line="82" w:lineRule="exact"/>
        <w:rPr>
          <w:rFonts w:ascii="Arial" w:cs="Arial" w:eastAsia="Arial" w:hAnsi="Arial"/>
          <w:sz w:val="16"/>
          <w:szCs w:val="16"/>
          <w:color w:val="auto"/>
        </w:rPr>
      </w:pPr>
    </w:p>
    <w:p>
      <w:pPr>
        <w:ind w:left="1260" w:right="60" w:hanging="623"/>
        <w:spacing w:after="0" w:line="261" w:lineRule="auto"/>
        <w:tabs>
          <w:tab w:leader="none" w:pos="125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0" w:lineRule="exact"/>
        <w:rPr>
          <w:sz w:val="20"/>
          <w:szCs w:val="20"/>
          <w:color w:val="auto"/>
        </w:rPr>
      </w:pPr>
    </w:p>
    <w:p>
      <w:pPr>
        <w:ind w:left="40"/>
        <w:spacing w:after="0"/>
        <w:tabs>
          <w:tab w:leader="none" w:pos="5140" w:val="left"/>
        </w:tabs>
        <w:rPr>
          <w:sz w:val="20"/>
          <w:szCs w:val="20"/>
          <w:color w:val="auto"/>
        </w:rPr>
      </w:pPr>
      <w:r>
        <w:rPr>
          <w:rFonts w:ascii="Arial" w:cs="Arial" w:eastAsia="Arial" w:hAnsi="Arial"/>
          <w:sz w:val="18"/>
          <w:szCs w:val="18"/>
          <w:color w:val="auto"/>
        </w:rPr>
        <w:t>April 2, 2021</w:t>
      </w:r>
      <w:r>
        <w:rPr>
          <w:sz w:val="20"/>
          <w:szCs w:val="20"/>
          <w:color w:val="auto"/>
        </w:rPr>
        <w:tab/>
      </w:r>
      <w:r>
        <w:rPr>
          <w:rFonts w:ascii="Arial" w:cs="Arial" w:eastAsia="Arial" w:hAnsi="Arial"/>
          <w:sz w:val="16"/>
          <w:szCs w:val="16"/>
          <w:color w:val="auto"/>
        </w:rPr>
        <w:t>/s/ Kathleen K. 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3261995</wp:posOffset>
            </wp:positionH>
            <wp:positionV relativeFrom="paragraph">
              <wp:posOffset>10160</wp:posOffset>
            </wp:positionV>
            <wp:extent cx="38684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9">
                      <a:extLst>
                        <a:ext uri="{28A0092B-C50C-407E-A947-70E740481C1C}"/>
                      </a:extLst>
                    </a:blip>
                    <a:srcRect/>
                    <a:stretch>
                      <a:fillRect/>
                    </a:stretch>
                  </pic:blipFill>
                  <pic:spPr bwMode="auto">
                    <a:xfrm>
                      <a:off x="0" y="0"/>
                      <a:ext cx="3868420" cy="8255"/>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8"/>
          <w:szCs w:val="18"/>
          <w:color w:val="auto"/>
        </w:rPr>
        <w:t>Kathleen K. Oberg</w:t>
      </w:r>
    </w:p>
    <w:p>
      <w:pPr>
        <w:ind w:left="5240"/>
        <w:spacing w:after="0" w:line="198" w:lineRule="auto"/>
        <w:rPr>
          <w:sz w:val="20"/>
          <w:szCs w:val="20"/>
          <w:color w:val="auto"/>
        </w:rPr>
      </w:pPr>
      <w:r>
        <w:rPr>
          <w:rFonts w:ascii="Arial" w:cs="Arial" w:eastAsia="Arial" w:hAnsi="Arial"/>
          <w:sz w:val="18"/>
          <w:szCs w:val="18"/>
          <w:color w:val="auto"/>
        </w:rPr>
        <w:t>Executive Vice President and</w:t>
      </w:r>
    </w:p>
    <w:p>
      <w:pPr>
        <w:ind w:left="5240"/>
        <w:spacing w:after="0" w:line="198"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8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amp;"/>
      <w:numFmt w:val="bullet"/>
      <w:start w:val="1"/>
    </w:lvl>
  </w:abstractNum>
  <w:abstractNum w:abstractNumId="3">
    <w:nsid w:val="257130A3"/>
    <w:multiLevelType w:val="hybridMultilevel"/>
    <w:lvl w:ilvl="0">
      <w:lvlJc w:val="left"/>
      <w:lvlText w:val="(%1)"/>
      <w:numFmt w:val="decimal"/>
      <w:start w:val="6"/>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decimal"/>
      <w:start w:val="58"/>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34" Type="http://schemas.openxmlformats.org/officeDocument/2006/relationships/image" Target="media/image108.png"/><Relationship Id="rId135" Type="http://schemas.openxmlformats.org/officeDocument/2006/relationships/image" Target="media/image109.png"/><Relationship Id="rId153" Type="http://schemas.openxmlformats.org/officeDocument/2006/relationships/image" Target="media/image110.png"/><Relationship Id="rId154" Type="http://schemas.openxmlformats.org/officeDocument/2006/relationships/image" Target="media/image111.png"/><Relationship Id="rId173" Type="http://schemas.openxmlformats.org/officeDocument/2006/relationships/image" Target="media/image112.png"/><Relationship Id="rId183" Type="http://schemas.openxmlformats.org/officeDocument/2006/relationships/image" Target="media/image113.png"/><Relationship Id="rId184" Type="http://schemas.openxmlformats.org/officeDocument/2006/relationships/image" Target="media/image114.png"/><Relationship Id="rId185" Type="http://schemas.openxmlformats.org/officeDocument/2006/relationships/image" Target="media/image115.png"/><Relationship Id="rId186" Type="http://schemas.openxmlformats.org/officeDocument/2006/relationships/image" Target="media/image116.png"/><Relationship Id="rId187" Type="http://schemas.openxmlformats.org/officeDocument/2006/relationships/image" Target="media/image117.png"/><Relationship Id="rId188" Type="http://schemas.openxmlformats.org/officeDocument/2006/relationships/image" Target="media/image118.png"/><Relationship Id="rId189" Type="http://schemas.openxmlformats.org/officeDocument/2006/relationships/image" Target="media/image119.png"/><Relationship Id="rId190" Type="http://schemas.openxmlformats.org/officeDocument/2006/relationships/image" Target="media/image120.png"/><Relationship Id="rId191" Type="http://schemas.openxmlformats.org/officeDocument/2006/relationships/image" Target="media/image121.png"/><Relationship Id="rId192" Type="http://schemas.openxmlformats.org/officeDocument/2006/relationships/image" Target="media/image122.png"/><Relationship Id="rId193" Type="http://schemas.openxmlformats.org/officeDocument/2006/relationships/image" Target="media/image123.png"/><Relationship Id="rId194" Type="http://schemas.openxmlformats.org/officeDocument/2006/relationships/image" Target="media/image124.png"/><Relationship Id="rId195" Type="http://schemas.openxmlformats.org/officeDocument/2006/relationships/image" Target="media/image125.png"/><Relationship Id="rId196" Type="http://schemas.openxmlformats.org/officeDocument/2006/relationships/image" Target="media/image126.png"/><Relationship Id="rId197" Type="http://schemas.openxmlformats.org/officeDocument/2006/relationships/image" Target="media/image127.png"/><Relationship Id="rId198" Type="http://schemas.openxmlformats.org/officeDocument/2006/relationships/image" Target="media/image128.png"/><Relationship Id="rId199" Type="http://schemas.openxmlformats.org/officeDocument/2006/relationships/image" Target="media/image129.png"/><Relationship Id="rId112" Type="http://schemas.openxmlformats.org/officeDocument/2006/relationships/hyperlink" Target="http://www.sec.gov/Archives/edgar/data/1048286/000118143106048907/rrd127798_15693.htm" TargetMode="External"/><Relationship Id="rId113" Type="http://schemas.openxmlformats.org/officeDocument/2006/relationships/hyperlink" Target="http://www.sec.gov/Archives/edgar/data/1048286/000119312519220960/d640459dex3ii.htm" TargetMode="External"/><Relationship Id="rId114" Type="http://schemas.openxmlformats.org/officeDocument/2006/relationships/hyperlink" Target="http://www.sec.gov/Archives/edgar/data/1048286/000119312505239225/dex45.htm" TargetMode="External"/><Relationship Id="rId115" Type="http://schemas.openxmlformats.org/officeDocument/2006/relationships/hyperlink" Target="http://www.sec.gov/Archives/edgar/data/1048286/0000928385-99-000780.txt" TargetMode="External"/><Relationship Id="rId116" Type="http://schemas.openxmlformats.org/officeDocument/2006/relationships/hyperlink" Target="https://www.sec.gov/Archives/edgar/data/1048286/000162828020002376/mar-q42019xexx43.htm" TargetMode="External"/><Relationship Id="rId117" Type="http://schemas.openxmlformats.org/officeDocument/2006/relationships/hyperlink" Target="https://www.sec.gov/Archives/edgar/data/1048286/000119312519187358/d110773dex10.htm" TargetMode="External"/><Relationship Id="rId118" Type="http://schemas.openxmlformats.org/officeDocument/2006/relationships/hyperlink" Target="https://www.sec.gov/Archives/edgar/data/1048286/000162828020007376/firstamendmenttocredit.htm" TargetMode="External"/><Relationship Id="rId122" Type="http://schemas.openxmlformats.org/officeDocument/2006/relationships/hyperlink" Target="https://www.sec.gov/Archives/edgar/data/1048286/000119312521019849/d59364dex101.htm" TargetMode="External"/><Relationship Id="rId123" Type="http://schemas.openxmlformats.org/officeDocument/2006/relationships/hyperlink" Target="https://www.sec.gov/Archives/edgar/data/1048286/000119312521019849/d59364dex102.htm" TargetMode="External"/><Relationship Id="rId124" Type="http://schemas.openxmlformats.org/officeDocument/2006/relationships/hyperlink" Target="http://www.sec.gov/Archives/edgar/data/1048286/000119312511317838/d257339dex101.htm" TargetMode="External"/><Relationship Id="rId125" Type="http://schemas.openxmlformats.org/officeDocument/2006/relationships/hyperlink" Target="http://www.sec.gov/Archives/edgar/data/1048286/000162828018002307/exhibit101-firstamendmentt.htm" TargetMode="External"/><Relationship Id="rId126" Type="http://schemas.openxmlformats.org/officeDocument/2006/relationships/hyperlink" Target="http://www.sec.gov/Archives/edgar/data/1048286/000162828018013710/mar-q32018xexx102.htm" TargetMode="External"/><Relationship Id="rId127" Type="http://schemas.openxmlformats.org/officeDocument/2006/relationships/hyperlink" Target="http://www.sec.gov/Archives/edgar/data/1048286/000119312511317838/d257339dex102.htm" TargetMode="External"/><Relationship Id="rId128" Type="http://schemas.openxmlformats.org/officeDocument/2006/relationships/hyperlink" Target="http://www.sec.gov/Archives/edgar/data/1048286/000162828018002307/exhibit102-amendmenttoritz.htm" TargetMode="External"/><Relationship Id="rId129" Type="http://schemas.openxmlformats.org/officeDocument/2006/relationships/hyperlink" Target="http://www.sec.gov/Archives/edgar/data/1048286/000119312511317838/d257339dex105.htm" TargetMode="External"/><Relationship Id="rId130" Type="http://schemas.openxmlformats.org/officeDocument/2006/relationships/hyperlink" Target="http://www.sec.gov/Archives/edgar/data/1048286/000162828018002307/exhibit103-firstamendmentt.htm" TargetMode="External"/><Relationship Id="rId131" Type="http://schemas.openxmlformats.org/officeDocument/2006/relationships/hyperlink" Target="https://www.sec.gov/Archives/edgar/data/1048286/000162828020002376/mar-q42019xexx1043x.htm" TargetMode="External"/><Relationship Id="rId132" Type="http://schemas.openxmlformats.org/officeDocument/2006/relationships/hyperlink" Target="http://www.sec.gov/Archives/edgar/data/1048286/000119312514131393/d655548ddef14a.htm" TargetMode="External"/><Relationship Id="rId133" Type="http://schemas.openxmlformats.org/officeDocument/2006/relationships/hyperlink" Target="http://www.sec.gov/Archives/edgar/data/1048286/000144530514004562/mar-q32014xexx10.htm" TargetMode="External"/><Relationship Id="rId136" Type="http://schemas.openxmlformats.org/officeDocument/2006/relationships/hyperlink" Target="http://www.sec.gov/Archives/edgar/data/1048286/000162828018001756/mar-q42017xexx1082.htm" TargetMode="External"/><Relationship Id="rId137" Type="http://schemas.openxmlformats.org/officeDocument/2006/relationships/hyperlink" Target="http://www.sec.gov/Archives/edgar/data/1048286/000162828018001756/mar-q42017xexx1083.htm" TargetMode="External"/><Relationship Id="rId138" Type="http://schemas.openxmlformats.org/officeDocument/2006/relationships/hyperlink" Target="http://www.sec.gov/Archives/edgar/data/1048286/000162828019002337/mar-q42018xexx1075.htm" TargetMode="External"/><Relationship Id="rId139" Type="http://schemas.openxmlformats.org/officeDocument/2006/relationships/hyperlink" Target="http://www.sec.gov/Archives/edgar/data/1048286/000162828019010070/mar-q22019xexx101.htm" TargetMode="External"/><Relationship Id="rId140" Type="http://schemas.openxmlformats.org/officeDocument/2006/relationships/hyperlink" Target="https://www.sec.gov/Archives/edgar/data/1048286/000162828020012272/mar-q22020xexx101amend.htm" TargetMode="External"/><Relationship Id="rId141" Type="http://schemas.openxmlformats.org/officeDocument/2006/relationships/hyperlink" Target="http://www.sec.gov/Archives/edgar/data/1048286/000119312509167021/dex99.htm" TargetMode="External"/><Relationship Id="rId142" Type="http://schemas.openxmlformats.org/officeDocument/2006/relationships/hyperlink" Target="http://www.sec.gov/Archives/edgar/data/1048286/000162828018001756/mar-q42017xexx1091.htm" TargetMode="External"/><Relationship Id="rId143" Type="http://schemas.openxmlformats.org/officeDocument/2006/relationships/hyperlink" Target="http://www.sec.gov/Archives/edgar/data/1048286/000162828018001756/mar-q42017xexx1092.htm" TargetMode="External"/><Relationship Id="rId144" Type="http://schemas.openxmlformats.org/officeDocument/2006/relationships/hyperlink" Target="http://www.sec.gov/Archives/edgar/data/1048286/000162828018001756/mar-q42017xexx1093.htm" TargetMode="External"/><Relationship Id="rId145" Type="http://schemas.openxmlformats.org/officeDocument/2006/relationships/hyperlink" Target="http://www.sec.gov/Archives/edgar/data/1048286/000162828018001756/mar-q42017xexx1094.htm" TargetMode="External"/><Relationship Id="rId146" Type="http://schemas.openxmlformats.org/officeDocument/2006/relationships/hyperlink" Target="http://www.sec.gov/Archives/edgar/data/1048286/000162828018001756/mar-q42017xexx1095.htm" TargetMode="External"/><Relationship Id="rId147" Type="http://schemas.openxmlformats.org/officeDocument/2006/relationships/hyperlink" Target="http://www.sec.gov/Archives/edgar/data/1048286/000162828018001756/mar-q42017xexx1096.htm" TargetMode="External"/><Relationship Id="rId148" Type="http://schemas.openxmlformats.org/officeDocument/2006/relationships/hyperlink" Target="http://www.sec.gov/Archives/edgar/data/1048286/000162828018001756/mar-q42017xex1097.htm" TargetMode="External"/><Relationship Id="rId149" Type="http://schemas.openxmlformats.org/officeDocument/2006/relationships/hyperlink" Target="http://www.sec.gov/Archives/edgar/data/1048286/000162828019002337/mar-xq42018xexx1098.htm" TargetMode="External"/><Relationship Id="rId150" Type="http://schemas.openxmlformats.org/officeDocument/2006/relationships/hyperlink" Target="http://www.sec.gov/Archives/edgar/data/1048286/000162828018001756/mar-q42017xexx1010.htm" TargetMode="External"/><Relationship Id="rId151" Type="http://schemas.openxmlformats.org/officeDocument/2006/relationships/hyperlink" Target="http://www.sec.gov/Archives/edgar/data/1048286/000162828018001756/mar-q42017xexx10101.htm" TargetMode="External"/><Relationship Id="rId152" Type="http://schemas.openxmlformats.org/officeDocument/2006/relationships/hyperlink" Target="http://www.sec.gov/Archives/edgar/data/1048286/000162828018001756/mar-q42017xexx1011.htm" TargetMode="External"/><Relationship Id="rId155" Type="http://schemas.openxmlformats.org/officeDocument/2006/relationships/hyperlink" Target="http://www.sec.gov/Archives/edgar/data/1048286/000162828018006463/mar-q12018xexx1061.htm" TargetMode="External"/><Relationship Id="rId156" Type="http://schemas.openxmlformats.org/officeDocument/2006/relationships/hyperlink" Target="http://www.sec.gov/Archives/edgar/data/1048286/000162828018006463/mar-q12018xexx1062.htm" TargetMode="External"/><Relationship Id="rId157" Type="http://schemas.openxmlformats.org/officeDocument/2006/relationships/hyperlink" Target="http://www.sec.gov/Archives/edgar/data/1048286/000162828019006493/mar-q12019xexx101.htm" TargetMode="External"/><Relationship Id="rId158" Type="http://schemas.openxmlformats.org/officeDocument/2006/relationships/hyperlink" Target="http://www.sec.gov/Archives/edgar/data/1048286/000162828019006493/mar-q12019xexx102.htm" TargetMode="External"/><Relationship Id="rId159" Type="http://schemas.openxmlformats.org/officeDocument/2006/relationships/hyperlink" Target="http://www.sec.gov/Archives/edgar/data/1048286/000162828018001756/mar-q42017xexx1012.htm" TargetMode="External"/><Relationship Id="rId160" Type="http://schemas.openxmlformats.org/officeDocument/2006/relationships/hyperlink" Target="http://www.sec.gov/Archives/edgar/data/1048286/000162828018001756/mar-q42017xexx10121.htm" TargetMode="External"/><Relationship Id="rId161" Type="http://schemas.openxmlformats.org/officeDocument/2006/relationships/hyperlink" Target="http://www.sec.gov/Archives/edgar/data/1048286/000162828018001756/mar-q42017xexx10122.htm" TargetMode="External"/><Relationship Id="rId162" Type="http://schemas.openxmlformats.org/officeDocument/2006/relationships/hyperlink" Target="http://www.sec.gov/Archives/edgar/data/1048286/000162828018006463/mar-q12018xexx107.htm" TargetMode="External"/><Relationship Id="rId163" Type="http://schemas.openxmlformats.org/officeDocument/2006/relationships/hyperlink" Target="http://www.sec.gov/Archives/edgar/data/1048286/000162828019006493/mar-q12019xexx103.htm" TargetMode="External"/><Relationship Id="rId164" Type="http://schemas.openxmlformats.org/officeDocument/2006/relationships/hyperlink" Target="http://www.sec.gov/Archives/edgar/data/1048286/000162828018006463/mar-q12018xexx108.htm" TargetMode="External"/><Relationship Id="rId165" Type="http://schemas.openxmlformats.org/officeDocument/2006/relationships/hyperlink" Target="http://www.sec.gov/Archives/edgar/data/1048286/000162828019006493/mar-q12019xexx104.htm" TargetMode="External"/><Relationship Id="rId166" Type="http://schemas.openxmlformats.org/officeDocument/2006/relationships/hyperlink" Target="https://www.sec.gov/Archives/edgar/data/1048286/000162828020012272/mar-q22020xexx102summa.htm" TargetMode="External"/><Relationship Id="rId167" Type="http://schemas.openxmlformats.org/officeDocument/2006/relationships/hyperlink" Target="http://www.sec.gov/Archives/edgar/data/1048286/000162828018006463/mar-q12018xexx109.htm" TargetMode="External"/><Relationship Id="rId168" Type="http://schemas.openxmlformats.org/officeDocument/2006/relationships/hyperlink" Target="http://www.sec.gov/Archives/edgar/data/48595/000095015399001056/0000950153-99-001056.txt" TargetMode="External"/><Relationship Id="rId169" Type="http://schemas.openxmlformats.org/officeDocument/2006/relationships/hyperlink" Target="http://www.sec.gov/Archives/edgar/data/48595/000095015301501294/p65781ex10-1.txt" TargetMode="External"/><Relationship Id="rId170" Type="http://schemas.openxmlformats.org/officeDocument/2006/relationships/hyperlink" Target="http://www.sec.gov/Archives/edgar/data/48595/000095015303001010/p67662exv10w2.txt" TargetMode="External"/><Relationship Id="rId171" Type="http://schemas.openxmlformats.org/officeDocument/2006/relationships/hyperlink" Target="http://www.sec.gov/Archives/edgar/data/316206/000091205702014764/a2076238zdef14a.htm" TargetMode="External"/><Relationship Id="rId172" Type="http://schemas.openxmlformats.org/officeDocument/2006/relationships/hyperlink" Target="http://www.sec.gov/Archives/edgar/data/48595/000095015303001010/p67662exv10w1.txt" TargetMode="External"/><Relationship Id="rId174" Type="http://schemas.openxmlformats.org/officeDocument/2006/relationships/hyperlink" Target="http://www.sec.gov/Archives/edgar/data/316206/000129993309000065/exhibit3.htm" TargetMode="External"/><Relationship Id="rId175" Type="http://schemas.openxmlformats.org/officeDocument/2006/relationships/hyperlink" Target="http://www.sec.gov/Archives/edgar/data/316206/000119312513302879/d546498dex101.htm" TargetMode="External"/><Relationship Id="rId176" Type="http://schemas.openxmlformats.org/officeDocument/2006/relationships/hyperlink" Target="http://www.sec.gov/Archives/edgar/data/316206/000119312513276781/d560702dex44.htm" TargetMode="External"/><Relationship Id="rId177" Type="http://schemas.openxmlformats.org/officeDocument/2006/relationships/hyperlink" Target="http://www.sec.gov/Archives/edgar/data/1048286/000162828018001756/mar-q42017xexx10191.htm" TargetMode="External"/><Relationship Id="rId178" Type="http://schemas.openxmlformats.org/officeDocument/2006/relationships/hyperlink" Target="http://www.sec.gov/Archives/edgar/data/1048286/000162828018001756/mar-q42017xexx1020.htm" TargetMode="External"/><Relationship Id="rId179" Type="http://schemas.openxmlformats.org/officeDocument/2006/relationships/hyperlink" Target="http://www.sec.gov/Archives/edgar/data/1048286/000162828018001756/mar-q42017xexx1021.htm" TargetMode="External"/><Relationship Id="rId180" Type="http://schemas.openxmlformats.org/officeDocument/2006/relationships/hyperlink" Target="http://www.sec.gov/Archives/edgar/data/1048286/000162828018001756/mar-q42017xexx1022.htm" TargetMode="External"/><Relationship Id="rId181" Type="http://schemas.openxmlformats.org/officeDocument/2006/relationships/hyperlink" Target="http://www.sec.gov/Archives/edgar/data/1048286/000162828018002307/exhibit105-marriottctrxame.htm" TargetMode="External"/><Relationship Id="rId182" Type="http://schemas.openxmlformats.org/officeDocument/2006/relationships/hyperlink" Target="http://www.sec.gov/Archives/edgar/data/1048286/000162828018013710/mar-q32018xex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2021-04-02T12:43:38Z</dcterms:created>
  <dcterms:modified xsi:type="dcterms:W3CDTF">2021-04-02T12:43:38Z</dcterms:modified>
</cp:coreProperties>
</file>