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Juliana B. Marriott Marital Trust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7750 WISCONSIN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INTERNATIONAL INC /MD/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Member of a 10% Group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8"/>
        <w:gridCol w:w="915"/>
        <w:gridCol w:w="787"/>
        <w:gridCol w:w="607"/>
        <w:gridCol w:w="329"/>
        <w:gridCol w:w="1143"/>
        <w:gridCol w:w="390"/>
        <w:gridCol w:w="835"/>
        <w:gridCol w:w="1313"/>
        <w:gridCol w:w="926"/>
        <w:gridCol w:w="12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8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8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2,000,000</w:t>
            </w:r>
          </w:p>
        </w:tc>
        <w:tc>
          <w:tcPr>
            <w:tcW w:w="3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20,027,118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JWM Family Enterprises, Inc.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8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401,928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transferred as a capital distribution to Mr. J.W. Marriott, Jr. in a transaction exempt as to the transferee under Rule 16a-13. JWM Family Enterprises, Inc. did not receive any consideration in exchange for this capital distribution.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disclaims beneficial ownership of the reported securities except to the extent of her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P.C.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1063" TargetMode="External"/><Relationship Id="rId5" Type="http://schemas.openxmlformats.org/officeDocument/2006/relationships/hyperlink" Target="http://www.sec.gov/cgi-bin/browse-edgar?action=getcompany&amp;CIK=00010482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3489</Characters>
  <CharactersWithSpaces>4055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