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ANNUAL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15(d) of the</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0" w:lineRule="exact"/>
        <w:rPr>
          <w:sz w:val="24"/>
          <w:szCs w:val="24"/>
          <w:color w:val="auto"/>
        </w:rPr>
      </w:pPr>
    </w:p>
    <w:p>
      <w:pPr>
        <w:spacing w:after="0" w:line="201" w:lineRule="exact"/>
        <w:rPr>
          <w:sz w:val="24"/>
          <w:szCs w:val="24"/>
          <w:color w:val="auto"/>
        </w:rPr>
      </w:pPr>
    </w:p>
    <w:p>
      <w:pPr>
        <w:ind w:left="1280" w:hanging="1254"/>
        <w:spacing w:after="0"/>
        <w:tabs>
          <w:tab w:leader="none" w:pos="12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15(d) OF THE SECURITIES EXCHANGE ACT OF 1934</w:t>
      </w:r>
    </w:p>
    <w:p>
      <w:pPr>
        <w:spacing w:after="0" w:line="62"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 the plan year ended December 31, 2025</w:t>
      </w:r>
    </w:p>
    <w:p>
      <w:pPr>
        <w:spacing w:after="0" w:line="7"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1280" w:right="40" w:hanging="1254"/>
        <w:spacing w:after="0" w:line="229" w:lineRule="auto"/>
        <w:tabs>
          <w:tab w:leader="none" w:pos="128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02" w:lineRule="exact"/>
        <w:rPr>
          <w:sz w:val="24"/>
          <w:szCs w:val="24"/>
          <w:color w:val="auto"/>
        </w:rPr>
      </w:pPr>
    </w:p>
    <w:p>
      <w:pPr>
        <w:ind w:left="1280"/>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-5080</wp:posOffset>
            </wp:positionV>
            <wp:extent cx="1066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1-13881</w:t>
      </w:r>
    </w:p>
    <w:p>
      <w:pPr>
        <w:spacing w:after="0" w:line="337" w:lineRule="exact"/>
        <w:rPr>
          <w:sz w:val="24"/>
          <w:szCs w:val="24"/>
          <w:color w:val="auto"/>
        </w:rPr>
      </w:pPr>
    </w:p>
    <w:p>
      <w:pPr>
        <w:ind w:left="1580" w:hanging="785"/>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MARRIOTT INTERNATIONAL, INC. PUERTO RICO RETIREMENT PLAN</w:t>
      </w:r>
    </w:p>
    <w:p>
      <w:pPr>
        <w:spacing w:after="0" w:line="344" w:lineRule="exact"/>
        <w:rPr>
          <w:sz w:val="24"/>
          <w:szCs w:val="24"/>
          <w:color w:val="auto"/>
        </w:rPr>
      </w:pPr>
    </w:p>
    <w:p>
      <w:pPr>
        <w:ind w:left="1580" w:hanging="785"/>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7750 Wisconsin Avenue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Bethesda, Maryland 20814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1373505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MARRIOTT INTERNATIONAL, INC.</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PUERTO RICO RETIREMENT PLAN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FINANCIAL STATEMENTS AND SUPPLEMENTAL SCHEDULE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WITH REPORT OF INDEPENDENT REGISTERED PUBLIC ACCOUNTING FIRM</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39"/>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3</w:t>
            </w:r>
          </w:p>
        </w:tc>
        <w:tc>
          <w:tcPr>
            <w:tcW w:w="880" w:type="dxa"/>
            <w:vAlign w:val="bottom"/>
          </w:tcPr>
          <w:p>
            <w:pPr>
              <w:spacing w:after="0"/>
              <w:rPr>
                <w:sz w:val="24"/>
                <w:szCs w:val="24"/>
                <w:color w:val="auto"/>
              </w:rPr>
            </w:pPr>
          </w:p>
        </w:tc>
      </w:tr>
      <w:tr>
        <w:trPr>
          <w:trHeight w:val="65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4</w:t>
            </w:r>
          </w:p>
        </w:tc>
        <w:tc>
          <w:tcPr>
            <w:tcW w:w="88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w:t>
            </w:r>
          </w:p>
        </w:tc>
        <w:tc>
          <w:tcPr>
            <w:tcW w:w="5160" w:type="dxa"/>
            <w:vAlign w:val="bottom"/>
            <w:gridSpan w:val="3"/>
          </w:tcPr>
          <w:p>
            <w:pPr>
              <w:spacing w:after="0"/>
              <w:rPr>
                <w:sz w:val="22"/>
                <w:szCs w:val="22"/>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5</w:t>
            </w:r>
          </w:p>
        </w:tc>
        <w:tc>
          <w:tcPr>
            <w:tcW w:w="88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3"/>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60" w:type="dxa"/>
            <w:vAlign w:val="bottom"/>
            <w:gridSpan w:val="2"/>
          </w:tcPr>
          <w:p>
            <w:pPr>
              <w:spacing w:after="0"/>
              <w:rPr>
                <w:sz w:val="22"/>
                <w:szCs w:val="22"/>
                <w:color w:val="auto"/>
              </w:rPr>
            </w:pPr>
          </w:p>
        </w:tc>
        <w:tc>
          <w:tcPr>
            <w:tcW w:w="5160" w:type="dxa"/>
            <w:vAlign w:val="bottom"/>
            <w:gridSpan w:val="3"/>
          </w:tcPr>
          <w:p>
            <w:pPr>
              <w:spacing w:after="0"/>
              <w:rPr>
                <w:sz w:val="22"/>
                <w:szCs w:val="22"/>
                <w:color w:val="auto"/>
              </w:rPr>
            </w:pPr>
          </w:p>
        </w:tc>
        <w:tc>
          <w:tcPr>
            <w:tcW w:w="940" w:type="dxa"/>
            <w:vAlign w:val="bottom"/>
            <w:gridSpan w:val="2"/>
          </w:tcPr>
          <w:p>
            <w:pPr>
              <w:jc w:val="center"/>
              <w:ind w:left="773"/>
              <w:spacing w:after="0"/>
              <w:rPr>
                <w:sz w:val="20"/>
                <w:szCs w:val="20"/>
                <w:color w:val="auto"/>
              </w:rPr>
            </w:pPr>
            <w:r>
              <w:rPr>
                <w:rFonts w:ascii="Times New Roman" w:cs="Times New Roman" w:eastAsia="Times New Roman" w:hAnsi="Times New Roman"/>
                <w:sz w:val="18"/>
                <w:szCs w:val="18"/>
                <w:color w:val="0000FF"/>
                <w:w w:val="88"/>
              </w:rPr>
              <w:t>6</w:t>
            </w:r>
          </w:p>
        </w:tc>
        <w:tc>
          <w:tcPr>
            <w:tcW w:w="880" w:type="dxa"/>
            <w:vAlign w:val="bottom"/>
          </w:tcPr>
          <w:p>
            <w:pPr>
              <w:spacing w:after="0"/>
              <w:rPr>
                <w:sz w:val="22"/>
                <w:szCs w:val="22"/>
                <w:color w:val="auto"/>
              </w:rPr>
            </w:pPr>
          </w:p>
        </w:tc>
      </w:tr>
      <w:tr>
        <w:trPr>
          <w:trHeight w:val="263"/>
        </w:trPr>
        <w:tc>
          <w:tcPr>
            <w:tcW w:w="1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Supplemental Schedule</w:t>
            </w:r>
          </w:p>
        </w:tc>
        <w:tc>
          <w:tcPr>
            <w:tcW w:w="460" w:type="dxa"/>
            <w:vAlign w:val="bottom"/>
            <w:tcBorders>
              <w:top w:val="single" w:sz="8" w:color="0000FF"/>
            </w:tcBorders>
          </w:tcPr>
          <w:p>
            <w:pPr>
              <w:spacing w:after="0"/>
              <w:rPr>
                <w:sz w:val="22"/>
                <w:szCs w:val="22"/>
                <w:color w:val="auto"/>
              </w:rPr>
            </w:pPr>
          </w:p>
        </w:tc>
        <w:tc>
          <w:tcPr>
            <w:tcW w:w="7220" w:type="dxa"/>
            <w:vAlign w:val="bottom"/>
            <w:gridSpan w:val="5"/>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820" w:type="dxa"/>
            <w:vAlign w:val="bottom"/>
            <w:gridSpan w:val="2"/>
          </w:tcPr>
          <w:p>
            <w:pPr>
              <w:spacing w:after="0"/>
              <w:rPr>
                <w:sz w:val="22"/>
                <w:szCs w:val="22"/>
                <w:color w:val="auto"/>
              </w:rPr>
            </w:pPr>
          </w:p>
        </w:tc>
        <w:tc>
          <w:tcPr>
            <w:tcW w:w="940" w:type="dxa"/>
            <w:vAlign w:val="bottom"/>
            <w:gridSpan w:val="2"/>
          </w:tcPr>
          <w:p>
            <w:pPr>
              <w:jc w:val="center"/>
              <w:ind w:left="673"/>
              <w:spacing w:after="0"/>
              <w:rPr>
                <w:sz w:val="20"/>
                <w:szCs w:val="20"/>
                <w:color w:val="auto"/>
              </w:rPr>
            </w:pPr>
            <w:r>
              <w:rPr>
                <w:rFonts w:ascii="Times New Roman" w:cs="Times New Roman" w:eastAsia="Times New Roman" w:hAnsi="Times New Roman"/>
                <w:sz w:val="18"/>
                <w:szCs w:val="18"/>
                <w:color w:val="0000FF"/>
                <w:w w:val="99"/>
              </w:rPr>
              <w:t>15</w:t>
            </w:r>
          </w:p>
        </w:tc>
        <w:tc>
          <w:tcPr>
            <w:tcW w:w="88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r>
      <w:tr>
        <w:trPr>
          <w:trHeight w:val="264"/>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20" w:type="dxa"/>
            <w:vAlign w:val="bottom"/>
            <w:gridSpan w:val="2"/>
          </w:tcPr>
          <w:p>
            <w:pPr>
              <w:spacing w:after="0"/>
              <w:rPr>
                <w:sz w:val="22"/>
                <w:szCs w:val="22"/>
                <w:color w:val="auto"/>
              </w:rPr>
            </w:pPr>
          </w:p>
        </w:tc>
        <w:tc>
          <w:tcPr>
            <w:tcW w:w="940" w:type="dxa"/>
            <w:vAlign w:val="bottom"/>
            <w:gridSpan w:val="2"/>
          </w:tcPr>
          <w:p>
            <w:pPr>
              <w:jc w:val="center"/>
              <w:ind w:left="673"/>
              <w:spacing w:after="0"/>
              <w:rPr>
                <w:sz w:val="20"/>
                <w:szCs w:val="20"/>
                <w:color w:val="auto"/>
              </w:rPr>
            </w:pPr>
            <w:r>
              <w:rPr>
                <w:rFonts w:ascii="Times New Roman" w:cs="Times New Roman" w:eastAsia="Times New Roman" w:hAnsi="Times New Roman"/>
                <w:sz w:val="18"/>
                <w:szCs w:val="18"/>
                <w:color w:val="0E32E1"/>
                <w:w w:val="99"/>
              </w:rPr>
              <w:t>16</w:t>
            </w:r>
          </w:p>
        </w:tc>
        <w:tc>
          <w:tcPr>
            <w:tcW w:w="880" w:type="dxa"/>
            <w:vAlign w:val="bottom"/>
          </w:tcPr>
          <w:p>
            <w:pPr>
              <w:spacing w:after="0"/>
              <w:rPr>
                <w:sz w:val="22"/>
                <w:szCs w:val="22"/>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80" w:type="dxa"/>
            <w:vAlign w:val="bottom"/>
            <w:tcBorders>
              <w:left w:val="single" w:sz="8" w:color="0E32E1"/>
            </w:tcBorders>
          </w:tcPr>
          <w:p>
            <w:pPr>
              <w:spacing w:after="0" w:line="20" w:lineRule="exact"/>
              <w:rPr>
                <w:sz w:val="1"/>
                <w:szCs w:val="1"/>
                <w:color w:val="auto"/>
              </w:rPr>
            </w:pPr>
          </w:p>
        </w:tc>
      </w:tr>
      <w:tr>
        <w:trPr>
          <w:trHeight w:val="304"/>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 23.1 Consent of Independent Registered Public Accounting Firm - CohnReznick LLP</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Retirement Plan Committee and Plan Participants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Marriott International, Inc. Puerto Rico Retirement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Marriott International, Inc. Puerto Rico Retirement Plan (the "Plan") as of December 31, 2025 and 2024, and the related statement of changes in net assets available for benefits for the year ended December 31, 2025 and the related notes to the financial statements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audits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CohnReznick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Maryland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4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22"/>
          <w:szCs w:val="2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-148590</wp:posOffset>
            </wp:positionV>
            <wp:extent cx="59836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3605" cy="171450"/>
                    </a:xfrm>
                    <a:prstGeom prst="rect">
                      <a:avLst/>
                    </a:prstGeom>
                    <a:noFill/>
                  </pic:spPr>
                </pic:pic>
              </a:graphicData>
            </a:graphic>
          </wp:anchor>
        </w:drawing>
      </w:r>
    </w:p>
    <w:p>
      <w:pPr>
        <w:spacing w:after="0" w:line="13" w:lineRule="exact"/>
        <w:rPr>
          <w:sz w:val="20"/>
          <w:szCs w:val="20"/>
          <w:color w:val="auto"/>
        </w:rPr>
      </w:pPr>
    </w:p>
    <w:tbl>
      <w:tblPr>
        <w:tblLayout w:type="fixed"/>
        <w:tblInd w:w="920" w:type="dxa"/>
        <w:tblCellMar>
          <w:top w:w="0" w:type="dxa"/>
          <w:left w:w="0" w:type="dxa"/>
          <w:bottom w:w="0" w:type="dxa"/>
          <w:right w:w="0" w:type="dxa"/>
        </w:tblCellMar>
      </w:tblPr>
      <w:tr>
        <w:trPr>
          <w:trHeight w:val="272"/>
        </w:trPr>
        <w:tc>
          <w:tcPr>
            <w:tcW w:w="44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50"/>
        </w:trPr>
        <w:tc>
          <w:tcPr>
            <w:tcW w:w="44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Assets</w:t>
            </w:r>
          </w:p>
        </w:tc>
        <w:tc>
          <w:tcPr>
            <w:tcW w:w="5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Investments, at fair value</w:t>
            </w: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29,797,017</w:t>
            </w:r>
          </w:p>
        </w:tc>
        <w:tc>
          <w:tcPr>
            <w:tcW w:w="460" w:type="dxa"/>
            <w:vAlign w:val="bottom"/>
          </w:tcPr>
          <w:p>
            <w:pPr>
              <w:spacing w:after="0"/>
              <w:rPr>
                <w:sz w:val="23"/>
                <w:szCs w:val="23"/>
                <w:color w:val="auto"/>
              </w:rPr>
            </w:pP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25,236,978</w:t>
            </w:r>
          </w:p>
        </w:tc>
      </w:tr>
      <w:tr>
        <w:trPr>
          <w:trHeight w:val="270"/>
        </w:trPr>
        <w:tc>
          <w:tcPr>
            <w:tcW w:w="44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Receivables:</w:t>
            </w: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Notes receivable from participants</w:t>
            </w:r>
          </w:p>
        </w:tc>
        <w:tc>
          <w:tcPr>
            <w:tcW w:w="520" w:type="dxa"/>
            <w:vAlign w:val="bottom"/>
            <w:shd w:val="clear" w:color="auto" w:fill="CCEEFF"/>
          </w:tcPr>
          <w:p>
            <w:pPr>
              <w:spacing w:after="0"/>
              <w:rPr>
                <w:sz w:val="23"/>
                <w:szCs w:val="23"/>
                <w:color w:val="auto"/>
              </w:rPr>
            </w:pPr>
          </w:p>
        </w:tc>
        <w:tc>
          <w:tcPr>
            <w:tcW w:w="2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445</w:t>
            </w:r>
          </w:p>
        </w:tc>
      </w:tr>
      <w:tr>
        <w:trPr>
          <w:trHeight w:val="26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5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29,797,017</w:t>
            </w:r>
          </w:p>
        </w:tc>
        <w:tc>
          <w:tcPr>
            <w:tcW w:w="46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25,237,423</w:t>
            </w:r>
          </w:p>
        </w:tc>
      </w:tr>
      <w:tr>
        <w:trPr>
          <w:trHeight w:val="250"/>
        </w:trPr>
        <w:tc>
          <w:tcPr>
            <w:tcW w:w="4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Accounts payable</w:t>
            </w:r>
          </w:p>
        </w:tc>
        <w:tc>
          <w:tcPr>
            <w:tcW w:w="5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2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28,385</w:t>
            </w:r>
          </w:p>
        </w:tc>
      </w:tr>
      <w:tr>
        <w:trPr>
          <w:trHeight w:val="264"/>
        </w:trPr>
        <w:tc>
          <w:tcPr>
            <w:tcW w:w="4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5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28,385</w:t>
            </w:r>
          </w:p>
        </w:tc>
      </w:tr>
      <w:tr>
        <w:trPr>
          <w:trHeight w:val="270"/>
        </w:trPr>
        <w:tc>
          <w:tcPr>
            <w:tcW w:w="44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29,797,017</w:t>
            </w:r>
          </w:p>
        </w:tc>
        <w:tc>
          <w:tcPr>
            <w:tcW w:w="460" w:type="dxa"/>
            <w:vAlign w:val="bottom"/>
          </w:tcPr>
          <w:p>
            <w:pPr>
              <w:spacing w:after="0"/>
              <w:rPr>
                <w:sz w:val="23"/>
                <w:szCs w:val="23"/>
                <w:color w:val="auto"/>
              </w:rPr>
            </w:pPr>
          </w:p>
        </w:tc>
        <w:tc>
          <w:tcPr>
            <w:tcW w:w="5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25,209,038</w:t>
            </w: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22"/>
          <w:szCs w:val="22"/>
          <w:color w:val="auto"/>
        </w:rPr>
        <w:t>The accompanying notes are an integral part of these financial statements.</w:t>
      </w:r>
    </w:p>
    <w:p>
      <w:pPr>
        <w:sectPr>
          <w:pgSz w:w="11900" w:h="16838" w:orient="portrait"/>
          <w:cols w:equalWidth="0" w:num="1">
            <w:col w:w="10340"/>
          </w:cols>
          <w:pgMar w:left="320" w:top="425" w:right="1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425" w:right="1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STATEMENT OF CHANGES IN NET ASSETS AVAILABLE FOR BENEFITS</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FOR THE YEAR ENDED December 31, 2025</w:t>
      </w:r>
    </w:p>
    <w:p>
      <w:pPr>
        <w:spacing w:after="0" w:line="200" w:lineRule="exact"/>
        <w:rPr>
          <w:sz w:val="20"/>
          <w:szCs w:val="20"/>
          <w:color w:val="auto"/>
        </w:rPr>
      </w:pPr>
    </w:p>
    <w:p>
      <w:pPr>
        <w:spacing w:after="0" w:line="3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-148590</wp:posOffset>
            </wp:positionV>
            <wp:extent cx="46805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80585" cy="171450"/>
                    </a:xfrm>
                    <a:prstGeom prst="rect">
                      <a:avLst/>
                    </a:prstGeom>
                    <a:noFill/>
                  </pic:spPr>
                </pic:pic>
              </a:graphicData>
            </a:graphic>
          </wp:anchor>
        </w:drawing>
      </w:r>
    </w:p>
    <w:p>
      <w:pPr>
        <w:spacing w:after="0" w:line="13" w:lineRule="exact"/>
        <w:rPr>
          <w:sz w:val="20"/>
          <w:szCs w:val="20"/>
          <w:color w:val="auto"/>
        </w:rPr>
      </w:pPr>
    </w:p>
    <w:tbl>
      <w:tblPr>
        <w:tblLayout w:type="fixed"/>
        <w:tblInd w:w="1300" w:type="dxa"/>
        <w:tblCellMar>
          <w:top w:w="0" w:type="dxa"/>
          <w:left w:w="0" w:type="dxa"/>
          <w:bottom w:w="0" w:type="dxa"/>
          <w:right w:w="0" w:type="dxa"/>
        </w:tblCellMar>
      </w:tblPr>
      <w:tr>
        <w:trPr>
          <w:trHeight w:val="272"/>
        </w:trPr>
        <w:tc>
          <w:tcPr>
            <w:tcW w:w="5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Net appreciation in fair value of investments</w:t>
            </w:r>
          </w:p>
        </w:tc>
        <w:tc>
          <w:tcPr>
            <w:tcW w:w="5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2,640,861</w:t>
            </w:r>
          </w:p>
        </w:tc>
      </w:tr>
      <w:tr>
        <w:trPr>
          <w:trHeight w:val="27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Interest and dividend income</w:t>
            </w:r>
          </w:p>
        </w:tc>
        <w:tc>
          <w:tcPr>
            <w:tcW w:w="5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1,046,573</w:t>
            </w:r>
          </w:p>
        </w:tc>
      </w:tr>
      <w:tr>
        <w:trPr>
          <w:trHeight w:val="270"/>
        </w:trPr>
        <w:tc>
          <w:tcPr>
            <w:tcW w:w="5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income on notes receivable from participants</w:t>
            </w:r>
          </w:p>
        </w:tc>
        <w:tc>
          <w:tcPr>
            <w:tcW w:w="5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Participant contributions</w:t>
            </w:r>
          </w:p>
        </w:tc>
        <w:tc>
          <w:tcPr>
            <w:tcW w:w="5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2,458,683</w:t>
            </w:r>
          </w:p>
        </w:tc>
      </w:tr>
      <w:tr>
        <w:trPr>
          <w:trHeight w:val="270"/>
        </w:trPr>
        <w:tc>
          <w:tcPr>
            <w:tcW w:w="5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Rollover contributions</w:t>
            </w:r>
          </w:p>
        </w:tc>
        <w:tc>
          <w:tcPr>
            <w:tcW w:w="5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8,522</w:t>
            </w:r>
          </w:p>
        </w:tc>
      </w:tr>
      <w:tr>
        <w:trPr>
          <w:trHeight w:val="27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Marriott International, Inc. contributions</w:t>
            </w:r>
          </w:p>
        </w:tc>
        <w:tc>
          <w:tcPr>
            <w:tcW w:w="5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758,852</w:t>
            </w:r>
          </w:p>
        </w:tc>
      </w:tr>
      <w:tr>
        <w:trPr>
          <w:trHeight w:val="263"/>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2"/>
                <w:szCs w:val="22"/>
                <w:color w:val="auto"/>
              </w:rPr>
              <w:t>Total additions</w:t>
            </w:r>
          </w:p>
        </w:tc>
        <w:tc>
          <w:tcPr>
            <w:tcW w:w="5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6,913,532</w:t>
            </w:r>
          </w:p>
        </w:tc>
      </w:tr>
      <w:tr>
        <w:trPr>
          <w:trHeight w:val="250"/>
        </w:trPr>
        <w:tc>
          <w:tcPr>
            <w:tcW w:w="5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Deductions:</w:t>
            </w:r>
          </w:p>
        </w:tc>
        <w:tc>
          <w:tcPr>
            <w:tcW w:w="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Benefits paid to participants</w:t>
            </w:r>
          </w:p>
        </w:tc>
        <w:tc>
          <w:tcPr>
            <w:tcW w:w="5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2,324,765</w:t>
            </w:r>
          </w:p>
        </w:tc>
      </w:tr>
      <w:tr>
        <w:trPr>
          <w:trHeight w:val="270"/>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2"/>
                <w:szCs w:val="22"/>
                <w:color w:val="auto"/>
              </w:rPr>
              <w:t>Administrative expenses</w:t>
            </w:r>
          </w:p>
        </w:tc>
        <w:tc>
          <w:tcPr>
            <w:tcW w:w="5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788</w:t>
            </w:r>
          </w:p>
        </w:tc>
      </w:tr>
      <w:tr>
        <w:trPr>
          <w:trHeight w:val="26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Total deductions</w:t>
            </w:r>
          </w:p>
        </w:tc>
        <w:tc>
          <w:tcPr>
            <w:tcW w:w="5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2,325,553</w:t>
            </w:r>
          </w:p>
        </w:tc>
      </w:tr>
      <w:tr>
        <w:trPr>
          <w:trHeight w:val="250"/>
        </w:trPr>
        <w:tc>
          <w:tcPr>
            <w:tcW w:w="5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increase</w:t>
            </w:r>
          </w:p>
        </w:tc>
        <w:tc>
          <w:tcPr>
            <w:tcW w:w="5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4,587,979</w:t>
            </w:r>
          </w:p>
        </w:tc>
      </w:tr>
      <w:tr>
        <w:trPr>
          <w:trHeight w:val="270"/>
        </w:trPr>
        <w:tc>
          <w:tcPr>
            <w:tcW w:w="5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Net assets available for benefits at beginning of year</w:t>
            </w:r>
          </w:p>
        </w:tc>
        <w:tc>
          <w:tcPr>
            <w:tcW w:w="5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25,209,038</w:t>
            </w: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assets available for benefits at end of year</w:t>
            </w:r>
          </w:p>
        </w:tc>
        <w:tc>
          <w:tcPr>
            <w:tcW w:w="5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29,797,017</w:t>
            </w:r>
          </w:p>
        </w:tc>
      </w:tr>
      <w:tr>
        <w:trPr>
          <w:trHeight w:val="20"/>
        </w:trPr>
        <w:tc>
          <w:tcPr>
            <w:tcW w:w="5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The accompanying notes are an integral part of these financial statements.</w:t>
      </w:r>
    </w:p>
    <w:p>
      <w:pPr>
        <w:sectPr>
          <w:pgSz w:w="11900" w:h="16838" w:orient="portrait"/>
          <w:cols w:equalWidth="0" w:num="1">
            <w:col w:w="10139"/>
          </w:cols>
          <w:pgMar w:left="320" w:top="425"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7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NOTE 1:</w:t>
      </w:r>
      <w:r>
        <w:rPr>
          <w:sz w:val="20"/>
          <w:szCs w:val="20"/>
          <w:color w:val="auto"/>
        </w:rPr>
        <w:tab/>
      </w:r>
      <w:r>
        <w:rPr>
          <w:rFonts w:ascii="Times New Roman" w:cs="Times New Roman" w:eastAsia="Times New Roman" w:hAnsi="Times New Roman"/>
          <w:sz w:val="21"/>
          <w:szCs w:val="21"/>
          <w:b w:val="1"/>
          <w:bCs w:val="1"/>
          <w:color w:val="auto"/>
        </w:rPr>
        <w:t>DESCRIPTION OF THE PLAN</w:t>
      </w:r>
    </w:p>
    <w:p>
      <w:pPr>
        <w:spacing w:after="0" w:line="332"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The following description of the Marriott International, Inc. Puerto Rico Retirement Plan (the “Plan”), provides only general information. Participants should refer to the Plan Document and Summary Plan Description for a more complete description of the Plan's provisions. Effective October 1, 2024, plan administration and recordkeeping were transferred to Fidelity Investments ("Fidelity"), and trusteeship to Fidelity Management Trust Company ("FMTC").</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2"/>
          <w:szCs w:val="22"/>
          <w:color w:val="auto"/>
        </w:rPr>
        <w:t>The Plan was established on June 1, 1998 as a profit-sharing plan with a cash or deferred arrangement intended to qualify under Sections 1165(a) and (e) of the Puerto Rico Internal Revenue Code of 1994 (the “1994 Code”). The Plan is sponsored by Luxury Hotels International of Puerto Rico, Inc. (the “Company”). The Plan is subject to the provisions of the Employee Retirement Income Security Act of 1974 (“ERISA”), as amended.</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37"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Contributions to the Plan come from employee salary reduction contributions and employer matching contributions. If an employee elects to participate in the Plan, contributions may be made through salary deferrals between 1% and 80% of eligible earnings in any plan year, subject to certain limitations. The Company makes matching contributions after the participant completes a one-year waiting period equal to 40% of the first 7% of the eligible earnings contributed to the Plan by participants, on a payroll period basis.</w:t>
      </w:r>
    </w:p>
    <w:p>
      <w:pPr>
        <w:spacing w:after="0" w:line="204"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2"/>
          <w:szCs w:val="22"/>
          <w:color w:val="auto"/>
        </w:rPr>
        <w:t>Eligible employees may also contribute rollover amounts to the Plan, representing eligible rollover distributions from other eligible retirement plans.</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Participant Accounts</w:t>
      </w:r>
    </w:p>
    <w:p>
      <w:pPr>
        <w:spacing w:after="0" w:line="237"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22"/>
          <w:szCs w:val="22"/>
          <w:color w:val="auto"/>
        </w:rPr>
        <w:t>Individual accounts are maintained for each participant. Each participant’s account is credited with the participant’s contributions, the Company’s matching contribution (if any), and the applicable earnings or losses for the investments selected by the participant, and charged with an allocation of administrative expenses. The benefit to which a participant is entitled is the vested benefit in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DESCRIPTION OF THE PLAN (Continued)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Forfeitures</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Participants who terminate employment before becoming fully vested will forfeit the nonvested portion of their matching account balances unless resuming employment before incurring a five-year break in service. During 2025, $10,595 of forfeitures were utilized to pay plan expenses.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Eligibility</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All employees are eligible to participate in the Plan. Effective 10/1/2024, there are no age or service requirements to participate. Prior to 10/1/2024, employees were eligible to participate upon completion of at least 1,000 hours of service within one twelve month period of service.</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37"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Participants are immediately vested in their own contributions and the investment earnings thereon. Participants are 100% vested after completing two years of service with respect to matching contributions made by the Company and related earnings.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Upon enrollment in the Plan, a participant may allocate employer and employee contributions to any of the available investment options. Participants may change their investment options on a daily basis, subject to any trading restrictions imposed by individual investment funds.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237"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 xml:space="preserve">Effective April 1, 2018, participant loans are no longer permitted in the Plan. Prior to April 1, 2018, participants could borrow up to 50% of their rollover and employee elective account balances with a minimum loan request of $500 and a maximum of $50,000, reduced by the highest loan balance in the last 12-month period. Loan terms ranged from 1-4 years, or up to 15 years for the purchase of a primary residence. Outstanding loans are secured by the balance in the participant’s account and bear interest at prime rate as of the last business day of the prior calendar quarter as published by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plus 200 basis points, except that for the loans issued in the third quarter of 2016, the loans bore interest at the prime rate as of the last business day of the prior calendar quarter as published by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plus 100 basis points. Principal and interest are repaid through payroll deductions.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DESCRIPTION OF THE PLAN (Continued)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23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2"/>
          <w:szCs w:val="22"/>
          <w:color w:val="auto"/>
        </w:rPr>
        <w:t>A participant can take a distribution from the Plan upon termination of service, death, disability, or attainment of age 59 1/2, and other situations as detailed by the Plan Document.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33"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22"/>
          <w:szCs w:val="22"/>
          <w:color w:val="auto"/>
        </w:rPr>
        <w:t xml:space="preserve">The Retirement Plan Committee serves as the named fiduciary of the Plan, except with respect to the </w:t>
      </w:r>
      <w:r>
        <w:rPr>
          <w:rFonts w:ascii="Times New Roman" w:cs="Times New Roman" w:eastAsia="Times New Roman" w:hAnsi="Times New Roman"/>
          <w:sz w:val="22"/>
          <w:szCs w:val="22"/>
          <w:i w:val="1"/>
          <w:iCs w:val="1"/>
          <w:color w:val="auto"/>
        </w:rPr>
        <w:t>Marriott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Company Stock Fund </w:t>
      </w:r>
      <w:r>
        <w:rPr>
          <w:rFonts w:ascii="Times New Roman" w:cs="Times New Roman" w:eastAsia="Times New Roman" w:hAnsi="Times New Roman"/>
          <w:sz w:val="22"/>
          <w:szCs w:val="22"/>
          <w:color w:val="auto"/>
        </w:rPr>
        <w:t>(the “Stock Fund”). Administration of the Plan is under the direction of (i) the Retirement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Committee, all of whom are members of senior management of Marriott International, Inc. (“Marriott”); (ii) a trustee; and (iii) a Plan administrator, who is an employee of Marriott. Under section 404(c) of ERISA, the Plan offers participants the opportunity to direct their own investments. The Retirement Plan Committee is responsible for selecting and overseeing these investment options, other than the Marriott Company Stock Fund, and has delegated certain responsibilities to the Plan trustee and the investment adviser it has retained. The Stock Fund Investment Committee is the sole named fiduciary of the Plan with regards to the investment of the Marriott Company Stock Fund.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Administrative and Investment Expenses</w:t>
      </w:r>
    </w:p>
    <w:p>
      <w:pPr>
        <w:spacing w:after="0" w:line="23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2"/>
          <w:szCs w:val="22"/>
          <w:color w:val="auto"/>
        </w:rPr>
        <w:t>To the extent not paid by the Company, administrative and investment expenses are paid from the Plan's forfeiture account and/or by the Plan participants, allocated based on account balances.</w:t>
      </w:r>
    </w:p>
    <w:p>
      <w:pPr>
        <w:spacing w:after="0" w:line="185"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22"/>
          <w:szCs w:val="22"/>
          <w:color w:val="auto"/>
        </w:rPr>
        <w:t>Certain expenses of maintaining the Plan are paid directly by the Company and are excluded from these financial statements. Fees related to the administration of notes receivable from participants are charged directly to the participant’s account and are included in administrative expenses. Fees related to individual transactions, such as distributions, are charged directly to the participant's account. Investment related expenses are included in the "Net appreciation in fair value of investments" caption of the Statement of Changes in Net Assets Available for Benefits.</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Plan Termination</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Although it has not expressed any intent to do so, the Company has the right under the Plan to discontinue its contributions at any time and terminate or amend the Plan subject to the Plan Document. In the event of Plan termination, participants will become 100% vested in their accounts, to the extent required by law.</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SUMMARY OF SIGNIFICANT ACCOUNTING POLICIES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Basis of Accounting</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financial statements of the Plan are prepared on the accrual basis of accounting.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The preparation of financial statements in conformity with United States Generally Accepted Accounting Principles (“U.S. GAAP”) requires management to make estimates and assumptions that affect the amounts reported in the financial statements and accompanying notes. Actual results could differ from those estimates.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Investment Valuation and Income Recognition</w:t>
      </w:r>
    </w:p>
    <w:p>
      <w:pPr>
        <w:spacing w:after="0" w:line="23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The Plan’s investments are stated at fair value. Fair value is the price that would be received to sell an asset or paid to transfer a liability in an orderly transaction between market participants at the measurement date. See Note 3 for discussion of fair value measurement.</w:t>
      </w:r>
    </w:p>
    <w:p>
      <w:pPr>
        <w:spacing w:after="0" w:line="18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Payment of Benefits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Benefits are recorded when paid.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Fair Value Measurements</w:t>
      </w:r>
    </w:p>
    <w:p>
      <w:pPr>
        <w:spacing w:after="0" w:line="233" w:lineRule="exact"/>
        <w:rPr>
          <w:sz w:val="20"/>
          <w:szCs w:val="20"/>
          <w:color w:val="auto"/>
        </w:rPr>
      </w:pPr>
    </w:p>
    <w:p>
      <w:pPr>
        <w:jc w:val="both"/>
        <w:ind w:left="1300"/>
        <w:spacing w:after="0" w:line="235" w:lineRule="auto"/>
        <w:rPr>
          <w:sz w:val="20"/>
          <w:szCs w:val="20"/>
          <w:color w:val="auto"/>
        </w:rPr>
      </w:pPr>
      <w:r>
        <w:rPr>
          <w:rFonts w:ascii="Times New Roman" w:cs="Times New Roman" w:eastAsia="Times New Roman" w:hAnsi="Times New Roman"/>
          <w:sz w:val="22"/>
          <w:szCs w:val="22"/>
          <w:color w:val="auto"/>
        </w:rPr>
        <w:t xml:space="preserve">Accounting Standards Codification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establishes a framework for measuring fair value. This framework provides a fair value hierarchy that prioritizes the inputs to valuation techniques used to measure fair value. The hierarchy gives the highest priority to unadjusted quoted prices in active markets for identical assets or liabilities (“Level 1”), the next priority to quoted values based on observable inputs (“Level 2”), and the lowest priority to values based on unobservable inputs (“Level 3”). The three levels of the fair value hierarchy under ASC 820 are briefly described below:</w:t>
      </w:r>
    </w:p>
    <w:p>
      <w:pPr>
        <w:spacing w:after="0" w:line="205" w:lineRule="exact"/>
        <w:rPr>
          <w:sz w:val="20"/>
          <w:szCs w:val="20"/>
          <w:color w:val="auto"/>
        </w:rPr>
      </w:pPr>
    </w:p>
    <w:p>
      <w:pPr>
        <w:jc w:val="both"/>
        <w:ind w:left="2120" w:hanging="809"/>
        <w:spacing w:after="0" w:line="244" w:lineRule="auto"/>
        <w:rPr>
          <w:sz w:val="20"/>
          <w:szCs w:val="20"/>
          <w:color w:val="auto"/>
        </w:rPr>
      </w:pPr>
      <w:r>
        <w:rPr>
          <w:rFonts w:ascii="Times New Roman" w:cs="Times New Roman" w:eastAsia="Times New Roman" w:hAnsi="Times New Roman"/>
          <w:sz w:val="22"/>
          <w:szCs w:val="22"/>
          <w:color w:val="auto"/>
        </w:rPr>
        <w:t>Level 1: Inputs to the valuation methodology are unadjusted quoted prices for identical assets or liabilities in active markets that the Plan has the ability to access at the measurement date. For example, stocks listed on a recognized exchange or listed mutual funds.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SUMMARY OF SIGNIFICANT ACCOUNTING POLICIES (Continued)</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Level 2: Inputs to the valuation methodology include:</w:t>
      </w:r>
    </w:p>
    <w:p>
      <w:pPr>
        <w:spacing w:after="0" w:line="233" w:lineRule="exact"/>
        <w:rPr>
          <w:sz w:val="20"/>
          <w:szCs w:val="20"/>
          <w:color w:val="auto"/>
        </w:rPr>
      </w:pPr>
    </w:p>
    <w:p>
      <w:pPr>
        <w:ind w:left="2600" w:hanging="324"/>
        <w:spacing w:after="0"/>
        <w:tabs>
          <w:tab w:leader="none" w:pos="26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similar assets or liabilities in active markets;</w:t>
      </w:r>
    </w:p>
    <w:p>
      <w:pPr>
        <w:spacing w:after="0" w:line="14" w:lineRule="exact"/>
        <w:rPr>
          <w:rFonts w:ascii="Times New Roman" w:cs="Times New Roman" w:eastAsia="Times New Roman" w:hAnsi="Times New Roman"/>
          <w:sz w:val="22"/>
          <w:szCs w:val="22"/>
          <w:color w:val="auto"/>
        </w:rPr>
      </w:pPr>
    </w:p>
    <w:p>
      <w:pPr>
        <w:ind w:left="2600" w:hanging="324"/>
        <w:spacing w:after="0" w:line="230" w:lineRule="auto"/>
        <w:tabs>
          <w:tab w:leader="none" w:pos="26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Quoted prices for identical or similar assets or liabilities not active markets;</w:t>
      </w:r>
    </w:p>
    <w:p>
      <w:pPr>
        <w:ind w:left="2600" w:hanging="324"/>
        <w:spacing w:after="0" w:line="230" w:lineRule="auto"/>
        <w:tabs>
          <w:tab w:leader="none" w:pos="26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other than quoted prices that are observable for the asset or liability;</w:t>
      </w:r>
    </w:p>
    <w:p>
      <w:pPr>
        <w:ind w:left="2600" w:hanging="324"/>
        <w:spacing w:after="0" w:line="231" w:lineRule="auto"/>
        <w:tabs>
          <w:tab w:leader="none" w:pos="25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Inputs that are derived principally from or corroborated by observable market data by correlation or other means.</w:t>
      </w:r>
    </w:p>
    <w:p>
      <w:pPr>
        <w:spacing w:after="0" w:line="205" w:lineRule="exact"/>
        <w:rPr>
          <w:sz w:val="20"/>
          <w:szCs w:val="20"/>
          <w:color w:val="auto"/>
        </w:rPr>
      </w:pPr>
    </w:p>
    <w:p>
      <w:pPr>
        <w:ind w:left="2280"/>
        <w:spacing w:after="0" w:line="258" w:lineRule="auto"/>
        <w:rPr>
          <w:sz w:val="20"/>
          <w:szCs w:val="20"/>
          <w:color w:val="auto"/>
        </w:rPr>
      </w:pPr>
      <w:r>
        <w:rPr>
          <w:rFonts w:ascii="Times New Roman" w:cs="Times New Roman" w:eastAsia="Times New Roman" w:hAnsi="Times New Roman"/>
          <w:sz w:val="22"/>
          <w:szCs w:val="22"/>
          <w:color w:val="auto"/>
        </w:rPr>
        <w:t>If the asset or liability has a specified (contractual) term, the Level 2 input must be observable for substantially the full term of the asset or liability.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Level 3: Level 3 inputs include unobservable inputs that reflect our assumptions about</w:t>
      </w:r>
    </w:p>
    <w:p>
      <w:pPr>
        <w:spacing w:after="0" w:line="14" w:lineRule="exact"/>
        <w:rPr>
          <w:sz w:val="20"/>
          <w:szCs w:val="20"/>
          <w:color w:val="auto"/>
        </w:rPr>
      </w:pPr>
    </w:p>
    <w:p>
      <w:pPr>
        <w:ind w:left="2280" w:right="20"/>
        <w:spacing w:after="0" w:line="237" w:lineRule="auto"/>
        <w:rPr>
          <w:sz w:val="20"/>
          <w:szCs w:val="20"/>
          <w:color w:val="auto"/>
        </w:rPr>
      </w:pPr>
      <w:r>
        <w:rPr>
          <w:rFonts w:ascii="Times New Roman" w:cs="Times New Roman" w:eastAsia="Times New Roman" w:hAnsi="Times New Roman"/>
          <w:sz w:val="22"/>
          <w:szCs w:val="22"/>
          <w:color w:val="auto"/>
        </w:rPr>
        <w:t>what factors market participants would use in pricing the asset or liability. We develop these inputs based on the best information available, including our own data.</w:t>
      </w:r>
    </w:p>
    <w:p>
      <w:pPr>
        <w:spacing w:after="0" w:line="205" w:lineRule="exact"/>
        <w:rPr>
          <w:sz w:val="20"/>
          <w:szCs w:val="20"/>
          <w:color w:val="auto"/>
        </w:rPr>
      </w:pPr>
    </w:p>
    <w:p>
      <w:pPr>
        <w:ind w:left="2280" w:right="20"/>
        <w:spacing w:after="0" w:line="258" w:lineRule="auto"/>
        <w:rPr>
          <w:sz w:val="20"/>
          <w:szCs w:val="20"/>
          <w:color w:val="auto"/>
        </w:rPr>
      </w:pPr>
      <w:r>
        <w:rPr>
          <w:rFonts w:ascii="Times New Roman" w:cs="Times New Roman" w:eastAsia="Times New Roman" w:hAnsi="Times New Roman"/>
          <w:sz w:val="22"/>
          <w:szCs w:val="22"/>
          <w:color w:val="auto"/>
        </w:rPr>
        <w:t>Valuation techniques used need to maximize the use of observable inputs and minimize the use of unobservable inputs.</w:t>
      </w:r>
    </w:p>
    <w:p>
      <w:pPr>
        <w:spacing w:after="0" w:line="185" w:lineRule="exact"/>
        <w:rPr>
          <w:sz w:val="20"/>
          <w:szCs w:val="20"/>
          <w:color w:val="auto"/>
        </w:rPr>
      </w:pPr>
    </w:p>
    <w:p>
      <w:pPr>
        <w:ind w:left="1300" w:right="3480" w:hanging="1295"/>
        <w:spacing w:after="0" w:line="258" w:lineRule="auto"/>
        <w:rPr>
          <w:sz w:val="20"/>
          <w:szCs w:val="20"/>
          <w:color w:val="auto"/>
        </w:rPr>
      </w:pPr>
      <w:r>
        <w:rPr>
          <w:rFonts w:ascii="Times New Roman" w:cs="Times New Roman" w:eastAsia="Times New Roman" w:hAnsi="Times New Roman"/>
          <w:sz w:val="22"/>
          <w:szCs w:val="22"/>
          <w:color w:val="auto"/>
        </w:rPr>
        <w:t>Following is a description of the valuation methodologies used for assets measured at fair value as of December 31, 2025 and 2024.</w:t>
      </w:r>
    </w:p>
    <w:p>
      <w:pPr>
        <w:spacing w:after="0" w:line="168" w:lineRule="exact"/>
        <w:rPr>
          <w:sz w:val="20"/>
          <w:szCs w:val="20"/>
          <w:color w:val="auto"/>
        </w:rPr>
      </w:pPr>
    </w:p>
    <w:p>
      <w:pPr>
        <w:jc w:val="both"/>
        <w:ind w:left="130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Mutual funds: </w:t>
      </w:r>
      <w:r>
        <w:rPr>
          <w:rFonts w:ascii="Times New Roman" w:cs="Times New Roman" w:eastAsia="Times New Roman" w:hAnsi="Times New Roman"/>
          <w:sz w:val="22"/>
          <w:szCs w:val="22"/>
          <w:color w:val="auto"/>
        </w:rPr>
        <w:t>Valued at the daily closing price as reported by the fund. Mutual funds held by the Plan are open-ended mutual funds that are registered with the Securities Exchange Commission. These funds are required to publish their daily net asset value (“NAV”) and to transact at that price. The mutual funds held by the Plan are deemed to be actively traded.</w:t>
      </w:r>
    </w:p>
    <w:p>
      <w:pPr>
        <w:spacing w:after="0" w:line="199"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i w:val="1"/>
          <w:iCs w:val="1"/>
          <w:color w:val="auto"/>
        </w:rPr>
        <w:t>Common collective trust</w:t>
      </w:r>
      <w:r>
        <w:rPr>
          <w:rFonts w:ascii="Times New Roman" w:cs="Times New Roman" w:eastAsia="Times New Roman" w:hAnsi="Times New Roman"/>
          <w:sz w:val="22"/>
          <w:szCs w:val="22"/>
          <w:color w:val="auto"/>
        </w:rPr>
        <w:t>: Valued at the NAV of units of a collective trust. The NAV, as provided by the custodian,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used as a practical expedient to estimate fair value. The NAV is based on the fair value of the underlying investments held by the fund less its liabilities.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SUMMARY OF SIGNIFICANT ACCOUNTING POLICIES (Continued)</w:t>
      </w:r>
    </w:p>
    <w:p>
      <w:pPr>
        <w:spacing w:after="0" w:line="237" w:lineRule="exact"/>
        <w:rPr>
          <w:sz w:val="20"/>
          <w:szCs w:val="20"/>
          <w:color w:val="auto"/>
        </w:rPr>
      </w:pPr>
    </w:p>
    <w:p>
      <w:pPr>
        <w:jc w:val="both"/>
        <w:ind w:left="1300" w:right="20"/>
        <w:spacing w:after="0" w:line="244" w:lineRule="auto"/>
        <w:rPr>
          <w:sz w:val="20"/>
          <w:szCs w:val="20"/>
          <w:color w:val="auto"/>
        </w:rPr>
      </w:pPr>
      <w:r>
        <w:rPr>
          <w:rFonts w:ascii="Times New Roman" w:cs="Times New Roman" w:eastAsia="Times New Roman" w:hAnsi="Times New Roman"/>
          <w:sz w:val="22"/>
          <w:szCs w:val="22"/>
          <w:color w:val="auto"/>
        </w:rPr>
        <w:t>Participant transactions (purchases and sales) may occur daily. If the Plan initiates a full redemption of the collective trust, the issuer reserves the right to require 12 months notification in order to ensure that securities liquidations will be carried out in an orderly business manner.</w:t>
      </w:r>
    </w:p>
    <w:p>
      <w:pPr>
        <w:spacing w:after="0" w:line="200"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22"/>
          <w:szCs w:val="22"/>
          <w:color w:val="auto"/>
        </w:rPr>
        <w:t>The Stock Fund is tracked on a unitized basis. The Stock Fund consists of Marriott International, Inc. common stock and funds held in the Fidelity Treasury Portfolio as of December 31, 2025 and 2024 sufficient to meet the Stock Fund’s daily cash needs, as well as interest and dividends receivable. Unitizing the Stock Fund allows for daily trades. The value of a unit reflects the combined market value of Marriott International, Inc. common stock, valued at its quoted market price, and the cash investments and receivables held by the Stock Fund. At December 31, 2025, 167,825 units were outstanding with a value of $24.17 per unit. At December 31, 2024, 172,855 units were outstanding with a value of $21.73 per unit.</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1"/>
          <w:szCs w:val="21"/>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valuation methodologies from December 31, 2024 to December 31, 2025.</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Notes Receivable from Participants</w:t>
      </w:r>
    </w:p>
    <w:p>
      <w:pPr>
        <w:spacing w:after="0" w:line="237"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Notes receivable from participants are recorded at principal less repayments plus accrued interest. Interest income is recorded on the accrual basis. Related fees are recorded as administrative expenses and are expensed when they are incurred. If a participant ceases to make loan repayments and the plan administrator deems the participant loan to be in default, the participant loan balance is reduced, and a benefit payment is recorded.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Contributions</w:t>
      </w:r>
    </w:p>
    <w:p>
      <w:pPr>
        <w:spacing w:after="0" w:line="237" w:lineRule="exact"/>
        <w:rPr>
          <w:sz w:val="20"/>
          <w:szCs w:val="20"/>
          <w:color w:val="auto"/>
        </w:rPr>
      </w:pPr>
    </w:p>
    <w:p>
      <w:pPr>
        <w:jc w:val="both"/>
        <w:ind w:left="1300" w:right="20"/>
        <w:spacing w:after="0" w:line="258" w:lineRule="auto"/>
        <w:rPr>
          <w:sz w:val="20"/>
          <w:szCs w:val="20"/>
          <w:color w:val="auto"/>
        </w:rPr>
      </w:pPr>
      <w:r>
        <w:rPr>
          <w:rFonts w:ascii="Times New Roman" w:cs="Times New Roman" w:eastAsia="Times New Roman" w:hAnsi="Times New Roman"/>
          <w:sz w:val="22"/>
          <w:szCs w:val="22"/>
          <w:color w:val="auto"/>
        </w:rPr>
        <w:t>Contributions from Plan participants and the matching contributions from the Company are recorded in the year in which the employee contributions are withheld from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FAIR VALUE MEASUREMENTS</w:t>
      </w: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The following tables present the investments of the Plan that are measured at fair value on a recurring basis at</w:t>
      </w:r>
    </w:p>
    <w:p>
      <w:pPr>
        <w:spacing w:after="0" w:line="1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Assets at Fair Value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-151130</wp:posOffset>
            </wp:positionV>
            <wp:extent cx="59232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3280" cy="171450"/>
                    </a:xfrm>
                    <a:prstGeom prst="rect">
                      <a:avLst/>
                    </a:prstGeom>
                    <a:noFill/>
                  </pic:spPr>
                </pic:pic>
              </a:graphicData>
            </a:graphic>
          </wp:anchor>
        </w:drawing>
      </w:r>
    </w:p>
    <w:p>
      <w:pPr>
        <w:spacing w:after="0" w:line="9" w:lineRule="exact"/>
        <w:rPr>
          <w:sz w:val="20"/>
          <w:szCs w:val="20"/>
          <w:color w:val="auto"/>
        </w:rPr>
      </w:pPr>
    </w:p>
    <w:tbl>
      <w:tblPr>
        <w:tblLayout w:type="fixed"/>
        <w:tblInd w:w="740" w:type="dxa"/>
        <w:tblCellMar>
          <w:top w:w="0" w:type="dxa"/>
          <w:left w:w="0" w:type="dxa"/>
          <w:bottom w:w="0" w:type="dxa"/>
          <w:right w:w="0" w:type="dxa"/>
        </w:tblCellMar>
      </w:tblPr>
      <w:tr>
        <w:trPr>
          <w:trHeight w:val="265"/>
        </w:trPr>
        <w:tc>
          <w:tcPr>
            <w:tcW w:w="386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rPr>
              <w:t>Level 1</w:t>
            </w: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Level 2</w:t>
            </w:r>
          </w:p>
        </w:tc>
        <w:tc>
          <w:tcPr>
            <w:tcW w:w="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Level 3</w:t>
            </w: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Total</w:t>
            </w: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Mutual funds</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21,349,186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21,349,186</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Marriott Company Stock Fund</w:t>
            </w:r>
          </w:p>
        </w:tc>
        <w:tc>
          <w:tcPr>
            <w:tcW w:w="3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4,057,218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4,057,218</w:t>
            </w:r>
          </w:p>
        </w:tc>
      </w:tr>
      <w:tr>
        <w:trPr>
          <w:trHeight w:val="26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assets in the fair value hierarchy</w:t>
            </w:r>
          </w:p>
        </w:tc>
        <w:tc>
          <w:tcPr>
            <w:tcW w:w="30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25,406,404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25,406,404</w:t>
            </w:r>
          </w:p>
        </w:tc>
      </w:tr>
      <w:tr>
        <w:trPr>
          <w:trHeight w:val="27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Investment measured at net asset value (a)</w:t>
            </w:r>
          </w:p>
        </w:tc>
        <w:tc>
          <w:tcPr>
            <w:tcW w:w="3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4,390,613</w:t>
            </w:r>
          </w:p>
        </w:tc>
      </w:tr>
      <w:tr>
        <w:trPr>
          <w:trHeight w:val="28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29,797,017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r>
      <w:tr>
        <w:trPr>
          <w:trHeight w:val="149"/>
        </w:trPr>
        <w:tc>
          <w:tcPr>
            <w:tcW w:w="3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270"/>
        </w:trPr>
        <w:tc>
          <w:tcPr>
            <w:tcW w:w="38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5160" w:type="dxa"/>
            <w:vAlign w:val="bottom"/>
            <w:tcBorders>
              <w:bottom w:val="single" w:sz="8" w:color="auto"/>
            </w:tcBorders>
            <w:gridSpan w:val="10"/>
            <w:shd w:val="clear" w:color="auto" w:fill="CCEEFF"/>
          </w:tcPr>
          <w:p>
            <w:pPr>
              <w:jc w:val="right"/>
              <w:ind w:right="652"/>
              <w:spacing w:after="0"/>
              <w:rPr>
                <w:sz w:val="20"/>
                <w:szCs w:val="20"/>
                <w:color w:val="auto"/>
              </w:rPr>
            </w:pPr>
            <w:r>
              <w:rPr>
                <w:rFonts w:ascii="Times New Roman" w:cs="Times New Roman" w:eastAsia="Times New Roman" w:hAnsi="Times New Roman"/>
                <w:sz w:val="22"/>
                <w:szCs w:val="22"/>
                <w:color w:val="auto"/>
              </w:rPr>
              <w:t>Assets at Fair Value as of December 31, 2024</w:t>
            </w:r>
          </w:p>
        </w:tc>
      </w:tr>
      <w:tr>
        <w:trPr>
          <w:trHeight w:val="264"/>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Level 1</w:t>
            </w:r>
          </w:p>
        </w:tc>
        <w:tc>
          <w:tcPr>
            <w:tcW w:w="160" w:type="dxa"/>
            <w:vAlign w:val="bottom"/>
          </w:tcPr>
          <w:p>
            <w:pPr>
              <w:spacing w:after="0"/>
              <w:rPr>
                <w:sz w:val="22"/>
                <w:szCs w:val="2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Level 2</w:t>
            </w:r>
          </w:p>
        </w:tc>
        <w:tc>
          <w:tcPr>
            <w:tcW w:w="14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Level 3</w:t>
            </w:r>
          </w:p>
        </w:tc>
        <w:tc>
          <w:tcPr>
            <w:tcW w:w="280" w:type="dxa"/>
            <w:vAlign w:val="bottom"/>
          </w:tcPr>
          <w:p>
            <w:pPr>
              <w:spacing w:after="0"/>
              <w:rPr>
                <w:sz w:val="22"/>
                <w:szCs w:val="22"/>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Total</w:t>
            </w:r>
          </w:p>
        </w:tc>
      </w:tr>
      <w:tr>
        <w:trPr>
          <w:trHeight w:val="2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Mutual funds</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17,915,213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17,915,213</w:t>
            </w: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Marriott Company Stock Fund</w:t>
            </w:r>
          </w:p>
        </w:tc>
        <w:tc>
          <w:tcPr>
            <w:tcW w:w="3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3,756,160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3,756,160</w:t>
            </w:r>
          </w:p>
        </w:tc>
      </w:tr>
      <w:tr>
        <w:trPr>
          <w:trHeight w:val="26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assets in the fair value hierarchy</w:t>
            </w:r>
          </w:p>
        </w:tc>
        <w:tc>
          <w:tcPr>
            <w:tcW w:w="30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21,671,373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21,671,373</w:t>
            </w:r>
          </w:p>
        </w:tc>
      </w:tr>
      <w:tr>
        <w:trPr>
          <w:trHeight w:val="27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2"/>
                <w:szCs w:val="22"/>
                <w:color w:val="auto"/>
              </w:rPr>
              <w:t>Investment measured at net asset value (a)</w:t>
            </w:r>
          </w:p>
        </w:tc>
        <w:tc>
          <w:tcPr>
            <w:tcW w:w="3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3,565,605</w:t>
            </w:r>
          </w:p>
        </w:tc>
      </w:tr>
      <w:tr>
        <w:trPr>
          <w:trHeight w:val="28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Total investments at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25,236,978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1220" w:hanging="321"/>
        <w:spacing w:after="0" w:line="250" w:lineRule="auto"/>
        <w:tabs>
          <w:tab w:leader="none" w:pos="121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In accordance with Subtopic 820-10, certain investments that were measured at NAV per share (or its equivalent) as a practical expedient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There were no Level 2 or Level 3 investments at December 31, 2025 and 2024.</w:t>
      </w:r>
    </w:p>
    <w:p>
      <w:pPr>
        <w:spacing w:after="0" w:line="233" w:lineRule="exact"/>
        <w:rPr>
          <w:sz w:val="20"/>
          <w:szCs w:val="20"/>
          <w:color w:val="auto"/>
        </w:rPr>
      </w:pPr>
    </w:p>
    <w:p>
      <w:pPr>
        <w:jc w:val="both"/>
        <w:ind w:left="1220"/>
        <w:spacing w:after="0" w:line="239" w:lineRule="auto"/>
        <w:rPr>
          <w:sz w:val="20"/>
          <w:szCs w:val="20"/>
          <w:color w:val="auto"/>
        </w:rPr>
      </w:pPr>
      <w:r>
        <w:rPr>
          <w:rFonts w:ascii="Times New Roman" w:cs="Times New Roman" w:eastAsia="Times New Roman" w:hAnsi="Times New Roman"/>
          <w:sz w:val="22"/>
          <w:szCs w:val="22"/>
          <w:color w:val="auto"/>
        </w:rPr>
        <w:t>The following table summarizes investments for which fair value is measured using NAV per share practical expedient as of December 31, 2025 and 2024. There are no participant redemption restrictions for these investments; the redemption notice period is applicable only to the Plan. As of December 31, 2025 and 2024, there were no unfunded commitments.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tbl>
      <w:tblPr>
        <w:tblLayout w:type="fixed"/>
        <w:tblInd w:w="0" w:type="dxa"/>
        <w:tblCellMar>
          <w:top w:w="0" w:type="dxa"/>
          <w:left w:w="0" w:type="dxa"/>
          <w:bottom w:w="0" w:type="dxa"/>
          <w:right w:w="0" w:type="dxa"/>
        </w:tblCellMar>
      </w:tblPr>
      <w:tr>
        <w:trPr>
          <w:trHeight w:val="247"/>
        </w:trPr>
        <w:tc>
          <w:tcPr>
            <w:tcW w:w="3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vMerge w:val="restart"/>
            <w:shd w:val="clear" w:color="auto" w:fill="CCEEFF"/>
          </w:tcPr>
          <w:p>
            <w:pPr>
              <w:jc w:val="center"/>
              <w:ind w:right="32"/>
              <w:spacing w:after="0"/>
              <w:rPr>
                <w:sz w:val="20"/>
                <w:szCs w:val="20"/>
                <w:color w:val="auto"/>
              </w:rPr>
            </w:pPr>
            <w:r>
              <w:rPr>
                <w:rFonts w:ascii="Times New Roman" w:cs="Times New Roman" w:eastAsia="Times New Roman" w:hAnsi="Times New Roman"/>
                <w:sz w:val="22"/>
                <w:szCs w:val="22"/>
                <w:color w:val="auto"/>
                <w:w w:val="97"/>
              </w:rPr>
              <w:t>December 31, 2025</w:t>
            </w:r>
          </w:p>
        </w:tc>
        <w:tc>
          <w:tcPr>
            <w:tcW w:w="200" w:type="dxa"/>
            <w:vAlign w:val="bottom"/>
            <w:shd w:val="clear" w:color="auto" w:fill="CCEEFF"/>
          </w:tcPr>
          <w:p>
            <w:pPr>
              <w:spacing w:after="0"/>
              <w:rPr>
                <w:sz w:val="21"/>
                <w:szCs w:val="21"/>
                <w:color w:val="auto"/>
              </w:rPr>
            </w:pPr>
          </w:p>
        </w:tc>
        <w:tc>
          <w:tcPr>
            <w:tcW w:w="2080" w:type="dxa"/>
            <w:vAlign w:val="bottom"/>
            <w:vMerge w:val="restart"/>
            <w:shd w:val="clear" w:color="auto" w:fill="CCEEFF"/>
          </w:tcPr>
          <w:p>
            <w:pPr>
              <w:jc w:val="center"/>
              <w:ind w:right="212"/>
              <w:spacing w:after="0"/>
              <w:rPr>
                <w:sz w:val="20"/>
                <w:szCs w:val="20"/>
                <w:color w:val="auto"/>
              </w:rPr>
            </w:pPr>
            <w:r>
              <w:rPr>
                <w:rFonts w:ascii="Times New Roman" w:cs="Times New Roman" w:eastAsia="Times New Roman" w:hAnsi="Times New Roman"/>
                <w:sz w:val="22"/>
                <w:szCs w:val="22"/>
                <w:color w:val="auto"/>
                <w:w w:val="97"/>
              </w:rPr>
              <w:t>December 31, 2024</w:t>
            </w:r>
          </w:p>
        </w:tc>
        <w:tc>
          <w:tcPr>
            <w:tcW w:w="1480" w:type="dxa"/>
            <w:vAlign w:val="bottom"/>
            <w:shd w:val="clear" w:color="auto" w:fill="CCEEFF"/>
          </w:tcPr>
          <w:p>
            <w:pPr>
              <w:jc w:val="center"/>
              <w:spacing w:after="0" w:line="247" w:lineRule="exact"/>
              <w:rPr>
                <w:sz w:val="20"/>
                <w:szCs w:val="20"/>
                <w:color w:val="auto"/>
              </w:rPr>
            </w:pPr>
            <w:r>
              <w:rPr>
                <w:rFonts w:ascii="Times New Roman" w:cs="Times New Roman" w:eastAsia="Times New Roman" w:hAnsi="Times New Roman"/>
                <w:sz w:val="22"/>
                <w:szCs w:val="22"/>
                <w:color w:val="auto"/>
                <w:w w:val="98"/>
              </w:rPr>
              <w:t>Redemption</w:t>
            </w:r>
          </w:p>
        </w:tc>
        <w:tc>
          <w:tcPr>
            <w:tcW w:w="1720" w:type="dxa"/>
            <w:vAlign w:val="bottom"/>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22"/>
                <w:szCs w:val="22"/>
                <w:color w:val="auto"/>
                <w:w w:val="98"/>
              </w:rPr>
              <w:t>Redemption</w:t>
            </w:r>
          </w:p>
        </w:tc>
        <w:tc>
          <w:tcPr>
            <w:tcW w:w="0" w:type="dxa"/>
            <w:vAlign w:val="bottom"/>
          </w:tcPr>
          <w:p>
            <w:pPr>
              <w:spacing w:after="0"/>
              <w:rPr>
                <w:sz w:val="1"/>
                <w:szCs w:val="1"/>
                <w:color w:val="auto"/>
              </w:rPr>
            </w:pPr>
          </w:p>
        </w:tc>
      </w:tr>
      <w:tr>
        <w:trPr>
          <w:trHeight w:val="283"/>
        </w:trPr>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80" w:type="dxa"/>
            <w:vAlign w:val="bottom"/>
            <w:vMerge w:val="continue"/>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Frequency</w:t>
            </w:r>
          </w:p>
        </w:tc>
        <w:tc>
          <w:tcPr>
            <w:tcW w:w="172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color w:val="auto"/>
                <w:w w:val="94"/>
              </w:rPr>
              <w:t>Fair Value</w:t>
            </w:r>
          </w:p>
        </w:tc>
        <w:tc>
          <w:tcPr>
            <w:tcW w:w="200" w:type="dxa"/>
            <w:vAlign w:val="bottom"/>
          </w:tcPr>
          <w:p>
            <w:pPr>
              <w:spacing w:after="0"/>
              <w:rPr>
                <w:sz w:val="17"/>
                <w:szCs w:val="17"/>
                <w:color w:val="auto"/>
              </w:rPr>
            </w:pPr>
          </w:p>
        </w:tc>
        <w:tc>
          <w:tcPr>
            <w:tcW w:w="208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4"/>
              </w:rPr>
              <w:t>Fair Value</w:t>
            </w:r>
          </w:p>
        </w:tc>
        <w:tc>
          <w:tcPr>
            <w:tcW w:w="1480" w:type="dxa"/>
            <w:vAlign w:val="bottom"/>
          </w:tcPr>
          <w:p>
            <w:pPr>
              <w:jc w:val="center"/>
              <w:spacing w:after="0" w:line="203" w:lineRule="exact"/>
              <w:rPr>
                <w:sz w:val="20"/>
                <w:szCs w:val="20"/>
                <w:color w:val="auto"/>
              </w:rPr>
            </w:pPr>
            <w:r>
              <w:rPr>
                <w:rFonts w:ascii="Times New Roman" w:cs="Times New Roman" w:eastAsia="Times New Roman" w:hAnsi="Times New Roman"/>
                <w:sz w:val="22"/>
                <w:szCs w:val="22"/>
                <w:color w:val="auto"/>
                <w:w w:val="98"/>
              </w:rPr>
              <w:t>(if currently</w:t>
            </w:r>
          </w:p>
        </w:tc>
        <w:tc>
          <w:tcPr>
            <w:tcW w:w="172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color w:val="auto"/>
                <w:w w:val="97"/>
              </w:rPr>
              <w:t>Notice Period</w:t>
            </w:r>
          </w:p>
        </w:tc>
        <w:tc>
          <w:tcPr>
            <w:tcW w:w="0" w:type="dxa"/>
            <w:vAlign w:val="bottom"/>
          </w:tcPr>
          <w:p>
            <w:pPr>
              <w:spacing w:after="0"/>
              <w:rPr>
                <w:sz w:val="1"/>
                <w:szCs w:val="1"/>
                <w:color w:val="auto"/>
              </w:rPr>
            </w:pPr>
          </w:p>
        </w:tc>
      </w:tr>
      <w:tr>
        <w:trPr>
          <w:trHeight w:val="283"/>
        </w:trPr>
        <w:tc>
          <w:tcPr>
            <w:tcW w:w="3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eligible)</w:t>
            </w:r>
          </w:p>
        </w:tc>
        <w:tc>
          <w:tcPr>
            <w:tcW w:w="17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line="203" w:lineRule="exact"/>
              <w:rPr>
                <w:sz w:val="20"/>
                <w:szCs w:val="20"/>
                <w:color w:val="auto"/>
              </w:rPr>
            </w:pPr>
            <w:r>
              <w:rPr>
                <w:rFonts w:ascii="Times New Roman" w:cs="Times New Roman" w:eastAsia="Times New Roman" w:hAnsi="Times New Roman"/>
                <w:sz w:val="22"/>
                <w:szCs w:val="22"/>
                <w:color w:val="auto"/>
                <w:w w:val="99"/>
              </w:rPr>
              <w:t>Northern Trust Collective S&amp;P 500 Index</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4,390,613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3,565,605</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Daily</w:t>
            </w:r>
          </w:p>
        </w:tc>
        <w:tc>
          <w:tcPr>
            <w:tcW w:w="17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12 Months</w:t>
            </w:r>
          </w:p>
        </w:tc>
        <w:tc>
          <w:tcPr>
            <w:tcW w:w="0" w:type="dxa"/>
            <w:vAlign w:val="bottom"/>
          </w:tcPr>
          <w:p>
            <w:pPr>
              <w:spacing w:after="0"/>
              <w:rPr>
                <w:sz w:val="1"/>
                <w:szCs w:val="1"/>
                <w:color w:val="auto"/>
              </w:rPr>
            </w:pPr>
          </w:p>
        </w:tc>
      </w:tr>
      <w:tr>
        <w:trPr>
          <w:trHeight w:val="282"/>
        </w:trPr>
        <w:tc>
          <w:tcPr>
            <w:tcW w:w="3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Fund - DC</w:t>
            </w:r>
          </w:p>
        </w:tc>
        <w:tc>
          <w:tcPr>
            <w:tcW w:w="16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PARTY-IN-INTEREST</w:t>
      </w:r>
    </w:p>
    <w:p>
      <w:pPr>
        <w:spacing w:after="0" w:line="237" w:lineRule="exact"/>
        <w:rPr>
          <w:sz w:val="20"/>
          <w:szCs w:val="20"/>
          <w:color w:val="auto"/>
        </w:rPr>
      </w:pPr>
    </w:p>
    <w:p>
      <w:pPr>
        <w:ind w:left="1300" w:right="120"/>
        <w:spacing w:after="0" w:line="234" w:lineRule="auto"/>
        <w:rPr>
          <w:sz w:val="20"/>
          <w:szCs w:val="20"/>
          <w:color w:val="auto"/>
        </w:rPr>
      </w:pPr>
      <w:r>
        <w:rPr>
          <w:rFonts w:ascii="Times New Roman" w:cs="Times New Roman" w:eastAsia="Times New Roman" w:hAnsi="Times New Roman"/>
          <w:sz w:val="22"/>
          <w:szCs w:val="22"/>
          <w:color w:val="auto"/>
        </w:rPr>
        <w:t>The Plan may, at the direction of Plan participants, invest its assets in securities issued by Marriott International, Inc. The Plan through the Stock Fund held 12,906 and 13,341 shares of common stock of Marriott International, Inc. as of December 31, 2025, and 2024, respectively. There were dividends of $35,819 on Marriott International, Inc. common stock for the year ended December 31, 2025. The closing share price as listed on the Nasdaq stock exchange as of December 31, 2025 and 2024 was $310.24 and $278.94, respectively. During the 2025 plan year, the Plan acquired 1,486 shares of Marriott International, Inc. common stocks valued at $392,464 and sold 1,921 shares valued at $532,831.</w:t>
      </w:r>
    </w:p>
    <w:p>
      <w:pPr>
        <w:spacing w:after="0" w:line="204" w:lineRule="exact"/>
        <w:rPr>
          <w:sz w:val="20"/>
          <w:szCs w:val="20"/>
          <w:color w:val="auto"/>
        </w:rPr>
      </w:pPr>
    </w:p>
    <w:p>
      <w:pPr>
        <w:ind w:left="1300" w:right="60"/>
        <w:spacing w:after="0" w:line="258" w:lineRule="auto"/>
        <w:rPr>
          <w:sz w:val="20"/>
          <w:szCs w:val="20"/>
          <w:color w:val="auto"/>
        </w:rPr>
      </w:pPr>
      <w:r>
        <w:rPr>
          <w:rFonts w:ascii="Times New Roman" w:cs="Times New Roman" w:eastAsia="Times New Roman" w:hAnsi="Times New Roman"/>
          <w:sz w:val="22"/>
          <w:szCs w:val="22"/>
          <w:color w:val="auto"/>
        </w:rPr>
        <w:t>Certain Plan investments were invested in funds managed by Fidelity. Fidelity is the trustee at December 31, 2025 and 2024, as defined by the Plan, and therefore, these transactions qualify as party-in-interest transactions.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RISK AND UNCERTAINTIES</w:t>
      </w:r>
    </w:p>
    <w:p>
      <w:pPr>
        <w:spacing w:after="0" w:line="237" w:lineRule="exact"/>
        <w:rPr>
          <w:sz w:val="20"/>
          <w:szCs w:val="20"/>
          <w:color w:val="auto"/>
        </w:rPr>
      </w:pPr>
    </w:p>
    <w:p>
      <w:pPr>
        <w:jc w:val="both"/>
        <w:ind w:left="1220"/>
        <w:spacing w:after="0" w:line="238" w:lineRule="auto"/>
        <w:rPr>
          <w:sz w:val="20"/>
          <w:szCs w:val="20"/>
          <w:color w:val="auto"/>
        </w:rPr>
      </w:pPr>
      <w:r>
        <w:rPr>
          <w:rFonts w:ascii="Times New Roman" w:cs="Times New Roman" w:eastAsia="Times New Roman" w:hAnsi="Times New Roman"/>
          <w:sz w:val="22"/>
          <w:szCs w:val="22"/>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INCOME TAX STATUS</w:t>
      </w:r>
    </w:p>
    <w:p>
      <w:pPr>
        <w:spacing w:after="0" w:line="237" w:lineRule="exact"/>
        <w:rPr>
          <w:sz w:val="20"/>
          <w:szCs w:val="20"/>
          <w:color w:val="auto"/>
        </w:rPr>
      </w:pPr>
    </w:p>
    <w:p>
      <w:pPr>
        <w:jc w:val="both"/>
        <w:ind w:left="1220"/>
        <w:spacing w:after="0" w:line="238" w:lineRule="auto"/>
        <w:rPr>
          <w:sz w:val="20"/>
          <w:szCs w:val="20"/>
          <w:color w:val="auto"/>
        </w:rPr>
      </w:pPr>
      <w:r>
        <w:rPr>
          <w:rFonts w:ascii="Times New Roman" w:cs="Times New Roman" w:eastAsia="Times New Roman" w:hAnsi="Times New Roman"/>
          <w:sz w:val="22"/>
          <w:szCs w:val="22"/>
          <w:color w:val="auto"/>
        </w:rPr>
        <w:t>The Plan obtained its most recent determination letter on August 12, 2025, from the Treasury Department of the Commonwealth of Puerto Rico (the “Treasury Department”). The letter was received in response to amendments made to the Plan effective January 1, 2024 and October 1, 2024. The Treasury Department stated that the Plan is in compliance with the applicable requirements of the 1994 Code and that such amendments will not affect in any way the ruling issued on behalf of the aforesaid plan on May 11, 2004.</w:t>
      </w:r>
    </w:p>
    <w:p>
      <w:pPr>
        <w:spacing w:after="0" w:line="204" w:lineRule="exact"/>
        <w:rPr>
          <w:sz w:val="20"/>
          <w:szCs w:val="20"/>
          <w:color w:val="auto"/>
        </w:rPr>
      </w:pPr>
    </w:p>
    <w:p>
      <w:pPr>
        <w:ind w:left="1220"/>
        <w:spacing w:after="0" w:line="236" w:lineRule="auto"/>
        <w:rPr>
          <w:sz w:val="20"/>
          <w:szCs w:val="20"/>
          <w:color w:val="auto"/>
        </w:rPr>
      </w:pPr>
      <w:r>
        <w:rPr>
          <w:rFonts w:ascii="Times New Roman" w:cs="Times New Roman" w:eastAsia="Times New Roman" w:hAnsi="Times New Roman"/>
          <w:sz w:val="22"/>
          <w:szCs w:val="22"/>
          <w:color w:val="auto"/>
        </w:rPr>
        <w:t>U.S. GAAP requires plan management to evaluate tax positions taken by the Plan and recognize a tax liability if the Plan has taken an uncertain position that more likely than not would not be sustained upon examination by the IRS. The Plan is subject to routine audits by taxing jurisdictions for years since inception; however, there are currently no audits for any tax periods in progress.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 and 2024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INCOME TAX STATUS (CONTINUED)</w:t>
      </w:r>
    </w:p>
    <w:p>
      <w:pPr>
        <w:spacing w:after="0" w:line="237" w:lineRule="exact"/>
        <w:rPr>
          <w:sz w:val="20"/>
          <w:szCs w:val="20"/>
          <w:color w:val="auto"/>
        </w:rPr>
      </w:pPr>
    </w:p>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As of the date these financial statements were available to be issued, the nondiscrimination testing for the Plan year ended December 31, 2025 , had not yet been completed. The Plan Administrator is in the process of completing the required testing. If the Plan fails any of the applicable tests, corrective actions, such as the return of excess contributions or qualified nonelective contributions, may be required. The financial impact of any such corrective actions, is not considered to be significant.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SUBSEQUENT EVENTS</w:t>
      </w:r>
    </w:p>
    <w:p>
      <w:pPr>
        <w:spacing w:after="0" w:line="237" w:lineRule="exact"/>
        <w:rPr>
          <w:sz w:val="20"/>
          <w:szCs w:val="20"/>
          <w:color w:val="auto"/>
        </w:rPr>
      </w:pPr>
    </w:p>
    <w:p>
      <w:pPr>
        <w:jc w:val="both"/>
        <w:ind w:left="1220"/>
        <w:spacing w:after="0" w:line="238" w:lineRule="auto"/>
        <w:rPr>
          <w:sz w:val="20"/>
          <w:szCs w:val="20"/>
          <w:color w:val="auto"/>
        </w:rPr>
      </w:pPr>
      <w:r>
        <w:rPr>
          <w:rFonts w:ascii="Times New Roman" w:cs="Times New Roman" w:eastAsia="Times New Roman" w:hAnsi="Times New Roman"/>
          <w:sz w:val="22"/>
          <w:szCs w:val="22"/>
          <w:color w:val="auto"/>
        </w:rPr>
        <w:t>The Plan has evaluated events subsequent to December 31, 2025 and through June 16, 2026, the date the financial statements were issued, and determined that there were no events that require adjustments to these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Marriott International, Inc.</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5"/>
          <w:szCs w:val="25"/>
          <w:b w:val="1"/>
          <w:bCs w:val="1"/>
          <w:color w:val="auto"/>
        </w:rPr>
        <w:t>Puerto Rico Retirement Plan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EIN: 74-3052234; Plan No.: 001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H, Line 4i - Schedule of Assets (Held at End of Year)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2025</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Borders>
              <w:top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(b) Identity of Issuer, Borrower, Lessor, or</w:t>
            </w:r>
          </w:p>
        </w:tc>
        <w:tc>
          <w:tcPr>
            <w:tcW w:w="1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 Description of Investment Including Maturity</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(d) Cost**</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 Current Value</w:t>
            </w:r>
          </w:p>
        </w:tc>
      </w:tr>
      <w:tr>
        <w:trPr>
          <w:trHeight w:val="180"/>
        </w:trPr>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60" w:type="dxa"/>
            <w:vAlign w:val="bottom"/>
            <w:gridSpan w:val="2"/>
            <w:shd w:val="clear" w:color="auto" w:fill="CCEEFF"/>
          </w:tcPr>
          <w:p>
            <w:pPr>
              <w:ind w:left="1240"/>
              <w:spacing w:after="0" w:line="180" w:lineRule="exact"/>
              <w:rPr>
                <w:sz w:val="20"/>
                <w:szCs w:val="20"/>
                <w:color w:val="auto"/>
              </w:rPr>
            </w:pPr>
            <w:r>
              <w:rPr>
                <w:rFonts w:ascii="Times New Roman" w:cs="Times New Roman" w:eastAsia="Times New Roman" w:hAnsi="Times New Roman"/>
                <w:sz w:val="18"/>
                <w:szCs w:val="18"/>
                <w:b w:val="1"/>
                <w:bCs w:val="1"/>
                <w:color w:val="auto"/>
              </w:rPr>
              <w:t>Similar Party</w:t>
            </w:r>
          </w:p>
        </w:tc>
        <w:tc>
          <w:tcPr>
            <w:tcW w:w="39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Date, Rate of Interest, Collateral, Par, or Maturity</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38"/>
        </w:trPr>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68"/>
        </w:trPr>
        <w:tc>
          <w:tcPr>
            <w:tcW w:w="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5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Separately Managed Account</w:t>
            </w:r>
          </w:p>
        </w:tc>
        <w:tc>
          <w:tcPr>
            <w:tcW w:w="3980" w:type="dxa"/>
            <w:vAlign w:val="bottom"/>
          </w:tcPr>
          <w:p>
            <w:pPr>
              <w:spacing w:after="0"/>
              <w:rPr>
                <w:sz w:val="19"/>
                <w:szCs w:val="19"/>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4,057,218</w:t>
            </w:r>
          </w:p>
        </w:tc>
      </w:tr>
      <w:tr>
        <w:trPr>
          <w:trHeight w:val="223"/>
        </w:trPr>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Marriott International, Inc.</w:t>
            </w:r>
          </w:p>
        </w:tc>
        <w:tc>
          <w:tcPr>
            <w:tcW w:w="120" w:type="dxa"/>
            <w:vAlign w:val="bottom"/>
            <w:tcBorders>
              <w:top w:val="single" w:sz="8" w:color="CCEEFF"/>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Marriott International, Inc. Common Stock Fund</w:t>
            </w:r>
          </w:p>
        </w:tc>
        <w:tc>
          <w:tcPr>
            <w:tcW w:w="1260" w:type="dxa"/>
            <w:vAlign w:val="bottom"/>
            <w:tcBorders>
              <w:top w:val="single" w:sz="8" w:color="CCEEFF"/>
            </w:tcBorders>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4,057,218</w:t>
            </w:r>
          </w:p>
        </w:tc>
      </w:tr>
      <w:tr>
        <w:trPr>
          <w:trHeight w:val="54"/>
        </w:trPr>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3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21,349,186</w:t>
            </w:r>
          </w:p>
        </w:tc>
      </w:tr>
      <w:tr>
        <w:trPr>
          <w:trHeight w:val="223"/>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120" w:type="dxa"/>
            <w:vAlign w:val="bottom"/>
          </w:tcPr>
          <w:p>
            <w:pPr>
              <w:spacing w:after="0"/>
              <w:rPr>
                <w:sz w:val="19"/>
                <w:szCs w:val="19"/>
                <w:color w:val="auto"/>
              </w:rPr>
            </w:pPr>
          </w:p>
        </w:tc>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Vanguard Treasury Money Market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3,769,495</w:t>
            </w: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138,860</w:t>
            </w: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876,488</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1,202,627</w:t>
            </w: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1,223,447</w:t>
            </w:r>
          </w:p>
        </w:tc>
      </w:tr>
      <w:tr>
        <w:trPr>
          <w:trHeight w:val="229"/>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1,219,696</w:t>
            </w:r>
          </w:p>
        </w:tc>
      </w:tr>
      <w:tr>
        <w:trPr>
          <w:trHeight w:val="230"/>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930,444</w:t>
            </w:r>
          </w:p>
        </w:tc>
      </w:tr>
      <w:tr>
        <w:trPr>
          <w:trHeight w:val="229"/>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961,944</w:t>
            </w:r>
          </w:p>
        </w:tc>
      </w:tr>
      <w:tr>
        <w:trPr>
          <w:trHeight w:val="230"/>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554,181</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209,471</w:t>
            </w: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178,934</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Fund</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r>
      <w:tr>
        <w:trPr>
          <w:trHeight w:val="230"/>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Dodge &amp; Cox</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Dodge &amp; Cox Income Fund Class X</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1,416,662</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Dodge &amp; Cox</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Dodge &amp; Cox Stock Fund Class X</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2,139,664</w:t>
            </w:r>
          </w:p>
        </w:tc>
      </w:tr>
      <w:tr>
        <w:trPr>
          <w:trHeight w:val="229"/>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 Rowe Price</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 Rowe Price Mid-Cap Growth Fund</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1,504,539</w:t>
            </w:r>
          </w:p>
        </w:tc>
      </w:tr>
      <w:tr>
        <w:trPr>
          <w:trHeight w:val="176"/>
        </w:trPr>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Funds EuroPacific Growth Fund® Class R-</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Funds EuroPacific</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1,185,034</w:t>
            </w:r>
          </w:p>
        </w:tc>
      </w:tr>
      <w:tr>
        <w:trPr>
          <w:trHeight w:val="230"/>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Beacon</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Beacon Small Cap Value Fund R6 Class</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906,161</w:t>
            </w:r>
          </w:p>
        </w:tc>
      </w:tr>
      <w:tr>
        <w:trPr>
          <w:trHeight w:val="263"/>
        </w:trPr>
        <w:tc>
          <w:tcPr>
            <w:tcW w:w="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Fidelity</w:t>
            </w: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Fidelity Blue Chip Growth K6 Fund</w:t>
            </w:r>
          </w:p>
        </w:tc>
        <w:tc>
          <w:tcPr>
            <w:tcW w:w="1260" w:type="dxa"/>
            <w:vAlign w:val="bottom"/>
            <w:tcBorders>
              <w:bottom w:val="single" w:sz="8" w:color="CCEEFF"/>
            </w:tcBorders>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2,914,289</w:t>
            </w:r>
          </w:p>
        </w:tc>
      </w:tr>
      <w:tr>
        <w:trPr>
          <w:trHeight w:val="230"/>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 Collective Trust</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4,390,613</w:t>
            </w:r>
          </w:p>
        </w:tc>
      </w:tr>
      <w:tr>
        <w:trPr>
          <w:trHeight w:val="169"/>
        </w:trPr>
        <w:tc>
          <w:tcPr>
            <w:tcW w:w="3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Northern Trust Collective S&amp;P 500 Index Fund - DC -</w:t>
            </w: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Northern Trust Investments, Inc.</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Non-Lending</w:t>
            </w:r>
          </w:p>
        </w:tc>
        <w:tc>
          <w:tcPr>
            <w:tcW w:w="12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4,390,613</w:t>
            </w:r>
          </w:p>
        </w:tc>
      </w:tr>
      <w:tr>
        <w:trPr>
          <w:trHeight w:val="88"/>
        </w:trPr>
        <w:tc>
          <w:tcPr>
            <w:tcW w:w="3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5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9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1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560" w:type="dxa"/>
            <w:vAlign w:val="bottom"/>
            <w:tcBorders>
              <w:bottom w:val="single" w:sz="8" w:color="CCEEFF"/>
            </w:tcBorders>
          </w:tcPr>
          <w:p>
            <w:pPr>
              <w:spacing w:after="0"/>
              <w:rPr>
                <w:sz w:val="7"/>
                <w:szCs w:val="7"/>
                <w:color w:val="auto"/>
              </w:rPr>
            </w:pPr>
          </w:p>
        </w:tc>
      </w:tr>
      <w:tr>
        <w:trPr>
          <w:trHeight w:val="229"/>
        </w:trPr>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29,797,017</w:t>
            </w:r>
          </w:p>
        </w:tc>
      </w:tr>
      <w:tr>
        <w:trPr>
          <w:trHeight w:val="21"/>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9400" w:firstLine="62"/>
        <w:spacing w:after="0" w:line="209" w:lineRule="auto"/>
        <w:tabs>
          <w:tab w:leader="none" w:pos="136"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Party-in-interest to the Plan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Cost information not required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39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MARRIOTT INTERNATIONAL, INC. PUERTO RICO</w:t>
      </w:r>
    </w:p>
    <w:p>
      <w:pPr>
        <w:ind w:left="6040"/>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June 16, 2026</w:t>
            </w:r>
          </w:p>
        </w:tc>
        <w:tc>
          <w:tcPr>
            <w:tcW w:w="2740" w:type="dxa"/>
            <w:vAlign w:val="bottom"/>
          </w:tcPr>
          <w:p>
            <w:pPr>
              <w:spacing w:after="0"/>
              <w:rPr>
                <w:sz w:val="20"/>
                <w:szCs w:val="20"/>
                <w:color w:val="auto"/>
              </w:rPr>
            </w:pP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Thaddeus Shepherd</w:t>
            </w:r>
          </w:p>
        </w:tc>
      </w:tr>
      <w:tr>
        <w:trPr>
          <w:trHeight w:val="228"/>
        </w:trPr>
        <w:tc>
          <w:tcPr>
            <w:tcW w:w="3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846"/>
        </w:trPr>
        <w:tc>
          <w:tcPr>
            <w:tcW w:w="3260" w:type="dxa"/>
            <w:vAlign w:val="bottom"/>
          </w:tcPr>
          <w:p>
            <w:pPr>
              <w:spacing w:after="0"/>
              <w:rPr>
                <w:sz w:val="24"/>
                <w:szCs w:val="24"/>
                <w:color w:val="auto"/>
              </w:rPr>
            </w:pPr>
          </w:p>
        </w:tc>
        <w:tc>
          <w:tcPr>
            <w:tcW w:w="2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425"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Marriott International, Inc. on Form S-8 (No. 333-249913 and 333-284982) of our report dated June 24, 2025, appearing in this Annual Report on Form 11-K of Marriott International, Inc. Puerto Rico Retirement Plan for the year ended December 31,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Maryland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2026-06-16T16:40:37Z</dcterms:created>
  <dcterms:modified xsi:type="dcterms:W3CDTF">2026-06-16T16:40:37Z</dcterms:modified>
</cp:coreProperties>
</file>