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MUNOZ GEORGE</w:t>
              </w:r>
            </w:hyperlink>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MARRIOTT INTERNATIONAL INC</w:t>
              </w:r>
            </w:hyperlink>
          </w:p>
        </w:tc>
        <w:tc>
          <w:tcPr>
            <w:tcW w:w="18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/MD/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MAR</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8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220" w:type="dxa"/>
            <w:vAlign w:val="bottom"/>
            <w:tcBorders>
              <w:bottom w:val="single" w:sz="8" w:color="9A9A9A"/>
            </w:tcBorders>
          </w:tcPr>
          <w:p>
            <w:pPr>
              <w:spacing w:after="0" w:line="20" w:lineRule="exact"/>
              <w:rPr>
                <w:sz w:val="1"/>
                <w:szCs w:val="1"/>
                <w:color w:val="auto"/>
              </w:rPr>
            </w:pPr>
          </w:p>
        </w:tc>
        <w:tc>
          <w:tcPr>
            <w:tcW w:w="280" w:type="dxa"/>
            <w:vAlign w:val="bottom"/>
            <w:tcBorders>
              <w:bottom w:val="single" w:sz="8" w:color="9A9A9A"/>
            </w:tcBorders>
          </w:tcPr>
          <w:p>
            <w:pPr>
              <w:spacing w:after="0" w:line="20" w:lineRule="exact"/>
              <w:rPr>
                <w:sz w:val="1"/>
                <w:szCs w:val="1"/>
                <w:color w:val="auto"/>
              </w:rPr>
            </w:pPr>
          </w:p>
        </w:tc>
        <w:tc>
          <w:tcPr>
            <w:tcW w:w="80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7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line="155" w:lineRule="exact"/>
              <w:rPr>
                <w:sz w:val="20"/>
                <w:szCs w:val="20"/>
                <w:color w:val="auto"/>
              </w:rPr>
            </w:pPr>
            <w:r>
              <w:rPr>
                <w:rFonts w:ascii="Arial" w:cs="Arial" w:eastAsia="Arial" w:hAnsi="Arial"/>
                <w:sz w:val="14"/>
                <w:szCs w:val="14"/>
                <w:color w:val="auto"/>
              </w:rPr>
              <w:t>(Last)</w:t>
            </w:r>
          </w:p>
        </w:tc>
        <w:tc>
          <w:tcPr>
            <w:tcW w:w="600" w:type="dxa"/>
            <w:vAlign w:val="bottom"/>
          </w:tcPr>
          <w:p>
            <w:pPr>
              <w:spacing w:after="0"/>
              <w:rPr>
                <w:sz w:val="13"/>
                <w:szCs w:val="13"/>
                <w:color w:val="auto"/>
              </w:rPr>
            </w:pPr>
          </w:p>
        </w:tc>
        <w:tc>
          <w:tcPr>
            <w:tcW w:w="1300" w:type="dxa"/>
            <w:vAlign w:val="bottom"/>
            <w:gridSpan w:val="3"/>
          </w:tcPr>
          <w:p>
            <w:pPr>
              <w:ind w:left="40"/>
              <w:spacing w:after="0" w:line="155" w:lineRule="exact"/>
              <w:rPr>
                <w:sz w:val="20"/>
                <w:szCs w:val="20"/>
                <w:color w:val="auto"/>
              </w:rPr>
            </w:pPr>
            <w:r>
              <w:rPr>
                <w:rFonts w:ascii="Arial" w:cs="Arial" w:eastAsia="Arial" w:hAnsi="Arial"/>
                <w:sz w:val="14"/>
                <w:szCs w:val="14"/>
                <w:color w:val="auto"/>
              </w:rPr>
              <w:t>(First)</w:t>
            </w:r>
          </w:p>
        </w:tc>
        <w:tc>
          <w:tcPr>
            <w:tcW w:w="560" w:type="dxa"/>
            <w:vAlign w:val="bottom"/>
          </w:tcPr>
          <w:p>
            <w:pPr>
              <w:spacing w:after="0" w:line="155" w:lineRule="exact"/>
              <w:rPr>
                <w:sz w:val="20"/>
                <w:szCs w:val="20"/>
                <w:color w:val="auto"/>
              </w:rPr>
            </w:pPr>
            <w:r>
              <w:rPr>
                <w:rFonts w:ascii="Arial" w:cs="Arial" w:eastAsia="Arial" w:hAnsi="Arial"/>
                <w:sz w:val="14"/>
                <w:szCs w:val="14"/>
                <w:color w:val="auto"/>
              </w:rPr>
              <w:t>(Middle)</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980" w:type="dxa"/>
            <w:vAlign w:val="bottom"/>
            <w:tcBorders>
              <w:top w:val="single" w:sz="8" w:color="2C2C2C"/>
            </w:tcBorders>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340" w:type="dxa"/>
            <w:vAlign w:val="bottom"/>
            <w:tcBorders>
              <w:top w:val="single" w:sz="8" w:color="2C2C2C"/>
            </w:tcBorders>
          </w:tcPr>
          <w:p>
            <w:pPr>
              <w:spacing w:after="0"/>
              <w:rPr>
                <w:sz w:val="13"/>
                <w:szCs w:val="13"/>
                <w:color w:val="auto"/>
              </w:rPr>
            </w:pPr>
          </w:p>
        </w:tc>
        <w:tc>
          <w:tcPr>
            <w:tcW w:w="400" w:type="dxa"/>
            <w:vAlign w:val="bottom"/>
            <w:tcBorders>
              <w:top w:val="single" w:sz="8" w:color="2C2C2C"/>
            </w:tcBorders>
          </w:tcPr>
          <w:p>
            <w:pPr>
              <w:spacing w:after="0"/>
              <w:rPr>
                <w:sz w:val="13"/>
                <w:szCs w:val="13"/>
                <w:color w:val="auto"/>
              </w:rPr>
            </w:pPr>
          </w:p>
        </w:tc>
        <w:tc>
          <w:tcPr>
            <w:tcW w:w="180" w:type="dxa"/>
            <w:vAlign w:val="bottom"/>
            <w:tcBorders>
              <w:top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ind w:left="140"/>
              <w:spacing w:after="0" w:line="115" w:lineRule="exact"/>
              <w:rPr>
                <w:sz w:val="20"/>
                <w:szCs w:val="20"/>
                <w:color w:val="auto"/>
              </w:rPr>
            </w:pPr>
            <w:r>
              <w:rPr>
                <w:rFonts w:ascii="Arial" w:cs="Arial" w:eastAsia="Arial" w:hAnsi="Arial"/>
                <w:sz w:val="12"/>
                <w:szCs w:val="12"/>
                <w:color w:val="auto"/>
              </w:rPr>
              <w:t>below)</w:t>
            </w:r>
          </w:p>
        </w:tc>
        <w:tc>
          <w:tcPr>
            <w:tcW w:w="960" w:type="dxa"/>
            <w:vAlign w:val="bottom"/>
          </w:tcPr>
          <w:p>
            <w:pPr>
              <w:ind w:left="540"/>
              <w:spacing w:after="0" w:line="115" w:lineRule="exact"/>
              <w:rPr>
                <w:sz w:val="20"/>
                <w:szCs w:val="20"/>
                <w:color w:val="auto"/>
              </w:rPr>
            </w:pPr>
            <w:r>
              <w:rPr>
                <w:rFonts w:ascii="Arial" w:cs="Arial" w:eastAsia="Arial" w:hAnsi="Arial"/>
                <w:sz w:val="12"/>
                <w:szCs w:val="12"/>
                <w:color w:val="auto"/>
              </w:rPr>
              <w:t>below)</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80" w:type="dxa"/>
            <w:vAlign w:val="bottom"/>
            <w:gridSpan w:val="6"/>
            <w:vMerge w:val="continue"/>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0000FF"/>
              </w:rPr>
              <w:t>10400 FERNWOOD ROAD</w:t>
            </w: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01/10/2006</w:t>
            </w: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540" w:type="dxa"/>
            <w:vAlign w:val="bottom"/>
            <w:tcBorders>
              <w:bottom w:val="single" w:sz="8" w:color="2C2C2C"/>
            </w:tcBorders>
            <w:gridSpan w:val="4"/>
          </w:tcPr>
          <w:p>
            <w:pPr>
              <w:spacing w:after="0"/>
              <w:rPr>
                <w:sz w:val="9"/>
                <w:szCs w:val="9"/>
                <w:color w:val="auto"/>
              </w:rPr>
            </w:pPr>
          </w:p>
        </w:tc>
        <w:tc>
          <w:tcPr>
            <w:tcW w:w="1780" w:type="dxa"/>
            <w:vAlign w:val="bottom"/>
            <w:tcBorders>
              <w:bottom w:val="single" w:sz="8" w:color="2C2C2C"/>
            </w:tcBorders>
            <w:gridSpan w:val="3"/>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gridSpan w:val="5"/>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vMerge w:val="restart"/>
          </w:tcPr>
          <w:p>
            <w:pPr>
              <w:spacing w:after="0"/>
              <w:rPr>
                <w:sz w:val="7"/>
                <w:szCs w:val="7"/>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BETHESDA</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MD</w:t>
            </w:r>
          </w:p>
        </w:tc>
        <w:tc>
          <w:tcPr>
            <w:tcW w:w="560" w:type="dxa"/>
            <w:vAlign w:val="bottom"/>
          </w:tcPr>
          <w:p>
            <w:pPr>
              <w:spacing w:after="0"/>
              <w:rPr>
                <w:sz w:val="20"/>
                <w:szCs w:val="20"/>
                <w:color w:val="auto"/>
              </w:rPr>
            </w:pPr>
            <w:r>
              <w:rPr>
                <w:rFonts w:ascii="Arial" w:cs="Arial" w:eastAsia="Arial" w:hAnsi="Arial"/>
                <w:sz w:val="18"/>
                <w:szCs w:val="18"/>
                <w:color w:val="0000FF"/>
              </w:rPr>
              <w:t>20817</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960" w:type="dxa"/>
            <w:vAlign w:val="bottom"/>
            <w:gridSpan w:val="5"/>
          </w:tcPr>
          <w:p>
            <w:pPr>
              <w:ind w:left="16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5"/>
                <w:szCs w:val="15"/>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(State)</w:t>
            </w:r>
          </w:p>
        </w:tc>
        <w:tc>
          <w:tcPr>
            <w:tcW w:w="5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780" w:type="dxa"/>
            <w:vAlign w:val="bottom"/>
            <w:tcBorders>
              <w:bottom w:val="single" w:sz="8" w:color="2C2C2C"/>
            </w:tcBorders>
            <w:gridSpan w:val="3"/>
          </w:tcPr>
          <w:p>
            <w:pPr>
              <w:spacing w:after="0"/>
              <w:rPr>
                <w:sz w:val="11"/>
                <w:szCs w:val="11"/>
                <w:color w:val="auto"/>
              </w:rPr>
            </w:pPr>
          </w:p>
        </w:tc>
        <w:tc>
          <w:tcPr>
            <w:tcW w:w="58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840" w:type="dxa"/>
            <w:vAlign w:val="bottom"/>
            <w:tcBorders>
              <w:top w:val="single" w:sz="8" w:color="2C2C2C"/>
            </w:tcBorders>
            <w:gridSpan w:val="19"/>
          </w:tcPr>
          <w:p>
            <w:pPr>
              <w:jc w:val="center"/>
              <w:ind w:right="74"/>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320" w:type="dxa"/>
            <w:vAlign w:val="bottom"/>
            <w:gridSpan w:val="5"/>
          </w:tcPr>
          <w:p>
            <w:pPr>
              <w:ind w:left="2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5"/>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jc w:val="right"/>
              <w:ind w:right="23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Arial" w:cs="Arial" w:eastAsia="Arial" w:hAnsi="Arial"/>
                <w:sz w:val="18"/>
                <w:szCs w:val="18"/>
                <w:color w:val="0000FF"/>
                <w:w w:val="99"/>
              </w:rPr>
              <w:t>Class A Common Stock-Dir. Def. Stock</w:t>
            </w:r>
          </w:p>
        </w:tc>
        <w:tc>
          <w:tcPr>
            <w:tcW w:w="1320" w:type="dxa"/>
            <w:vAlign w:val="bottom"/>
            <w:gridSpan w:val="5"/>
            <w:vMerge w:val="restart"/>
          </w:tcPr>
          <w:p>
            <w:pPr>
              <w:jc w:val="right"/>
              <w:ind w:right="146"/>
              <w:spacing w:after="0"/>
              <w:rPr>
                <w:sz w:val="20"/>
                <w:szCs w:val="20"/>
                <w:color w:val="auto"/>
              </w:rPr>
            </w:pPr>
            <w:r>
              <w:rPr>
                <w:rFonts w:ascii="Arial" w:cs="Arial" w:eastAsia="Arial" w:hAnsi="Arial"/>
                <w:sz w:val="18"/>
                <w:szCs w:val="18"/>
                <w:color w:val="0000FF"/>
              </w:rPr>
              <w:t>01/10/2006</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680" w:type="dxa"/>
            <w:vAlign w:val="bottom"/>
            <w:vMerge w:val="restart"/>
          </w:tcPr>
          <w:p>
            <w:pPr>
              <w:ind w:left="340"/>
              <w:spacing w:after="0"/>
              <w:rPr>
                <w:sz w:val="20"/>
                <w:szCs w:val="20"/>
                <w:color w:val="auto"/>
              </w:rPr>
            </w:pPr>
            <w:r>
              <w:rPr>
                <w:rFonts w:ascii="Arial" w:cs="Arial" w:eastAsia="Arial" w:hAnsi="Arial"/>
                <w:sz w:val="18"/>
                <w:szCs w:val="18"/>
                <w:color w:val="0000FF"/>
              </w:rPr>
              <w:t>204</w:t>
            </w:r>
          </w:p>
        </w:tc>
        <w:tc>
          <w:tcPr>
            <w:tcW w:w="340" w:type="dxa"/>
            <w:vAlign w:val="bottom"/>
          </w:tcPr>
          <w:p>
            <w:pPr>
              <w:spacing w:after="0"/>
              <w:rPr>
                <w:sz w:val="22"/>
                <w:szCs w:val="22"/>
                <w:color w:val="auto"/>
              </w:rPr>
            </w:pPr>
          </w:p>
        </w:tc>
        <w:tc>
          <w:tcPr>
            <w:tcW w:w="400" w:type="dxa"/>
            <w:vAlign w:val="bottom"/>
            <w:vMerge w:val="restart"/>
          </w:tcPr>
          <w:p>
            <w:pPr>
              <w:ind w:left="60"/>
              <w:spacing w:after="0"/>
              <w:rPr>
                <w:sz w:val="20"/>
                <w:szCs w:val="20"/>
                <w:color w:val="auto"/>
              </w:rPr>
            </w:pPr>
            <w:r>
              <w:rPr>
                <w:rFonts w:ascii="Arial" w:cs="Arial" w:eastAsia="Arial" w:hAnsi="Arial"/>
                <w:sz w:val="18"/>
                <w:szCs w:val="18"/>
                <w:color w:val="0000FF"/>
              </w:rPr>
              <w:t>A</w:t>
            </w:r>
          </w:p>
        </w:tc>
        <w:tc>
          <w:tcPr>
            <w:tcW w:w="660" w:type="dxa"/>
            <w:vAlign w:val="bottom"/>
            <w:gridSpan w:val="3"/>
            <w:vMerge w:val="restart"/>
          </w:tcPr>
          <w:p>
            <w:pPr>
              <w:jc w:val="right"/>
              <w:ind w:right="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68.83</w:t>
            </w:r>
          </w:p>
        </w:tc>
        <w:tc>
          <w:tcPr>
            <w:tcW w:w="360" w:type="dxa"/>
            <w:vAlign w:val="bottom"/>
          </w:tcPr>
          <w:p>
            <w:pPr>
              <w:spacing w:after="0"/>
              <w:rPr>
                <w:sz w:val="22"/>
                <w:szCs w:val="22"/>
                <w:color w:val="auto"/>
              </w:rPr>
            </w:pPr>
          </w:p>
        </w:tc>
        <w:tc>
          <w:tcPr>
            <w:tcW w:w="880" w:type="dxa"/>
            <w:vAlign w:val="bottom"/>
            <w:vMerge w:val="restart"/>
          </w:tcPr>
          <w:p>
            <w:pPr>
              <w:ind w:left="40"/>
              <w:spacing w:after="0"/>
              <w:rPr>
                <w:sz w:val="20"/>
                <w:szCs w:val="20"/>
                <w:color w:val="auto"/>
              </w:rPr>
            </w:pPr>
            <w:r>
              <w:rPr>
                <w:rFonts w:ascii="Arial" w:cs="Arial" w:eastAsia="Arial" w:hAnsi="Arial"/>
                <w:sz w:val="18"/>
                <w:szCs w:val="18"/>
                <w:color w:val="0000FF"/>
              </w:rPr>
              <w:t>4,793</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Comp Plan-1</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32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4"/>
          </w:tcPr>
          <w:p>
            <w:pPr>
              <w:spacing w:after="0"/>
              <w:rPr>
                <w:sz w:val="5"/>
                <w:szCs w:val="5"/>
                <w:color w:val="auto"/>
              </w:rPr>
            </w:pPr>
          </w:p>
        </w:tc>
        <w:tc>
          <w:tcPr>
            <w:tcW w:w="1360" w:type="dxa"/>
            <w:vAlign w:val="bottom"/>
            <w:tcBorders>
              <w:bottom w:val="single" w:sz="8" w:color="2C2C2C"/>
            </w:tcBorders>
            <w:gridSpan w:val="2"/>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Arial" w:cs="Arial" w:eastAsia="Arial" w:hAnsi="Arial"/>
                <w:sz w:val="18"/>
                <w:szCs w:val="18"/>
                <w:color w:val="0000FF"/>
                <w:w w:val="99"/>
              </w:rPr>
              <w:t>Class A Common Stock-Dir. Def. Stock</w:t>
            </w:r>
          </w:p>
        </w:tc>
        <w:tc>
          <w:tcPr>
            <w:tcW w:w="1320" w:type="dxa"/>
            <w:vAlign w:val="bottom"/>
            <w:gridSpan w:val="5"/>
            <w:vMerge w:val="restart"/>
          </w:tcPr>
          <w:p>
            <w:pPr>
              <w:jc w:val="right"/>
              <w:ind w:right="146"/>
              <w:spacing w:after="0"/>
              <w:rPr>
                <w:sz w:val="20"/>
                <w:szCs w:val="20"/>
                <w:color w:val="auto"/>
              </w:rPr>
            </w:pPr>
            <w:r>
              <w:rPr>
                <w:rFonts w:ascii="Arial" w:cs="Arial" w:eastAsia="Arial" w:hAnsi="Arial"/>
                <w:sz w:val="18"/>
                <w:szCs w:val="18"/>
                <w:color w:val="0000FF"/>
              </w:rPr>
              <w:t>04/10/2006</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680" w:type="dxa"/>
            <w:vAlign w:val="bottom"/>
            <w:vMerge w:val="restart"/>
          </w:tcPr>
          <w:p>
            <w:pPr>
              <w:ind w:left="340"/>
              <w:spacing w:after="0"/>
              <w:rPr>
                <w:sz w:val="20"/>
                <w:szCs w:val="20"/>
                <w:color w:val="auto"/>
              </w:rPr>
            </w:pPr>
            <w:r>
              <w:rPr>
                <w:rFonts w:ascii="Arial" w:cs="Arial" w:eastAsia="Arial" w:hAnsi="Arial"/>
                <w:sz w:val="18"/>
                <w:szCs w:val="18"/>
                <w:color w:val="0000FF"/>
              </w:rPr>
              <w:t>196</w:t>
            </w:r>
          </w:p>
        </w:tc>
        <w:tc>
          <w:tcPr>
            <w:tcW w:w="340" w:type="dxa"/>
            <w:vAlign w:val="bottom"/>
          </w:tcPr>
          <w:p>
            <w:pPr>
              <w:spacing w:after="0"/>
              <w:rPr>
                <w:sz w:val="22"/>
                <w:szCs w:val="22"/>
                <w:color w:val="auto"/>
              </w:rPr>
            </w:pPr>
          </w:p>
        </w:tc>
        <w:tc>
          <w:tcPr>
            <w:tcW w:w="400" w:type="dxa"/>
            <w:vAlign w:val="bottom"/>
            <w:vMerge w:val="restart"/>
          </w:tcPr>
          <w:p>
            <w:pPr>
              <w:ind w:left="60"/>
              <w:spacing w:after="0"/>
              <w:rPr>
                <w:sz w:val="20"/>
                <w:szCs w:val="20"/>
                <w:color w:val="auto"/>
              </w:rPr>
            </w:pPr>
            <w:r>
              <w:rPr>
                <w:rFonts w:ascii="Arial" w:cs="Arial" w:eastAsia="Arial" w:hAnsi="Arial"/>
                <w:sz w:val="18"/>
                <w:szCs w:val="18"/>
                <w:color w:val="0000FF"/>
              </w:rPr>
              <w:t>A</w:t>
            </w:r>
          </w:p>
        </w:tc>
        <w:tc>
          <w:tcPr>
            <w:tcW w:w="660" w:type="dxa"/>
            <w:vAlign w:val="bottom"/>
            <w:gridSpan w:val="3"/>
            <w:vMerge w:val="restart"/>
          </w:tcPr>
          <w:p>
            <w:pPr>
              <w:jc w:val="right"/>
              <w:ind w:right="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71.68</w:t>
            </w:r>
          </w:p>
        </w:tc>
        <w:tc>
          <w:tcPr>
            <w:tcW w:w="360" w:type="dxa"/>
            <w:vAlign w:val="bottom"/>
          </w:tcPr>
          <w:p>
            <w:pPr>
              <w:spacing w:after="0"/>
              <w:rPr>
                <w:sz w:val="22"/>
                <w:szCs w:val="22"/>
                <w:color w:val="auto"/>
              </w:rPr>
            </w:pPr>
          </w:p>
        </w:tc>
        <w:tc>
          <w:tcPr>
            <w:tcW w:w="880" w:type="dxa"/>
            <w:vAlign w:val="bottom"/>
            <w:vMerge w:val="restart"/>
          </w:tcPr>
          <w:p>
            <w:pPr>
              <w:ind w:left="40"/>
              <w:spacing w:after="0"/>
              <w:rPr>
                <w:sz w:val="20"/>
                <w:szCs w:val="20"/>
                <w:color w:val="auto"/>
              </w:rPr>
            </w:pPr>
            <w:r>
              <w:rPr>
                <w:rFonts w:ascii="Arial" w:cs="Arial" w:eastAsia="Arial" w:hAnsi="Arial"/>
                <w:sz w:val="18"/>
                <w:szCs w:val="18"/>
                <w:color w:val="0000FF"/>
              </w:rPr>
              <w:t>4,989</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Comp Plan-1</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32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000" w:type="dxa"/>
            <w:vAlign w:val="bottom"/>
            <w:tcBorders>
              <w:bottom w:val="single" w:sz="8" w:color="2C2C2C"/>
            </w:tcBorders>
            <w:gridSpan w:val="3"/>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1780" w:type="dxa"/>
            <w:vAlign w:val="bottom"/>
            <w:tcBorders>
              <w:bottom w:val="single" w:sz="8" w:color="2C2C2C"/>
            </w:tcBorders>
            <w:gridSpan w:val="3"/>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840" w:type="dxa"/>
            <w:vAlign w:val="bottom"/>
            <w:tcBorders>
              <w:top w:val="single" w:sz="8" w:color="2C2C2C"/>
            </w:tcBorders>
            <w:gridSpan w:val="19"/>
          </w:tcPr>
          <w:p>
            <w:pPr>
              <w:jc w:val="center"/>
              <w:ind w:right="54"/>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40" w:type="dxa"/>
            <w:vAlign w:val="bottom"/>
            <w:gridSpan w:val="15"/>
          </w:tcPr>
          <w:p>
            <w:pPr>
              <w:jc w:val="center"/>
              <w:ind w:right="1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gridSpan w:val="4"/>
          </w:tcPr>
          <w:p>
            <w:pPr>
              <w:ind w:left="18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gridSpan w:val="4"/>
          </w:tcPr>
          <w:p>
            <w:pPr>
              <w:ind w:left="18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4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5"/>
          </w:tcPr>
          <w:p>
            <w:pPr>
              <w:ind w:left="60"/>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are represented by phantom stock units accrued under the Issuer's 2002 Comprehensive Stock and Cash Incentive Plan (the Plan) in payment of directors fees and are to be settled in Issuer's Class A Common Stock upon Reporting Person's retirement.</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By: Terri L. Turner, Attorney-</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06/08/2006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8129" TargetMode="External"/><Relationship Id="rId13" Type="http://schemas.openxmlformats.org/officeDocument/2006/relationships/hyperlink" Target="http://www.sec.gov/cgi-bin/browse-edgar?action=getcompany&amp;CIK=00010482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2019-12-16T19:19:22Z</dcterms:created>
  <dcterms:modified xsi:type="dcterms:W3CDTF">2019-12-16T19:19:22Z</dcterms:modified>
</cp:coreProperties>
</file>