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b/>
          <w:sz w:val="20"/>
        </w:rPr>
      </w:pPr>
      <w:bookmarkStart w:id="0" w:name="d158956d424b5.htm"/>
      <w:bookmarkStart w:id="1" w:name="ksd158956d424b5"/>
      <w:bookmarkEnd w:id="0"/>
      <w:bookmarkEnd w:id="1"/>
      <w:r>
        <w:rPr>
          <w:rFonts w:ascii="Times New Roman" w:hAnsi="Times New Roman"/>
          <w:b/>
          <w:sz w:val="20"/>
        </w:rPr>
        <w:t>Pursuant to Rule 424(b)(5)</w:t>
        <w:br/>
        <w:t xml:space="preserve">Registration Number 333-277039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sz w:val="20"/>
        </w:rPr>
      </w:pPr>
      <w:r>
        <w:rPr>
          <w:rFonts w:ascii="Times New Roman" w:hAnsi="Times New Roman"/>
          <w:sz w:val="20"/>
        </w:rPr>
        <w:t xml:space="preserve">(To prospectus dated February 13, 2024) </w:t>
      </w:r>
    </w:p>
    <w:p>
      <w:pPr>
        <w:pStyle w:val="TextBody"/>
        <w:bidi w:val="0"/>
        <w:spacing w:before="80" w:after="0"/>
        <w:jc w:val="center"/>
        <w:rPr>
          <w:rFonts w:ascii="Times New Roman" w:hAnsi="Times New Roman"/>
          <w:b/>
          <w:sz w:val="36"/>
        </w:rPr>
      </w:pPr>
      <w:r>
        <w:rPr>
          <w:rFonts w:ascii="Times New Roman" w:hAnsi="Times New Roman"/>
          <w:b/>
          <w:sz w:val="36"/>
        </w:rPr>
        <w:t xml:space="preserve">$1,250,000,000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3160" cy="7727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3160" cy="772795"/>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48"/>
        </w:rPr>
      </w:pPr>
      <w:r>
        <w:rPr>
          <w:rFonts w:ascii="Times New Roman" w:hAnsi="Times New Roman"/>
          <w:b/>
          <w:sz w:val="48"/>
        </w:rPr>
        <w:t xml:space="preserve">MARRIOTT INTERNATIONAL, INC. </w:t>
      </w:r>
    </w:p>
    <w:p>
      <w:pPr>
        <w:pStyle w:val="TextBody"/>
        <w:bidi w:val="0"/>
        <w:spacing w:before="120" w:after="0"/>
        <w:jc w:val="center"/>
        <w:rPr>
          <w:rFonts w:ascii="Times New Roman" w:hAnsi="Times New Roman"/>
          <w:b/>
          <w:sz w:val="28"/>
        </w:rPr>
      </w:pPr>
      <w:r>
        <w:rPr>
          <w:rFonts w:ascii="Times New Roman" w:hAnsi="Times New Roman"/>
          <w:b/>
          <w:sz w:val="28"/>
        </w:rPr>
        <w:t xml:space="preserve">$250,000,000 4.875% Series NN Notes due 2029 </w:t>
      </w:r>
    </w:p>
    <w:p>
      <w:pPr>
        <w:pStyle w:val="TextBody"/>
        <w:bidi w:val="0"/>
        <w:spacing w:before="120" w:after="0"/>
        <w:jc w:val="center"/>
        <w:rPr>
          <w:rFonts w:ascii="Times New Roman" w:hAnsi="Times New Roman"/>
          <w:b/>
          <w:sz w:val="28"/>
        </w:rPr>
      </w:pPr>
      <w:r>
        <w:rPr>
          <w:rFonts w:ascii="Times New Roman" w:hAnsi="Times New Roman"/>
          <w:b/>
          <w:sz w:val="28"/>
        </w:rPr>
        <w:t xml:space="preserve">$1,000,000,000 5.650% Series YY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The 4.875% Series NN Notes due 2029 (the “Series NN Notes”) will bear interest at the rate of 4.875% per annum. The 5.650% Series YY Notes due 2036 (the “Series YY Notes” and, together with the Series NN Notes, the “notes” and each a separate “series” of notes) will bear interest at the rate of 5.650% per annum. The Series NN Notes offered by this prospectus supplement (the “new Series NN Notes”) will constitute an additional issuance of, and form a single series with, the $500,000,000 aggregate principal amount of 4.875% Series NN Notes due 2029 that we issued on February 22, 2024 (the “initial Series NN Notes”). Upon completion of this offering, the aggregate principal amount of outstanding Series NN Notes will be $750,000,000. </w:t>
      </w:r>
    </w:p>
    <w:p>
      <w:pPr>
        <w:pStyle w:val="TextBody"/>
        <w:bidi w:val="0"/>
        <w:spacing w:before="120" w:after="0"/>
        <w:jc w:val="left"/>
        <w:rPr>
          <w:rFonts w:ascii="Times New Roman" w:hAnsi="Times New Roman"/>
          <w:sz w:val="18"/>
        </w:rPr>
      </w:pPr>
      <w:r>
        <w:rPr>
          <w:rFonts w:ascii="Times New Roman" w:hAnsi="Times New Roman"/>
          <w:sz w:val="18"/>
        </w:rPr>
        <w:t xml:space="preserve">The Series NN Notes will mature on May 15, 2029, and the Series YY Notes will mature on September 15, 2036. We will pay interest on the Series NN Notes semiannually on May 15 and November 15 of each year, beginning on November 15, 2026. We will pay interest on the Series YY Notes semiannually on March 15 and September 15 of each year, beginning on March 15, 2027. We may redeem some or all of each series of notes prior to maturity at the redemption prices described in this prospectus supplement. If a change of control repurchase event as described herein occurs with respect to a series of notes, unless we have exercised our option to redeem the notes of such series, we will be required to offer to purchase all of the notes of such series at the price described in this prospectus supplement, plus accrued and unpaid interest, if any, to the date of purchase. </w:t>
      </w:r>
    </w:p>
    <w:p>
      <w:pPr>
        <w:pStyle w:val="TextBody"/>
        <w:bidi w:val="0"/>
        <w:spacing w:before="120" w:after="0"/>
        <w:jc w:val="left"/>
        <w:rPr>
          <w:rFonts w:ascii="Times New Roman" w:hAnsi="Times New Roman"/>
          <w:sz w:val="18"/>
        </w:rPr>
      </w:pPr>
      <w:r>
        <w:rPr>
          <w:rFonts w:ascii="Times New Roman" w:hAnsi="Times New Roman"/>
          <w:sz w:val="18"/>
        </w:rPr>
        <w:t xml:space="preserve">The notes will be our unsecured obligations and rank equally with all of our other unsecured senior indebtedness. The notes of each series will be issued only in minimum denominations of $2,000 and integral multiples of $1,000 in excess thereof.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2"/>
        </w:rPr>
        <w:t>Investing in the notes involves risks that are described in the “</w:t>
      </w:r>
      <w:hyperlink w:anchor="supprom158956_4">
        <w:r>
          <w:rPr>
            <w:rStyle w:val="InternetLink"/>
            <w:rFonts w:ascii="Times New Roman" w:hAnsi="Times New Roman"/>
            <w:b/>
            <w:sz w:val="22"/>
          </w:rPr>
          <w:t>Risk Factors</w:t>
        </w:r>
      </w:hyperlink>
      <w:r>
        <w:rPr>
          <w:rFonts w:ascii="Times New Roman" w:hAnsi="Times New Roman"/>
          <w:b/>
          <w:sz w:val="22"/>
        </w:rPr>
        <w:t xml:space="preserve">” section beginning on page S-5 of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30"/>
        <w:gridCol w:w="134"/>
        <w:gridCol w:w="109"/>
        <w:gridCol w:w="1459"/>
        <w:gridCol w:w="275"/>
        <w:gridCol w:w="75"/>
        <w:gridCol w:w="161"/>
        <w:gridCol w:w="1407"/>
        <w:gridCol w:w="60"/>
        <w:gridCol w:w="134"/>
        <w:gridCol w:w="118"/>
        <w:gridCol w:w="1345"/>
        <w:gridCol w:w="275"/>
        <w:gridCol w:w="75"/>
        <w:gridCol w:w="168"/>
        <w:gridCol w:w="1474"/>
        <w:gridCol w:w="60"/>
        <w:gridCol w:w="134"/>
        <w:gridCol w:w="140"/>
        <w:gridCol w:w="1403"/>
        <w:gridCol w:w="69"/>
      </w:tblGrid>
      <w:tr>
        <w:trPr/>
        <w:tc>
          <w:tcPr>
            <w:tcW w:w="113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pPr>
            <w:r>
              <w:rPr>
                <w:b/>
              </w:rPr>
              <w:t>Per New Series</w:t>
            </w:r>
            <w:r>
              <w:rPr/>
              <w:br/>
            </w:r>
            <w:r>
              <w:rPr>
                <w:b/>
              </w:rPr>
              <w:t>NN Note (1)</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 Series NN</w:t>
              <w:br/>
              <w:t>Total</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 YY</w:t>
              <w:br/>
              <w:t>Note (2)</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6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YY Total</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 Total</w:t>
            </w:r>
          </w:p>
        </w:tc>
        <w:tc>
          <w:tcPr>
            <w:tcW w:w="69"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13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100.205</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250,512,500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99.325</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474" w:type="dxa"/>
            <w:tcBorders/>
            <w:shd w:fill="CCEEFF" w:val="clear"/>
            <w:vAlign w:val="bottom"/>
          </w:tcPr>
          <w:p>
            <w:pPr>
              <w:pStyle w:val="TableContents"/>
              <w:bidi w:val="0"/>
              <w:spacing w:before="0" w:after="283"/>
              <w:jc w:val="right"/>
              <w:rPr/>
            </w:pPr>
            <w:r>
              <w:rPr/>
              <w:t>993,250,000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1,243,762,500</w:t>
            </w:r>
          </w:p>
        </w:tc>
        <w:tc>
          <w:tcPr>
            <w:tcW w:w="69"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w:t>
            </w:r>
          </w:p>
        </w:tc>
        <w:tc>
          <w:tcPr>
            <w:tcW w:w="13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0.400</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1407"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0.650</w:t>
            </w:r>
          </w:p>
        </w:tc>
        <w:tc>
          <w:tcPr>
            <w:tcW w:w="2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474" w:type="dxa"/>
            <w:tcBorders/>
            <w:vAlign w:val="bottom"/>
          </w:tcPr>
          <w:p>
            <w:pPr>
              <w:pStyle w:val="TableContents"/>
              <w:bidi w:val="0"/>
              <w:spacing w:before="0" w:after="283"/>
              <w:jc w:val="right"/>
              <w:rPr/>
            </w:pPr>
            <w:r>
              <w:rPr/>
              <w:t>6,500,000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7,500,000</w:t>
            </w:r>
          </w:p>
        </w:tc>
        <w:tc>
          <w:tcPr>
            <w:tcW w:w="69"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Marriott International, Inc.</w:t>
            </w:r>
          </w:p>
        </w:tc>
        <w:tc>
          <w:tcPr>
            <w:tcW w:w="13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99.805</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249,512,500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98.675</w:t>
            </w:r>
          </w:p>
        </w:tc>
        <w:tc>
          <w:tcPr>
            <w:tcW w:w="2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474" w:type="dxa"/>
            <w:tcBorders/>
            <w:shd w:fill="CCEEFF" w:val="clear"/>
            <w:vAlign w:val="bottom"/>
          </w:tcPr>
          <w:p>
            <w:pPr>
              <w:pStyle w:val="TableContents"/>
              <w:bidi w:val="0"/>
              <w:spacing w:before="0" w:after="283"/>
              <w:jc w:val="right"/>
              <w:rPr/>
            </w:pPr>
            <w:r>
              <w:rPr/>
              <w:t>986,750,000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1,236,262,500</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from May 15, 2026. This accrued interest must be paid by purchasers of the Series NN Notes offered by this prospectus supplement.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from August 13, 2026, if settlement occurs after that date. </w:t>
            </w:r>
          </w:p>
        </w:tc>
      </w:tr>
    </w:tbl>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The notes will be ready for delivery in book-entry form only through The Depository Trust Company (“DTC”) for the accounts of its direct and indirect participants (including Euroclear Bank SA/NV, as operator of the Euroclear System, and Clearstream Banking S.A.) on or about August 13,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3"/>
        <w:gridCol w:w="101"/>
        <w:gridCol w:w="3879"/>
        <w:gridCol w:w="101"/>
        <w:gridCol w:w="2756"/>
        <w:gridCol w:w="101"/>
        <w:gridCol w:w="1634"/>
      </w:tblGrid>
      <w:tr>
        <w:trPr/>
        <w:tc>
          <w:tcPr>
            <w:tcW w:w="163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633"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center"/>
              <w:rPr>
                <w:b/>
              </w:rPr>
            </w:pPr>
            <w:r>
              <w:rPr>
                <w:b/>
              </w:rPr>
              <w:t>PNC Capital Markets LLC</w:t>
            </w:r>
          </w:p>
        </w:tc>
        <w:tc>
          <w:tcPr>
            <w:tcW w:w="101"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center"/>
              <w:rPr>
                <w:b/>
              </w:rPr>
            </w:pPr>
            <w:r>
              <w:rPr>
                <w:b/>
              </w:rPr>
              <w:t>Truist Securities</w:t>
            </w:r>
          </w:p>
        </w:tc>
        <w:tc>
          <w:tcPr>
            <w:tcW w:w="101"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right"/>
              <w:rPr>
                <w:b/>
              </w:rPr>
            </w:pPr>
            <w:r>
              <w:rPr>
                <w:b/>
              </w:rPr>
              <w:t>US Bancorp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BofA Securities</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Deutsche Bank Securities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Wells Fargo Securities</w:t>
            </w:r>
          </w:p>
        </w:tc>
      </w:tr>
      <w:tr>
        <w:trPr>
          <w:trHeight w:val="30" w:hRule="atLeast"/>
        </w:trPr>
        <w:tc>
          <w:tcPr>
            <w:tcW w:w="3368"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Citigroup</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Fifth Third Securities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Scotiabank</w:t>
            </w:r>
          </w:p>
        </w:tc>
      </w:tr>
      <w:tr>
        <w:trPr>
          <w:trHeight w:val="3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b/>
              </w:rPr>
            </w:pPr>
            <w:r>
              <w:rPr>
                <w:b/>
              </w:rPr>
              <w:t>Goldman Sachs &amp; Co. LLC</w:t>
            </w:r>
          </w:p>
        </w:tc>
      </w:tr>
    </w:tbl>
    <w:p>
      <w:pPr>
        <w:pStyle w:val="TextBody"/>
        <w:bidi w:val="0"/>
        <w:spacing w:before="120" w:after="0"/>
        <w:jc w:val="center"/>
        <w:rPr>
          <w:rFonts w:ascii="Times New Roman" w:hAnsi="Times New Roman"/>
          <w:b/>
          <w:i/>
          <w:sz w:val="18"/>
        </w:rPr>
      </w:pPr>
      <w:r>
        <w:rPr>
          <w:rFonts w:ascii="Times New Roman" w:hAnsi="Times New Roman"/>
          <w:b/>
          <w:i/>
          <w:sz w:val="18"/>
        </w:rPr>
        <w:t xml:space="preserve">Senior 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8"/>
        <w:gridCol w:w="100"/>
        <w:gridCol w:w="3369"/>
        <w:gridCol w:w="100"/>
        <w:gridCol w:w="3268"/>
      </w:tblGrid>
      <w:tr>
        <w:trPr/>
        <w:tc>
          <w:tcPr>
            <w:tcW w:w="336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center"/>
              <w:rPr>
                <w:b/>
              </w:rPr>
            </w:pPr>
            <w:r>
              <w:rPr>
                <w:b/>
              </w:rPr>
              <w:t>HSBC</w:t>
            </w:r>
          </w:p>
        </w:tc>
        <w:tc>
          <w:tcPr>
            <w:tcW w:w="100"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ICBC Standard Bank</w:t>
            </w:r>
          </w:p>
        </w:tc>
        <w:tc>
          <w:tcPr>
            <w:tcW w:w="10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center"/>
              <w:rPr>
                <w:b/>
              </w:rPr>
            </w:pPr>
            <w:r>
              <w:rPr>
                <w:b/>
              </w:rPr>
              <w:t>TD Securities</w:t>
            </w:r>
          </w:p>
        </w:tc>
      </w:tr>
    </w:tbl>
    <w:tbl>
      <w:tblPr>
        <w:tblW w:w="5000" w:type="pct"/>
        <w:jc w:val="left"/>
        <w:tblInd w:w="0" w:type="dxa"/>
        <w:tblLayout w:type="fixed"/>
        <w:tblCellMar>
          <w:top w:w="0" w:type="dxa"/>
          <w:left w:w="0" w:type="dxa"/>
          <w:bottom w:w="0" w:type="dxa"/>
          <w:right w:w="0" w:type="dxa"/>
        </w:tblCellMar>
      </w:tblPr>
      <w:tblGrid>
        <w:gridCol w:w="2347"/>
        <w:gridCol w:w="101"/>
        <w:gridCol w:w="2552"/>
        <w:gridCol w:w="101"/>
        <w:gridCol w:w="2552"/>
        <w:gridCol w:w="102"/>
        <w:gridCol w:w="2450"/>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center"/>
              <w:rPr>
                <w:b/>
              </w:rPr>
            </w:pPr>
            <w:r>
              <w:rPr>
                <w:b/>
              </w:rPr>
              <w:t>BNY Capital Markets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Capital One Securities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Loop Capital Markets</w:t>
            </w:r>
          </w:p>
        </w:tc>
        <w:tc>
          <w:tcPr>
            <w:tcW w:w="102"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b/>
              </w:rPr>
            </w:pPr>
            <w:r>
              <w:rPr>
                <w:b/>
              </w:rPr>
              <w:t>UniCredit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center"/>
              <w:rPr>
                <w:b/>
              </w:rPr>
            </w:pPr>
            <w:r>
              <w:rPr>
                <w:b/>
              </w:rPr>
              <w:t>NatWest</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Siebert Williams Shank</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Standard Chartered Bank</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supplement is August 11,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0"/>
              <w:jc w:val="left"/>
              <w:rPr/>
            </w:pPr>
            <w:hyperlink w:anchor="supprom158956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2">
              <w:r>
                <w:rPr>
                  <w:rStyle w:val="InternetLink"/>
                  <w:rFonts w:ascii="Times New Roman" w:hAnsi="Times New Roman"/>
                  <w:sz w:val="20"/>
                </w:rPr>
                <w:t>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3">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5">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6">
              <w:r>
                <w:rPr>
                  <w:rStyle w:val="InternetLink"/>
                  <w:rFonts w:ascii="Times New Roman" w:hAnsi="Times New Roman"/>
                  <w:sz w:val="20"/>
                </w:rPr>
                <w:t>Description of the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7">
              <w:r>
                <w:rPr>
                  <w:rStyle w:val="InternetLink"/>
                  <w:rFonts w:ascii="Times New Roman" w:hAnsi="Times New Roman"/>
                  <w:sz w:val="20"/>
                </w:rPr>
                <w:t>Material United States Federal Income Tax Consequences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8">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9">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10">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11">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rom158956_12">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0"/>
        <w:gridCol w:w="123"/>
        <w:gridCol w:w="60"/>
        <w:gridCol w:w="140"/>
        <w:gridCol w:w="62"/>
      </w:tblGrid>
      <w:tr>
        <w:trPr/>
        <w:tc>
          <w:tcPr>
            <w:tcW w:w="98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20" w:type="dxa"/>
            <w:tcBorders/>
            <w:vAlign w:val="bottom"/>
          </w:tcPr>
          <w:p>
            <w:pPr>
              <w:pStyle w:val="TableContents"/>
              <w:bidi w:val="0"/>
              <w:spacing w:before="0" w:after="0"/>
              <w:jc w:val="left"/>
              <w:rPr/>
            </w:pPr>
            <w:hyperlink w:anchor="tx158956_1">
              <w:r>
                <w:rPr>
                  <w:rStyle w:val="InternetLink"/>
                  <w:rFonts w:ascii="Times New Roman" w:hAnsi="Times New Roman"/>
                  <w:sz w:val="20"/>
                </w:rPr>
                <w:t>Where You Can Find More Information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2">
              <w:r>
                <w:rPr>
                  <w:rStyle w:val="InternetLink"/>
                  <w:rFonts w:ascii="Times New Roman" w:hAnsi="Times New Roman"/>
                  <w:sz w:val="20"/>
                </w:rPr>
                <w:t>Incorporation by Reference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3">
              <w:r>
                <w:rPr>
                  <w:rStyle w:val="InternetLink"/>
                  <w:rFonts w:ascii="Times New Roman" w:hAnsi="Times New Roman"/>
                  <w:sz w:val="20"/>
                </w:rPr>
                <w:t>Use of Proceeds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4">
              <w:r>
                <w:rPr>
                  <w:rStyle w:val="InternetLink"/>
                  <w:rFonts w:ascii="Times New Roman" w:hAnsi="Times New Roman"/>
                  <w:sz w:val="20"/>
                </w:rPr>
                <w:t>Description of Securities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5">
              <w:r>
                <w:rPr>
                  <w:rStyle w:val="InternetLink"/>
                  <w:rFonts w:ascii="Times New Roman" w:hAnsi="Times New Roman"/>
                  <w:sz w:val="20"/>
                </w:rPr>
                <w:t>Selling Security Holders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6">
              <w:r>
                <w:rPr>
                  <w:rStyle w:val="InternetLink"/>
                  <w:rFonts w:ascii="Times New Roman" w:hAnsi="Times New Roman"/>
                  <w:sz w:val="20"/>
                </w:rPr>
                <w:t>Plan of Distribution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7">
              <w:r>
                <w:rPr>
                  <w:rStyle w:val="InternetLink"/>
                  <w:rFonts w:ascii="Times New Roman" w:hAnsi="Times New Roman"/>
                  <w:sz w:val="20"/>
                </w:rPr>
                <w:t>Validity of Securities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820" w:type="dxa"/>
            <w:tcBorders/>
            <w:vAlign w:val="bottom"/>
          </w:tcPr>
          <w:p>
            <w:pPr>
              <w:pStyle w:val="TableContents"/>
              <w:bidi w:val="0"/>
              <w:spacing w:before="0" w:after="0"/>
              <w:jc w:val="left"/>
              <w:rPr/>
            </w:pPr>
            <w:hyperlink w:anchor="tx158956_8">
              <w:r>
                <w:rPr>
                  <w:rStyle w:val="InternetLink"/>
                  <w:rFonts w:ascii="Times New Roman" w:hAnsi="Times New Roman"/>
                  <w:sz w:val="20"/>
                </w:rPr>
                <w:t>Experts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prospectus or any free writing prospectus provided, authorized or used by 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and the accompanying prospectus, unless the context requires otherwise, “we,” “us,” “our,” the “Company” or “Marriott” means Marriott International, Inc. and its predecessors and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rom15895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The first part is this prospectus supplement, which describes the specific terms of the notes we are offering and certain other matters relating to us. The second part, the accompanying prospectus, gives more general information about securities we may offer from time to time, some of which does not apply to the notes we are offering by this prospectus supplement. You should read this entire prospectus supplement, as well as the accompanying prospectus, and the documents incorporated by reference.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inconsistency or conflict exists between the information included in this prospectus supplement and the information included in the accompanying prospectus, the information included or incorporated by reference in this prospectus supplement updates and supersedes the information in the accompanying prospectus. This prospectus supplement incorporates by reference important business and financial information about us that is not included in or delivered with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rom158956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make forward-looking statements in this prospectus supplement, the accompanying prospectus and the documents incorporated by reference based on the beliefs and assumptions of our management and on information currently available to us. Forward-looking statements include information related to our development pipeline; our expectations regarding rooms growth; our expectations regarding our ability to meet our liquidity requirements; our capital expenditures and other investment spending and reimbursement expectations; our expectations regarding future dividends and share repurchases; our expectations regarding certain claims, legal proceedings, settlements or resolutions; our expectations about the conflict in the Middle East; our expectations about our co-branded credit card program; and other statements that are preceded by, followed by, or include the words “believes,” “expects,” “anticipates,” “intends,” “plans,” “estimates,” “foresees,” or similar expressions; and similar statements concerning anticipated future events and expectations that are not historical facts, including in “Management’s Discussion and Analysis of Financial Condition and Results of Operations” in our Annual Report on Form 10-K for the fiscal year ended December 31, 2025 and our Quarterly Reports on Form 10-Q for the fiscal quarters ended March 31, 2026 and June 30, 2026. </w:t>
      </w:r>
    </w:p>
    <w:p>
      <w:pPr>
        <w:pStyle w:val="TextBody"/>
        <w:bidi w:val="0"/>
        <w:spacing w:before="240" w:after="0"/>
        <w:jc w:val="left"/>
        <w:rPr>
          <w:rFonts w:ascii="Times New Roman" w:hAnsi="Times New Roman"/>
          <w:sz w:val="20"/>
        </w:rPr>
      </w:pPr>
      <w:r>
        <w:rPr>
          <w:rFonts w:ascii="Times New Roman" w:hAnsi="Times New Roman"/>
          <w:sz w:val="20"/>
        </w:rPr>
        <w:t xml:space="preserve">We caution you that these statements are not guarantees of future performance and are subject to numerous evolving risks and uncertainties that we may not be able to accurately predict or assess, including the risks and uncertainties we describe starting on page S-5 of this prospectus supplement and other factors we describe from time to time in our periodic filings with the U.S. Securities and Exchange Commission (the “SEC”). We therefore caution you not to rely unduly on any forward-looking statement. The forward-looking statements in this prospectus supplement, the accompanying prospectus and the documents incorporated by reference speak only as of the date of the document in which the forward-looking statement is made, and we undertake no obligation to update or revise any forward-looking statement, whether due to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18"/>
          <w:bdr w:val="single" w:sz="8" w:space="1" w:color="000000"/>
        </w:rPr>
      </w:pPr>
      <w:bookmarkStart w:id="5" w:name="supprom158956_3"/>
      <w:bookmarkEnd w:id="5"/>
      <w:r>
        <w:rPr>
          <w:rFonts w:ascii="Times New Roman" w:hAnsi="Times New Roman"/>
          <w:b/>
          <w:sz w:val="18"/>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selected information from this prospectus supplement and may not contain all of the information that is important to you. This prospectus supplement includes the basic terms of the notes we are offering, as well as information regarding our business and financial data. We encourage you to read this prospectus supplement and the accompanying prospectus in their entirety as well as the information incorporated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worldwide franchisor, operator, and licensor of hotel, residential, timeshare, and other lodging properties under a broad portfolio of compelling brands at different price and service points. Consistent with our focus on franchising, management, and licensing, we own or lease very few of our lodging properties (less than one percent of our system). As of June 30, 2026, our system included 10,082 properties (1,813,698 rooms) in 148 countries and territories, and we also had nearly 4,200 properties (approximately 629,000 rooms) in our development pipeline. We believe that our brand portfolio offers the most compelling range of brands, lodging properties, and other offerings in hospitality. The following table shows the portfolio of brands owned, operated, and/or licensed by Marriott for properties open at year-end 2025.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drawing>
          <wp:inline distT="0" distB="0" distL="0" distR="0">
            <wp:extent cx="5673725" cy="3117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73725" cy="31172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7750 Wisconsin Avenue, Bethesda, Maryland 20814. Our telephone number is (301) 380-3000.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is a brief summary of some of the terms of this offering. For a more complete description of the terms of the notes, see “Description of the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Marriott International,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8" w:type="dxa"/>
            <w:tcBorders/>
          </w:tcPr>
          <w:p>
            <w:pPr>
              <w:pStyle w:val="TableContents"/>
              <w:bidi w:val="0"/>
              <w:spacing w:before="0" w:after="283"/>
              <w:jc w:val="left"/>
              <w:rPr/>
            </w:pPr>
            <w:r>
              <w:rPr/>
              <w:t xml:space="preserve">$1,250,000,000 aggregate principal amount of notes consisting 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$250,000,000 aggregate principal amount of 4.875% Series NN Notes due 2029 (The Series NN Notes offered by this prospectus supplement will constitute an additional issuance of, and form a single series with, the $500,000,000 aggregate principal amount of 4.875% Series NN Notes due 2029 that we issued on February 22, 2024. See “Description of the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$1,000,000,000 aggregate principal amount of 5.650% Series YY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6" w:type="dxa"/>
            <w:tcBorders/>
          </w:tcPr>
          <w:p>
            <w:pPr>
              <w:pStyle w:val="TableContents"/>
              <w:bidi w:val="0"/>
              <w:spacing w:before="0" w:after="283"/>
              <w:jc w:val="left"/>
              <w:rPr/>
            </w:pPr>
            <w:r>
              <w:rPr/>
              <w:t xml:space="preserve">The Series NN Notes will mature on May 15, 2029. The Series YY Notes will mature on September 15,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6" w:type="dxa"/>
            <w:tcBorders/>
          </w:tcPr>
          <w:p>
            <w:pPr>
              <w:pStyle w:val="TableContents"/>
              <w:bidi w:val="0"/>
              <w:spacing w:before="0" w:after="283"/>
              <w:jc w:val="left"/>
              <w:rPr/>
            </w:pPr>
            <w:r>
              <w:rPr/>
              <w:t xml:space="preserve">The Series NN Notes will bear interest at a rate of 4.875% per annum. The Series YY Notes will bear interest at a rate of 5.650%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9" w:type="dxa"/>
            <w:tcBorders/>
          </w:tcPr>
          <w:p>
            <w:pPr>
              <w:pStyle w:val="TableContents"/>
              <w:bidi w:val="0"/>
              <w:spacing w:before="0" w:after="283"/>
              <w:jc w:val="left"/>
              <w:rPr/>
            </w:pPr>
            <w:r>
              <w:rPr/>
              <w:t xml:space="preserve">Interest on the Series NN Notes will accrue from May 15, 2026 and will be payable semiannually on May 15 and November 15 of each year, beginning on November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Interest on the Series YY Notes will accrue from August 13, 2026 and will be payable semiannually on March 15 and September 15 of each year, beginning on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our unsecured senior obligations and will rank equally with all of our existing and future unsecured and unsubordinated indebtedness. The notes will be structurally subordinated in right of payment to all existing and future indebtedness and other liabilities of each of our subsidiaries. As of June 30, 2026, our subsidiaries collectively had outstanding long-term debt of $123 million, which represents approximately 1% of our total consolidated long-term debt before issuance of the notes. See “Risk Factors—Risks Relating to the Notes—We depend on cash flow of our subsidiaries to make payments on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redeem the Series NN Notes, in whole or in part, at any time and from time to time, at our option, prior to April 15, 2029 (one month prior to the maturity date of the Series NN Notes), at a redemption price described under the heading “Description of the Notes—Redemption at Our Option” in this prospectus supplement, plus any accrued and unpaid interest on the Series NN Notes being redeemed to, but not including, the redemption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may redeem the Series NN Notes, in whole or in part, at any time and from time to time, at our option, on or after April 15, 2029 (one month prior to the maturity date of the Series NN Notes), at a redemption price equal to 100% of the principal amount of the Series NN Notes being redeemed, plus accrued and unpaid interest thereon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may redeem the Series YY Notes, in whole or in part, at any time and from time to time, at our option, prior to June 15, 2036 (three months prior to the maturity date of the Series YY Notes), at a redemption price described under the heading “Description of the Notes—Redemption at Our Option” in this prospectus supplement, plus any accrued and unpaid interest on the Series YY Notes being redeemed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may redeem the Series YY Notes, in whole or in part, at any time and from time to time, at our option, on or after June 15, 2036 (three months prior to the maturity date of the Series YY Notes), at a redemption price equal to 100% of the principal amount of the Series YY Notes being redeemed, plus accrued and unpaid interest thereon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Purchase of notes upon a change of control repurchase event </w:t>
            </w:r>
          </w:p>
        </w:tc>
        <w:tc>
          <w:tcPr>
            <w:tcW w:w="6329" w:type="dxa"/>
            <w:tcBorders/>
          </w:tcPr>
          <w:p>
            <w:pPr>
              <w:pStyle w:val="TableContents"/>
              <w:bidi w:val="0"/>
              <w:spacing w:before="0" w:after="283"/>
              <w:jc w:val="left"/>
              <w:rPr/>
            </w:pPr>
            <w:r>
              <w:rPr/>
              <w:t xml:space="preserve">If we experience a change of control (defined herein) and the notes of a series are rated below investment grade (defined herein) by S&amp;P Global Ratings (“S&amp;P”) and Moody’s Investors Service, Inc. (“Moody’s”) (or the equivalent under any successor rating categories of S&amp;P’s or Moody’s, respectively), we will offer to repurchase all of the notes of such series at a price equal to 101% of the principal amount plus accrued and unpaid interest to the repurchase date. See “Description of the Notes—Change of Control.”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Covenants </w:t>
            </w:r>
          </w:p>
        </w:tc>
        <w:tc>
          <w:tcPr>
            <w:tcW w:w="6328" w:type="dxa"/>
            <w:tcBorders/>
          </w:tcPr>
          <w:p>
            <w:pPr>
              <w:pStyle w:val="TableContents"/>
              <w:bidi w:val="0"/>
              <w:spacing w:before="0" w:after="283"/>
              <w:jc w:val="left"/>
              <w:rPr/>
            </w:pPr>
            <w:r>
              <w:rPr/>
              <w:t xml:space="preserve">We will agree to certain restrictions on liens, sale and leaseback transactions, mergers, consolidations and transfers of substantially all of our assets. These covenants are subject to important qualifications and exceptions. See “Description of the Notes—Certain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issuances of notes </w:t>
            </w:r>
          </w:p>
        </w:tc>
        <w:tc>
          <w:tcPr>
            <w:tcW w:w="6328" w:type="dxa"/>
            <w:tcBorders/>
          </w:tcPr>
          <w:p>
            <w:pPr>
              <w:pStyle w:val="TableContents"/>
              <w:bidi w:val="0"/>
              <w:spacing w:before="0" w:after="283"/>
              <w:jc w:val="left"/>
              <w:rPr/>
            </w:pPr>
            <w:r>
              <w:rPr/>
              <w:t xml:space="preserve">We will issue the notes under an Indenture, dated as of November 16, 1998, between us and The Bank of New York Mellon, as trustee (the “Indenture”). We may, without the consent of the existing holders of a series of notes, issue additional notes of the same series having the same terms (other than the issue date, public offering price and, if applicable, the initial interest payment date) so that such existing notes and additional notes form a single series under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will be governed by New York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6" w:type="dxa"/>
            <w:tcBorders/>
          </w:tcPr>
          <w:p>
            <w:pPr>
              <w:pStyle w:val="TableContents"/>
              <w:bidi w:val="0"/>
              <w:spacing w:before="0" w:after="283"/>
              <w:jc w:val="left"/>
              <w:rPr/>
            </w:pPr>
            <w:r>
              <w:rPr/>
              <w:t xml:space="preserve">The Bank of New York Mellon.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estimate that the net proceeds from this offering of notes, after deducting the underwriting discount and estimated expenses of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will be approximately $1.233 billion. This amount does not include accrued interest on the new Series NN Notes from May 15, 2026 through the day before the settlement date, which the purchasers of the new Series NN Notes must pay to us at settlement. We intend to use the net proceeds from the sale of the notes in this offering for general corporate purposes, which may include working capital, capital expenditures, acquisitions, stock repurchases or repayment of outstanding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rom15895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consider carefully the following risks and all of the information set forth or incorporated by reference in this prospectus supplement and the accompanying prospectus, including the risks and uncertainties described under the heading “Risk Factors” included in our Annual Report on Form 10-K for the fiscal year ended December 31, 2025 and our Quarterly Reports on Form 10-Q for the fiscal quarters ended March 31, 2026 and June 30, 2026, before investing in the notes offered by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depend on cash flow of our subsidiaries to make payments on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Marriott International, Inc. is in part a holding company. Our subsidiaries conduct a significant percentage of our consolidated operations and own a significant percentage of our consolidated assets. Consequently, our cash flow and our ability to meet our debt service obligations depend in large part upon the cash flow of our subsidiaries and the payment of funds by the subsidiaries to us in the form of loans, dividends or otherwise. Our subsidiaries are not obligated to make funds available to us for payment of our debt securities or preferred stock dividends or otherwise. In addition, their ability to make any payments will depend on their earnings, the terms of their indebtedness, business and tax considerations and legal restrictions. The notes effectively rank junior to all liabilities of our subsidiaries. In the event of a bankruptcy, liquidation or dissolution of a subsidiary and following payment of its liabilities, the subsidiary may not have sufficient assets remaining to make payments to us as a shareholder or otherwise. The Indenture does not limit the amount of unsecured debt which our subsidiaries may incur. In addition, we and our subsidiaries may incur secured debt and enter into sale and leaseback transactions, subject to certain limitations. See “Description of the Notes—Certain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liquid trading market for the notes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There may be no trading market for any series of the notes. We have been advised by the underwriters for this offering that they presently intend to make a market in the notes of each series after the consummation of the offering contemplated by this prospectus supplement, although they are under no obligation to do so and may discontinue any market-making activities at any time without any notice. The liquidity of any market for any series of the notes will depend upon the number of holders of those notes, our performance, the market for similar securities, the interest of securities dealers in making a market in those notes and other factors. A liquid trading market may not develop for any series of the notes. As a result, the market price of the notes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Ratings of the notes may not reflect all risks of an investment in the notes and negative changes in our credit ratings may adversely affect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We expect the major debt rating agencies to rate and routinely evaluate our debt. The ratings of each series of notes will primarily reflect our financial strength and will change in accordance with the rating of our financial strength. We cannot predict whether these rating agencies may take actions with respect to our credit ratings as a result of future events, our future performance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rating is not a recommendation to purchase, sell or hold any particular security, including the notes. These ratings do not comment as to market prices or suitability for a particular investor. In addition, ratings at any time may be lowered, placed on negative outlook or watch or withdrawn in their entirety. Any actual or anticipated negative changes or downgrades in our credit ratings or ratings outlook or watch, including any announcement that our ratings are under review for a downgrade, could increase our corporate borrowing costs and affect the market value of the notes. Furthermore, the ratings of each series of the notes may not reflect the potential impact of all risks related to structure and other factors on any trading market for, or market prices of, the notes. Among other factors, the condition of the financial markets and prevailing interest rates have fluctuated in the past and are likely to fluctuate in the future, which could have an adverse effect on the market prices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repurchase the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specific kinds of change of control events accompanied by a below investment grade rating event with respect to a series of notes, we will be required to offer to purchase all of the notes of such series at a price equal to 101% of their principal amount, plus accrued and unpaid interest, if any, to the date of purchase, unless we had previously exercised our right to redeem the notes of such series. If we experience such a change of control and rating downgrade, we cannot assure you that we would have sufficient financial resources available to satisfy our obligations to repurchase such notes. Our failure to purchase the notes of a series as required under the terms of the notes would result in a default with respect to such series, which could have material adverse consequences for us and the holders of the applicable notes. See “Description of the Notes—Change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rom15895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of notes, after deducting the underwriting discount and estimated expenses of this offering, will be approximately $1.233 billion. This amount does not include accrued interest on the new Series NN Notes from May 15, 2026 through the day before the settlement date, which the purchasers of the new Series NN Notes must pay to us at settlement. We intend to use the net proceeds from the sale of the notes in this offering for general corporate purposes, which may include working capital, capital expenditures, acquisitions, stock repurchases or repayment of outstanding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rom158956_6"/>
      <w:bookmarkEnd w:id="8"/>
      <w:r>
        <w:rPr>
          <w:rFonts w:ascii="Times New Roman" w:hAnsi="Times New Roman"/>
          <w:b/>
          <w:sz w:val="20"/>
        </w:rPr>
        <w:t xml:space="preserve">DESCRIPTION OF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are governed by a document called the “Indenture.” The Indenture is a contract between us and The Bank of New York Mellon, as successor to JPMorgan Chase Bank, N.A., formerly known as The Chase Manhattan Bank, which acts as trustee (the “Trustee”). The Indenture and its associated documents contain the full legal text of the matters described in this section. The Indenture and the notes are governed by New York law. A copy of the Indenture has been filed with the SEC. See “Where You Can Find More Information” for information on how to obtain a copy.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notes. This summary is subject to and qualified in its entirety by reference to all the provisions of the Indenture, including definitions of certain terms used in the Indenture. For example, in this section we use capitalized words to signify defined terms that have been given special meaning in the Indenture. We describe in this prospectus supplement the meaning of some terms defined in the Indenture. You should refer to the Indenture for the meanings of all of the defined terms. We also include references in parentheses to certain sections of the Indenture. Whenever we refer to particular sections or defined terms of the Indenture in this prospectus supplement, such sections or defined terms are incorporated by reference here. </w:t>
      </w:r>
    </w:p>
    <w:p>
      <w:pPr>
        <w:pStyle w:val="TextBody"/>
        <w:bidi w:val="0"/>
        <w:spacing w:before="240" w:after="0"/>
        <w:jc w:val="left"/>
        <w:rPr>
          <w:rFonts w:ascii="Times New Roman" w:hAnsi="Times New Roman"/>
          <w:sz w:val="20"/>
        </w:rPr>
      </w:pPr>
      <w:r>
        <w:rPr>
          <w:rFonts w:ascii="Times New Roman" w:hAnsi="Times New Roman"/>
          <w:sz w:val="20"/>
        </w:rPr>
        <w:t xml:space="preserve">The $250,000,000 aggregate principal amount of Series NN Notes being offered by this prospectus supplement (the “new Series NN Notes”) will constitute an additional issuance of, and form a single series with, the $500,000,000 aggregate principal amount of 4.875% Series NN Notes due 2029 that we issued on February 22, 2024 (the “initial Series NN Notes”). The new Series NN Notes will have terms identical to the initial Series NN Notes (other than the issue date, public offering price and initial interest payment date), and will have the same CUSIP number as, and will be fungible with and vote together with, the initial Series NN Notes immediately upon issuance. Unless the context requires otherwise, we refer to the new Series NN Notes and the initial Series NN Notes together as the “Series NN Notes.” References to “this offering of notes” or similar expressions refer only to the offering of new Series NN Notes being made pursuant to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is a separate series of debt securities. The notes will be our general unsecured and senior obligations and, upon completion of this offering, will initially be limited to $1,250,000,000 aggregate principal amount. The new Series NN Notes and the Series YY Notes are initially being offered pursuant to this prospectus supplement in the respective principal amounts of $250,000,000 and $1,000,000,000. The Series NN Notes will mature on May 15, 2029. The Series YY Notes will mature on September 15, 2036. The notes will rank equally with all of our other unsecured and unsubordinated debt. We will issue the notes under the Indenture. We may, without the consent of the existing holders of a series of notes, issue additional notes of the same series having the same terms (other than the issue date, public offering price and, if applicable, the initial interest payment date) so that such existing notes and additional notes form a single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Marriott International, Inc. is a legal entity separate and distinct from its subsidiaries. Our subsidiaries are not obligated to make required payments on the notes. Accordingly, Marriott’s rights and the rights of holders of the notes to participate in any distribution of the assets or income from any subsidiary are necessarily subject to the prior claims of creditors of the subsidiary. The Indenture does not limit the amount of unsecured debt which our subsidiaries may incur. In addition, we and our subsidiaries may incur secured debt and enter into sale and leaseback transactions, subject to the limitations described under “—Certain Covenants.” See also “Risk Factors—Risks Relating to the Notes—We depend on cash flow of our subsidiaries to make payments on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entitled to the benefit of any sinking fund or other mandatory redemption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Interest on the Series NN Notes </w:t>
      </w:r>
    </w:p>
    <w:p>
      <w:pPr>
        <w:pStyle w:val="TextBody"/>
        <w:bidi w:val="0"/>
        <w:spacing w:before="120" w:after="0"/>
        <w:jc w:val="left"/>
        <w:rPr>
          <w:rFonts w:ascii="Times New Roman" w:hAnsi="Times New Roman"/>
          <w:sz w:val="20"/>
        </w:rPr>
      </w:pPr>
      <w:r>
        <w:rPr>
          <w:rFonts w:ascii="Times New Roman" w:hAnsi="Times New Roman"/>
          <w:sz w:val="20"/>
        </w:rPr>
        <w:t xml:space="preserve">The Series NN Notes will bear interest at a rate of 4.875% per annum. Interest on the new Series NN Notes will accrue from May 15, 2026 and will be payable semiannually on May 15 and November 15 of each year, beginning on November 15, 2026, to the person listed as the holder of the note, or any predecessor note, in the security register at the close of business on the preceding May 1 or November 1 (whether or not a business day), as the case may be (such dates being the “Regular Record Dates” for the Series NN Notes).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stated maturity date or redemption or repurchase date for the Series NN Notes is not a business day, the payment otherwise required to be made on such date will be made on the next business day without any additional payment as a result of such delay.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on the Series YY Notes </w:t>
      </w:r>
    </w:p>
    <w:p>
      <w:pPr>
        <w:pStyle w:val="TextBody"/>
        <w:bidi w:val="0"/>
        <w:spacing w:before="120" w:after="0"/>
        <w:jc w:val="left"/>
        <w:rPr>
          <w:rFonts w:ascii="Times New Roman" w:hAnsi="Times New Roman"/>
          <w:sz w:val="20"/>
        </w:rPr>
      </w:pPr>
      <w:r>
        <w:rPr>
          <w:rFonts w:ascii="Times New Roman" w:hAnsi="Times New Roman"/>
          <w:sz w:val="20"/>
        </w:rPr>
        <w:t xml:space="preserve">The Series YY Notes will bear interest at a rate of 5.650% per annum. Interest on the Series YY Notes will accrue from August 13, 2026 and will be payable semiannually on March 15 and September 15 of each year, beginning on March 15, 2027, to the person listed as the holder of the note, or any predecessor note, in the security register at the close of business on the preceding March 1 or September 1 (whether or not a business day), as the case may be (such dates being the “Regular Record Dates” for the Series YY Notes).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stated maturity date or redemption or repurchase date for the Series YY Notes is not a business day, the payment otherwise required to be made on such date will be made on the next business day without any additional payment as a result of such delay.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under the Indenture has two main roles. First, the Trustee can enforce your rights against us if we default on our obligations under our debt securities. There are some limitations on the extent to which the Trustee acts on your behalf, described below under “—Default and Related Matters—Remedies If an Event of Default Occurs.” Second, the Trustee performs administrative duties for us, such as sending you interest payments, sending you notices and transferring your debt securities to a new buyer if you sell.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at Our Option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the Series NN Notes in whole or in part, at any time and from time to time, at our option, prior to April 15, 2029 (one month prior to the maturity date of the Series NN Notes) (the “Series NN Par Call Date”),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Series NN Notes matured on the Series NN Par Call Date) on a semiannual basis (assuming a 360-day year consisting of twelve 30-day months) at the Treasury Rate plus 15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Series NN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Series NN Par Call Date, we may redeem the Series NN Notes, in whole or in part, at any time and from time to time, at our option, at a redemption price equal to 100% of the principal amount of the Series NN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We may redeem the Series YY Notes in whole or in part, at any time and from time to time, at our option, prior to June 15, 2036 (three months prior to the maturity date of the Series YY Notes) (the “Series YY Par Call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and, together with the Series NN Par Call Date, the “Par Call Dates,” and each a separate “Par Call Date”),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Series YY Notes matured on the Series YY Par Call Date) on a semiannual basis (assuming a 360-day year consisting of twelve 30-day months) at the Treasury Rate plus 20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Series YY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Series YY Par Call Date, we may redeem the Series YY Notes, in whole or in part, at any time and from time to time, at our option, at a redemption price equal to 100% of the principal amount of the Series YY Notes being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of the notice of redemption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date of the notice of redemption H.15 TCM is no longer published, we shall calculate the Treasury Rate based on the rate per annum equal to the semiannual equivalent yield to maturity at 11:00 a.m., New York City time, on the second business day preceding such redemption notice date of the United States Treasury security maturing on, or with a maturity that is closest to, the applicable Par Call Date, as applicable. If there is no United States Treasury security maturing on such Par Call Date but there are two or more United States Treasury securities with a maturity date equally distant from such Par Call Date, one with a maturity date preceding such Par Call Date and one with a maturity date following such Par Call Date, we shall select the United States Treasury security with a maturity date preceding such Par Call Date. If there are two or more United States Treasury securities maturing on such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as to a series of notes, unless we have exercised our right to redeem the notes of such series in whole as described under “—Redemption at Our Option,” we will make an offer to each holder of notes of such series to repurchase all or any part (in excess of $2,000 in integral multiples of $1,000) of that holder’s notes of such series at a repurchase price in cash equal to 101%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deliver a notice to each holder of notes of such series, with a copy to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of the relevant series properly tendered pursuant to our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of the relevant series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of the relevant series properly accepted, together with an officers’ certificate stating the aggregate principal amount of notes being purchased by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paying agent will promptly pay to each holder of notes of the relevant series properly tendered the purchase price for the notes, and the Trustee will promptly authenticate and deliver (or cause to be transferred by book-entry) to each holder a new note equal in principal amount to any unpurchased portion of any notes surrendered; provided that each new note will be in a principal amount of $2,000 or an integral multiple of $1,000.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of a series upon a change of control repurchase event if a third party makes such an offer in the manner, at the times and otherwise in compliance with the requirements for an offer made by us and such third party purchases all notes of such series properly tendered and not withdrawn under its offer. </w:t>
      </w:r>
    </w:p>
    <w:p>
      <w:pPr>
        <w:pStyle w:val="TextBody"/>
        <w:bidi w:val="0"/>
        <w:spacing w:before="240" w:after="0"/>
        <w:jc w:val="left"/>
        <w:rPr/>
      </w:pPr>
      <w:r>
        <w:rPr/>
        <w:t>“</w:t>
      </w:r>
      <w:r>
        <w:rPr>
          <w:rFonts w:ascii="Times New Roman" w:hAnsi="Times New Roman"/>
          <w:sz w:val="20"/>
        </w:rPr>
        <w:t xml:space="preserve">Below investment grade rating event” means, with respect to a series of notes, the notes of such series are rated below investment grade by both Rating Agencies on any date from the date of the public notice of an arrangement that could result in a change of control until the end of the 60-day period following public notice of the occurrence of a change of control (which period shall be extended so long as the rating of such notes is under publicly announced consideration for possible downgrade by either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at our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sz w:val="20"/>
        </w:rPr>
        <w:t xml:space="preserve">Change of control” means the consummation of any transaction (including, without limitation, any merger or consolidation) the result of which is that any “person” (as that term is used in Section 13(d)(3) of the Exchange Act) becomes the beneficial owner, directly or indirectly, of more than 50% of our voting stock, measured by voting power rather than number of shares. Notwithstanding the foregoing, a transaction effected to create a holding company for us will not be deemed to involve a change of control if: (1) pursuant to such transaction we become a direct or indirect wholly owned subsidiary of such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measured by voting power rather than number of shares. </w:t>
      </w:r>
    </w:p>
    <w:p>
      <w:pPr>
        <w:pStyle w:val="TextBody"/>
        <w:bidi w:val="0"/>
        <w:spacing w:before="240" w:after="0"/>
        <w:jc w:val="left"/>
        <w:rPr/>
      </w:pPr>
      <w:r>
        <w:rPr/>
        <w:t>“</w:t>
      </w:r>
      <w:r>
        <w:rPr>
          <w:rFonts w:ascii="Times New Roman" w:hAnsi="Times New Roman"/>
          <w:sz w:val="20"/>
        </w:rPr>
        <w:t xml:space="preserve">Change of control repurchase event” means the occurrence of both a change of control and a below investment grade rating event. </w:t>
      </w:r>
    </w:p>
    <w:p>
      <w:pPr>
        <w:pStyle w:val="TextBody"/>
        <w:bidi w:val="0"/>
        <w:spacing w:before="240" w:after="0"/>
        <w:jc w:val="left"/>
        <w:rPr/>
      </w:pPr>
      <w:r>
        <w:rPr/>
        <w:t>“</w:t>
      </w:r>
      <w:r>
        <w:rPr>
          <w:rFonts w:ascii="Times New Roman" w:hAnsi="Times New Roman"/>
          <w:sz w:val="20"/>
        </w:rPr>
        <w:t xml:space="preserve">Investment grade” means a rating of Baa3 or better by Moody’s (or its equivalent under any successor rating categories of Moody’s); a rating of BBB- or better by S&amp;P (or its equivalent under any successor rating categories of S&amp;P); and the equivalent investment grade credit rating from any replacement Rating Agency or Rating Agencies selected by us. </w:t>
      </w:r>
    </w:p>
    <w:p>
      <w:pPr>
        <w:pStyle w:val="TextBody"/>
        <w:bidi w:val="0"/>
        <w:spacing w:before="240" w:after="0"/>
        <w:jc w:val="left"/>
        <w:rPr/>
      </w:pPr>
      <w:r>
        <w:rPr/>
        <w:t>“</w:t>
      </w:r>
      <w:r>
        <w:rPr>
          <w:rFonts w:ascii="Times New Roman" w:hAnsi="Times New Roman"/>
          <w:sz w:val="20"/>
        </w:rPr>
        <w:t xml:space="preserve">Moody’s” means Moody’s Investors Service, Inc. and its successors. </w:t>
      </w:r>
    </w:p>
    <w:p>
      <w:pPr>
        <w:pStyle w:val="TextBody"/>
        <w:bidi w:val="0"/>
        <w:spacing w:before="240" w:after="0"/>
        <w:jc w:val="left"/>
        <w:rPr/>
      </w:pPr>
      <w:r>
        <w:rPr/>
        <w:t>“</w:t>
      </w:r>
      <w:r>
        <w:rPr>
          <w:rFonts w:ascii="Times New Roman" w:hAnsi="Times New Roman"/>
          <w:sz w:val="20"/>
        </w:rPr>
        <w:t xml:space="preserve">Rating Agency” means (1) each of Moody’s and S&amp;P; and (2) if either of Moody’s or S&amp;P ceases to rate the notes of the applicable series or fails to make a rating of such notes publicly available for reasons outside of our control, a Substitute Rating Agency. </w:t>
      </w:r>
    </w:p>
    <w:p>
      <w:pPr>
        <w:pStyle w:val="TextBody"/>
        <w:bidi w:val="0"/>
        <w:spacing w:before="240" w:after="0"/>
        <w:jc w:val="left"/>
        <w:rPr/>
      </w:pPr>
      <w:r>
        <w:rPr/>
        <w:t>“</w:t>
      </w:r>
      <w:r>
        <w:rPr>
          <w:rFonts w:ascii="Times New Roman" w:hAnsi="Times New Roman"/>
          <w:sz w:val="20"/>
        </w:rPr>
        <w:t xml:space="preserve">S&amp;P” means S&amp;P Global Ratings and its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Substitute Rating Agency” means a “nationally recognized statistical rating organization” within the meaning of Section 3(a)(62) under the Exchange Act selected by us (as certified by a resolution of our board of directors) as a replacement agency for Moody’s or S&amp;P, or both, as the case may be. </w:t>
      </w:r>
    </w:p>
    <w:p>
      <w:pPr>
        <w:pStyle w:val="TextBody"/>
        <w:bidi w:val="0"/>
        <w:spacing w:before="240" w:after="0"/>
        <w:jc w:val="left"/>
        <w:rPr/>
      </w:pPr>
      <w:r>
        <w:rPr/>
        <w:t>“</w:t>
      </w:r>
      <w:r>
        <w:rPr>
          <w:rFonts w:ascii="Times New Roman" w:hAnsi="Times New Roman"/>
          <w:sz w:val="20"/>
        </w:rPr>
        <w:t xml:space="preserve">Voting stock” of any specified “person” (as that term is used in Section 13(d)(3) of the Exchange Act) as of any date means the capital stock of such person that is at the time entitled to vote generally in the election of the board of directors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Legal Ownership </w:t>
      </w:r>
    </w:p>
    <w:p>
      <w:pPr>
        <w:pStyle w:val="TextBody"/>
        <w:bidi w:val="0"/>
        <w:spacing w:before="120" w:after="0"/>
        <w:jc w:val="left"/>
        <w:rPr/>
      </w:pPr>
      <w:r>
        <w:rPr/>
        <w:t>“</w:t>
      </w:r>
      <w:r>
        <w:rPr>
          <w:rFonts w:ascii="Times New Roman" w:hAnsi="Times New Roman"/>
          <w:i/>
          <w:sz w:val="20"/>
        </w:rPr>
        <w:t xml:space="preserve">Street Name” and Other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hold the notes in accounts at banks or brokers will generally not be recognized by us as legal holders of the notes. This is called holding in “Street Name.” Instead, we would recognize only the bank or broker, or the financial institution the bank or broker uses to hold its notes. These intermediary banks, brokers and other financial institutions pass along principal, interest and other payments on the notes, either because they agree to do so in their customer agreements or because they are legally required to. If you hold notes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voting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notes registered in your own name so you can be a direct holder as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pursue rights under the notes if there were a default or other event triggering the need for holders to act to protect their interests.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Direct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Trustee and those of any third parties employed by us or the Trustee, run only to Persons who are registered as holders of notes. We do not have obligations to you if you hold in “Street Name” or other indirect means, either because you choose to hold notes in that manner or because the notes are issued in the form of Global Securities as described below. For example, once we make payment to the registered holder, we have no further responsibility for the payment if that holder is legally required to pass the payment along to you as a “Street Name” customer but does not do so. </w:t>
      </w:r>
    </w:p>
    <w:p>
      <w:pPr>
        <w:pStyle w:val="TextBody"/>
        <w:bidi w:val="0"/>
        <w:spacing w:before="360" w:after="0"/>
        <w:jc w:val="left"/>
        <w:rPr>
          <w:rFonts w:ascii="Times New Roman" w:hAnsi="Times New Roman"/>
          <w:i/>
          <w:sz w:val="20"/>
        </w:rPr>
      </w:pPr>
      <w:r>
        <w:rPr>
          <w:rFonts w:ascii="Times New Roman" w:hAnsi="Times New Roman"/>
          <w:i/>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initially be issued only as a registered note in global form without interest coupons, known as a “Global Security.” </w:t>
      </w:r>
    </w:p>
    <w:p>
      <w:pPr>
        <w:pStyle w:val="TextBody"/>
        <w:bidi w:val="0"/>
        <w:spacing w:before="240" w:after="0"/>
        <w:jc w:val="left"/>
        <w:rPr>
          <w:rFonts w:ascii="Times New Roman" w:hAnsi="Times New Roman"/>
          <w:sz w:val="20"/>
        </w:rPr>
      </w:pPr>
      <w:r>
        <w:rPr>
          <w:rFonts w:ascii="Times New Roman" w:hAnsi="Times New Roman"/>
          <w:i/>
          <w:sz w:val="20"/>
        </w:rPr>
        <w:t xml:space="preserve">What is a Global Security? </w:t>
      </w:r>
      <w:r>
        <w:rPr>
          <w:rFonts w:ascii="Times New Roman" w:hAnsi="Times New Roman"/>
          <w:sz w:val="20"/>
        </w:rPr>
        <w:t xml:space="preserve">A Global Security is a special type of indirectly held Security, as described above under “—‘Street Name’ and Other Indirect Holders.” The financial institution that acts as the sole direct holder of the Global Security is called the “Depositary.” Any person wishing to own a Global Security must do so indirectly by virtue of an account with a broker, bank or other financial institution that in turn has an account with the Depositary. </w:t>
      </w:r>
    </w:p>
    <w:p>
      <w:pPr>
        <w:pStyle w:val="TextBody"/>
        <w:bidi w:val="0"/>
        <w:spacing w:before="240" w:after="0"/>
        <w:jc w:val="left"/>
        <w:rPr>
          <w:rFonts w:ascii="Times New Roman" w:hAnsi="Times New Roman"/>
          <w:sz w:val="20"/>
        </w:rPr>
      </w:pPr>
      <w:r>
        <w:rPr>
          <w:rFonts w:ascii="Times New Roman" w:hAnsi="Times New Roman"/>
          <w:i/>
          <w:sz w:val="20"/>
        </w:rPr>
        <w:t xml:space="preserve">Special Investor Considerations for Global Securities. </w:t>
      </w: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and the Trustee do not recognize this type of investor as a holder of the notes and instead deal only with the Depositary that holds the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investor holding interests in a Global Security should be aware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cannot get the notes registered in his or her own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cannot receive physical certificates for his or her interest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will hold in “Street Name” and must look to his or her own bank or broker for payments on the notes and protection of his or her legal rights relating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investor may not be able to sell interests in the notes to some insurance companies and other institutions that are required by law to own their securities in the form of physical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will govern payments, transfers, exchanges and other matters relating to the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the Trustee have no responsibility for any aspect of the Depositary’s actions or for its records of ownership interests in the Global Security and do not supervise the Depositary in any way;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for purchases and sales in the market for corporate bonds and notes is generally made in next-day funds. In contrast, the Depositary will usually require that interests in a Global Security be purchased or sold within its system using same-day funds. This difference could have some effect on how Global Security interests trade, but we do not know what that effect will be.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Special Situations When Global Security Will Be Terminated. </w:t>
      </w:r>
      <w:r>
        <w:rPr>
          <w:rFonts w:ascii="Times New Roman" w:hAnsi="Times New Roman"/>
          <w:sz w:val="20"/>
        </w:rPr>
        <w:t xml:space="preserve">In a few special situations described below, the Global Security will terminate and interests in it will be exchanged for physical certificates representing the notes. After that exchange, the choice of whether to hold the notes directly or in “Street Name” will be up to the investor. Investors must consult their own bank or brokers to find out how to have their interests in the notes transferred to their own name, so that they will be direct holders. The rights of “Street Name” investors and direct holders in the debt securities have been previously described in the subsections entitled “—‘Street Name’ and Other Indirect Holders” and “—Direct Holders.” </w:t>
      </w:r>
    </w:p>
    <w:p>
      <w:pPr>
        <w:pStyle w:val="TextBody"/>
        <w:bidi w:val="0"/>
        <w:spacing w:before="240" w:after="0"/>
        <w:jc w:val="left"/>
        <w:rPr>
          <w:rFonts w:ascii="Times New Roman" w:hAnsi="Times New Roman"/>
          <w:sz w:val="20"/>
        </w:rPr>
      </w:pPr>
      <w:r>
        <w:rPr>
          <w:rFonts w:ascii="Times New Roman" w:hAnsi="Times New Roman"/>
          <w:sz w:val="20"/>
        </w:rPr>
        <w:t xml:space="preserve">The special situations for termination of a Global Security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Depositary notifies us that it is unwilling, unable or no longer qualified to continue as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an Event of Default on the relevant series of notes has occurred and has not been cured. We discuss defaults below under “—Default and Related Matters—Events of Default.”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 the remainder of this description, “you” means direct holders and not “Street Name” or other indirect holders of debt securities. Indirect holders should read the previous subsection entitled “—‘Street Name’ and Other Indirect Holders.”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of Remainder of this Description </w:t>
      </w:r>
    </w:p>
    <w:p>
      <w:pPr>
        <w:pStyle w:val="TextBody"/>
        <w:bidi w:val="0"/>
        <w:spacing w:before="120" w:after="0"/>
        <w:jc w:val="left"/>
        <w:rPr>
          <w:rFonts w:ascii="Times New Roman" w:hAnsi="Times New Roman"/>
          <w:sz w:val="20"/>
        </w:rPr>
      </w:pPr>
      <w:r>
        <w:rPr>
          <w:rFonts w:ascii="Times New Roman" w:hAnsi="Times New Roman"/>
          <w:sz w:val="20"/>
        </w:rPr>
        <w:t xml:space="preserve">The remainder of this description summarizes: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mechanics relevant to the notes under normal circumstances, such as how you transfer ownership and where we make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rights under several special situations, such as if we merge with another company or, if we want to change a term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promises we make to you about how we will run our business, or business actions we promise not to take (known as “restrictive covenants”);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rights if we default or experience other financial difficulties.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Mechanics </w:t>
      </w:r>
    </w:p>
    <w:p>
      <w:pPr>
        <w:pStyle w:val="TextBody"/>
        <w:bidi w:val="0"/>
        <w:spacing w:before="120" w:after="0"/>
        <w:jc w:val="left"/>
        <w:rPr>
          <w:rFonts w:ascii="Times New Roman" w:hAnsi="Times New Roman"/>
          <w:i/>
          <w:sz w:val="20"/>
        </w:rPr>
      </w:pPr>
      <w:r>
        <w:rPr>
          <w:rFonts w:ascii="Times New Roman" w:hAnsi="Times New Roman"/>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denominations of $2,000 and in integral multiples of $1,000 in excess thereof. (Section 302)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have your notes broken into more notes of smaller denominations or combined into fewer notes of larger denominations, as long as the total principal amount is not changed. (Section 305) This is called an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notes at the office of the Trustee. The Trustee acts as our agent for registering notes in the names of holders and transferring notes. We may change this appointment to another entity or perform it ourselves. The entity performing the role of maintaining the list of registered holders is called the “Security Registrar.” It will also perform transfers. (Section 305) You will not be required to pay a service charge to transfer or exchange notes, but you may be required to pay for any tax or other governmental charge associated with the exchange or transfer. The transfer or exchange will only be made if the Security Registrar is satisfied with your proof of ownership. </w:t>
      </w:r>
    </w:p>
    <w:p>
      <w:pPr>
        <w:pStyle w:val="TextBody"/>
        <w:bidi w:val="0"/>
        <w:spacing w:before="240" w:after="0"/>
        <w:jc w:val="left"/>
        <w:rPr>
          <w:rFonts w:ascii="Times New Roman" w:hAnsi="Times New Roman"/>
          <w:sz w:val="20"/>
        </w:rPr>
      </w:pPr>
      <w:r>
        <w:rPr>
          <w:rFonts w:ascii="Times New Roman" w:hAnsi="Times New Roman"/>
          <w:sz w:val="20"/>
        </w:rPr>
        <w:t xml:space="preserve">We may cancel the designation of any particular transfer agent. We may also approve a change in the office through which any transfer agent acts. (Section 1002) </w:t>
      </w:r>
    </w:p>
    <w:p>
      <w:pPr>
        <w:pStyle w:val="TextBody"/>
        <w:bidi w:val="0"/>
        <w:spacing w:before="240" w:after="0"/>
        <w:jc w:val="left"/>
        <w:rPr>
          <w:rFonts w:ascii="Times New Roman" w:hAnsi="Times New Roman"/>
          <w:sz w:val="20"/>
        </w:rPr>
      </w:pPr>
      <w:r>
        <w:rPr>
          <w:rFonts w:ascii="Times New Roman" w:hAnsi="Times New Roman"/>
          <w:sz w:val="20"/>
        </w:rPr>
        <w:t xml:space="preserve">Interest in a global security may be transferred only in compliance with the customary procedures of the Depositary, including the delivery of appropriate certificates and information. If we redeem at our option less than all of the notes of a series, we may block the transfer or exchange of such notes during the period beginning 15 days before the day we send the notice of redemption and ending on the day the notice of redemption is sent in order to freeze the list of holders of such notes to prepare the notice of redemption. We may also refuse to register transfers or exchanges of notes selected for redemption, except that we will continue to permit transfers and exchanges of the unredeemed portion of notes. </w:t>
      </w:r>
    </w:p>
    <w:p>
      <w:pPr>
        <w:pStyle w:val="TextBody"/>
        <w:bidi w:val="0"/>
        <w:spacing w:before="360" w:after="0"/>
        <w:jc w:val="left"/>
        <w:rPr>
          <w:rFonts w:ascii="Times New Roman" w:hAnsi="Times New Roman"/>
          <w:i/>
          <w:sz w:val="20"/>
        </w:rPr>
      </w:pPr>
      <w:r>
        <w:rPr>
          <w:rFonts w:ascii="Times New Roman" w:hAnsi="Times New Roman"/>
          <w:i/>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you if you are a direct holder listed in the Trustee’s records at the close of business on a particular day in advance of each due date for interest, even if you no longer own the notes on the interest due date. That particular day, usually about two weeks in advance of the interest due date, is called the “Regular Record Date” and is stated above under “—Terms.” (Section 307) Holders buying and selling notes must work out between them how to compensate for the fact that we will pay all the interest for an interest period to the one who is the registered holder on the Regular Record Date. The most common manner is to adjust the sales price of the notes to pro rate interest fairly between buyer and seller. This pro-rated interest amount is called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principal and any other money due on the debt securities at the corporate trust office of the Trustee in New York, New York. That office is currently located at 240 Greenwich Street, New York, New York 10286. You may elect to have your payments picked up at or wired from that office. We may also choose to pay interest by mailing checks. </w:t>
      </w:r>
    </w:p>
    <w:p>
      <w:pPr>
        <w:pStyle w:val="TextBody"/>
        <w:bidi w:val="0"/>
        <w:spacing w:before="240" w:after="0"/>
        <w:jc w:val="left"/>
        <w:rPr/>
      </w:pPr>
      <w:r>
        <w:rPr/>
        <w:t>“</w:t>
      </w:r>
      <w:r>
        <w:rPr>
          <w:rFonts w:ascii="Times New Roman" w:hAnsi="Times New Roman"/>
          <w:b/>
          <w:sz w:val="20"/>
        </w:rPr>
        <w:t xml:space="preserve">Street Name” and other indirect holders should consult their banks or brokers for information on how they will receive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also arrange for additional payment offices, and may cancel or change these offices, including our use of the Trustee’s corporate trust office. These offices are called “Paying Agents.” We may also choose to act as our own Paying Agent. We must notify you of changes in the Paying Agents for the notes. (Section 1002) </w:t>
      </w:r>
    </w:p>
    <w:p>
      <w:pPr>
        <w:pStyle w:val="TextBody"/>
        <w:bidi w:val="0"/>
        <w:spacing w:before="360" w:after="0"/>
        <w:jc w:val="left"/>
        <w:rPr>
          <w:rFonts w:ascii="Times New Roman" w:hAnsi="Times New Roman"/>
          <w:i/>
          <w:sz w:val="20"/>
        </w:rPr>
      </w:pPr>
      <w:r>
        <w:rPr>
          <w:rFonts w:ascii="Times New Roman" w:hAnsi="Times New Roman"/>
          <w:i/>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will send notices regarding the debt securities only to direct holders, using their addresses as listed in the Trustee’s records or, if the notes are held in global form, electronically in accordance with the applicable procedures of the Depositary. (Sections 101 and 106) </w:t>
      </w:r>
    </w:p>
    <w:p>
      <w:pPr>
        <w:pStyle w:val="TextBody"/>
        <w:bidi w:val="0"/>
        <w:spacing w:before="240" w:after="0"/>
        <w:jc w:val="left"/>
        <w:rPr>
          <w:rFonts w:ascii="Times New Roman" w:hAnsi="Times New Roman"/>
          <w:sz w:val="20"/>
        </w:rPr>
      </w:pPr>
      <w:r>
        <w:rPr>
          <w:rFonts w:ascii="Times New Roman" w:hAnsi="Times New Roman"/>
          <w:sz w:val="20"/>
        </w:rPr>
        <w:t xml:space="preserve">Regardless of who acts as Paying Agent, all money paid by us to a Paying Agent that remains unclaimed at the end of two years after the amount is due to direct holders will be repaid to us. After that two-year period, you may look only to us for payment and not to the Trustee, any other Paying Agent or anyone else. (Section 1003)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t>
      </w:r>
    </w:p>
    <w:p>
      <w:pPr>
        <w:pStyle w:val="TextBody"/>
        <w:bidi w:val="0"/>
        <w:spacing w:before="120" w:after="0"/>
        <w:jc w:val="left"/>
        <w:rPr>
          <w:rFonts w:ascii="Times New Roman" w:hAnsi="Times New Roman"/>
          <w:i/>
          <w:sz w:val="20"/>
        </w:rPr>
      </w:pPr>
      <w:r>
        <w:rPr>
          <w:rFonts w:ascii="Times New Roman" w:hAnsi="Times New Roman"/>
          <w:i/>
          <w:sz w:val="20"/>
        </w:rPr>
        <w:t xml:space="preserve">Mergers and Similar Events </w:t>
      </w:r>
    </w:p>
    <w:p>
      <w:pPr>
        <w:pStyle w:val="TextBody"/>
        <w:bidi w:val="0"/>
        <w:spacing w:before="120" w:after="0"/>
        <w:jc w:val="left"/>
        <w:rPr>
          <w:rFonts w:ascii="Times New Roman" w:hAnsi="Times New Roman"/>
          <w:sz w:val="20"/>
        </w:rPr>
      </w:pPr>
      <w:r>
        <w:rPr>
          <w:rFonts w:ascii="Times New Roman" w:hAnsi="Times New Roman"/>
          <w:sz w:val="20"/>
        </w:rPr>
        <w:t xml:space="preserve">We are generally permitted to consolidate or merge with another company or entity. We are also permitted to sell substantially all of our assets to another entity. However,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substantially all of our assets, the other entity may not be organized under a foreign country’s laws (that is, it must be a corporation, partnership or trust organized under the laws of a State or the District of Columbia or under federal law) and it must agree to be legally responsible for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sale of assets or other transaction must not cause a default on the applicable series of notes, and we must not already be in default with respect to the applicable series of notes (unless the merger or other transaction would cure the default). For purposes of this no-default test, a default would include an Event of Default that has occurred and not been cured, as described under “—Default and Related Matters—Events of Default—What Is an Event of Default?” A default for this purpose would also include any event that would be an Event of Default if the requirements for giving us default notice or our default having to exist for a specific period of time were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 merger, sale of assets or other transaction would cause some of our property to become subject to a mortgage or other legal mechanism giving lenders preferential rights in that property over other lenders or over our general creditors if we fail to pay them back. We have promised to limit these preferential rights on our property, called “Liens,” as discussed under “—Certain Covenants—Restriction on Liens.” If a merger or other transaction would create any Liens on our property, we must comply with that covenant. We would do this either by deciding that the Liens were permitted, or by following the requirements of the covenant to grant an equivalent or higher-ranking Lien on the same property to you and the other direct holders of the notes entitled to that protection. (Section 801)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notes. </w:t>
      </w:r>
    </w:p>
    <w:p>
      <w:pPr>
        <w:pStyle w:val="TextBody"/>
        <w:bidi w:val="0"/>
        <w:spacing w:before="240" w:after="0"/>
        <w:jc w:val="left"/>
        <w:rPr>
          <w:rFonts w:ascii="Times New Roman" w:hAnsi="Times New Roman"/>
          <w:sz w:val="20"/>
        </w:rPr>
      </w:pPr>
      <w:r>
        <w:rPr>
          <w:rFonts w:ascii="Times New Roman" w:hAnsi="Times New Roman"/>
          <w:i/>
          <w:sz w:val="20"/>
        </w:rPr>
        <w:t xml:space="preserve">Changes Requiring Your Approval. </w:t>
      </w:r>
      <w:r>
        <w:rPr>
          <w:rFonts w:ascii="Times New Roman" w:hAnsi="Times New Roman"/>
          <w:sz w:val="20"/>
        </w:rPr>
        <w:t xml:space="preserve">First, there are changes that we cannot make to the Indenture or the notes of any series without the specific approval of the holders of such series. We cannot do the following without the applicable holders’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or interest on a note of the applicable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note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note of the applicable series following a default with respect to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note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the notes of the applicable series whose consent is needed to modify or amend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the notes of the applicable series whose consent is needed to waive compliance with certain provisions of the Indenture or to waive certain defaults with respect to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dealing with modification and waiver of the Indenture. (Section 902)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Changes Requiring a Majority or 50% Vote. </w:t>
      </w:r>
      <w:r>
        <w:rPr>
          <w:rFonts w:ascii="Times New Roman" w:hAnsi="Times New Roman"/>
          <w:sz w:val="20"/>
        </w:rPr>
        <w:t xml:space="preserve">Second, there are changes that we cannot make to the Indenture or the notes of a series without a vote in favor by holders of such notes owning not less than 50% of the principal amount of the particular series affected. Most changes fall into this category, except for clarifying changes and certain other changes that would not adversely affect holders of the notes. A majority vote would be required for us to obtain a waiver of all or part of the covenants described below, or a waiver of a past default. However, we cannot obtain a waiver of a payment default with respect to a particular series or any other aspect of the Indenture or the notes listed in the first category described above under “—Changes Requiring Your Approval” unless we obtain the individual consent of the applicable holders to the waiver. (Section 513) </w:t>
      </w:r>
    </w:p>
    <w:p>
      <w:pPr>
        <w:pStyle w:val="TextBody"/>
        <w:bidi w:val="0"/>
        <w:spacing w:before="240" w:after="0"/>
        <w:jc w:val="left"/>
        <w:rPr>
          <w:rFonts w:ascii="Times New Roman" w:hAnsi="Times New Roman"/>
          <w:sz w:val="20"/>
        </w:rPr>
      </w:pPr>
      <w:r>
        <w:rPr>
          <w:rFonts w:ascii="Times New Roman" w:hAnsi="Times New Roman"/>
          <w:i/>
          <w:sz w:val="20"/>
        </w:rPr>
        <w:t xml:space="preserve">Changes Not Requiring Approval. </w:t>
      </w:r>
      <w:r>
        <w:rPr>
          <w:rFonts w:ascii="Times New Roman" w:hAnsi="Times New Roman"/>
          <w:sz w:val="20"/>
        </w:rPr>
        <w:t xml:space="preserve">The third type of change does not require any vote by holders of the notes. This type is limited to clarifications and certain other changes that would not adversely affect holders of the notes. (Section 901) </w:t>
      </w:r>
    </w:p>
    <w:p>
      <w:pPr>
        <w:pStyle w:val="TextBody"/>
        <w:bidi w:val="0"/>
        <w:spacing w:before="240" w:after="0"/>
        <w:jc w:val="left"/>
        <w:rPr>
          <w:rFonts w:ascii="Times New Roman" w:hAnsi="Times New Roman"/>
          <w:sz w:val="20"/>
        </w:rPr>
      </w:pPr>
      <w:r>
        <w:rPr>
          <w:rFonts w:ascii="Times New Roman" w:hAnsi="Times New Roman"/>
          <w:i/>
          <w:sz w:val="20"/>
        </w:rPr>
        <w:t xml:space="preserve">Further Details Concerning Voting. </w:t>
      </w:r>
      <w:r>
        <w:rPr>
          <w:rFonts w:ascii="Times New Roman" w:hAnsi="Times New Roman"/>
          <w:sz w:val="20"/>
        </w:rPr>
        <w:t xml:space="preserve">When taking a vote, notes will not be considered Outstanding, and therefore will not be eligible to vote, if we have deposited or set aside in trust for you money for their payment or redemption. Notes will also not be eligible to vote if they have been fully defeased as described below under “—Defeasance—Full Defeasance.” (Section 101)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notes that are entitled to vote or take other action under the Indenture. In certain limited circumstances, the Trustee will be entitled to set a record date for action by holders. If we or the Trustee set a record date for a vote or other action to be taken by holders that vote or action may be taken only by persons who are holders of Outstanding notes on the record date and must be taken within 180 days following the record date or another shorter period that we may specify (or as the Trustee may specify, if it set the record date). We may shorten or lengthen (but not beyond 180 days) this period from time to time. (Section 104) </w:t>
      </w:r>
    </w:p>
    <w:p>
      <w:pPr>
        <w:pStyle w:val="TextBody"/>
        <w:bidi w:val="0"/>
        <w:spacing w:before="240" w:after="0"/>
        <w:jc w:val="left"/>
        <w:rPr/>
      </w:pPr>
      <w:r>
        <w:rPr/>
        <w:t>“</w:t>
      </w:r>
      <w:r>
        <w:rPr>
          <w:rFonts w:ascii="Times New Roman" w:hAnsi="Times New Roman"/>
          <w:b/>
          <w:sz w:val="20"/>
        </w:rPr>
        <w:t xml:space="preserve">Street Name” and other indirect holders should consult their banks or brokers for information on how approval may be granted or denied if we seek to change the Indenture or the notes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Limited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in this prospectus supplement under “—Change of Control,” the notes will not contain any provisions which may afford holders of the notes protection in the event of a change in control of our Company or in the event of a highly leveraged transaction (whether or not such transaction results in a change in control) which could adversely affect holders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i/>
          <w:sz w:val="20"/>
        </w:rPr>
        <w:t xml:space="preserve">Restriction on Liens. </w:t>
      </w:r>
      <w:r>
        <w:rPr>
          <w:rFonts w:ascii="Times New Roman" w:hAnsi="Times New Roman"/>
          <w:sz w:val="20"/>
        </w:rPr>
        <w:t xml:space="preserve">Some of our property may be subject to a mortgage or other legal mechanism that gives our lenders preferential rights in that property over other lenders (including you and any other holders of the notes) or over our general creditors if we fail to pay them back. These preferential rights are called “Liens.” Neither Marriott International, Inc. nor its Restricted Subsidiaries will place a Lien on any of our Principal Properties, or on any shares of stock or debt of any of our Restricted Subsidiaries, to secure new debt unless we grant an equivalent or higher-ranking Lien on the same property to you and any other holders of the notes. (Section 1008) </w:t>
      </w:r>
    </w:p>
    <w:p>
      <w:pPr>
        <w:pStyle w:val="TextBody"/>
        <w:bidi w:val="0"/>
        <w:spacing w:before="240" w:after="0"/>
        <w:jc w:val="left"/>
        <w:rPr>
          <w:rFonts w:ascii="Times New Roman" w:hAnsi="Times New Roman"/>
          <w:sz w:val="20"/>
        </w:rPr>
      </w:pPr>
      <w:r>
        <w:rPr>
          <w:rFonts w:ascii="Times New Roman" w:hAnsi="Times New Roman"/>
          <w:sz w:val="20"/>
        </w:rPr>
        <w:t xml:space="preserve">However, we do not need to comply with this restriction if the amount of all debt that would be secured by Liens on Principal Properties (including the new debt and all “Attributable Debt,” as described under “—Restrictions on Sales and Leasebacks” below, that results from a sale and leaseback transaction involving Principal Properties) is less than the greater of $400 million or 10% of our Consolidated Net Assets. </w:t>
      </w:r>
    </w:p>
    <w:p>
      <w:pPr>
        <w:pStyle w:val="TextBody"/>
        <w:bidi w:val="0"/>
        <w:spacing w:before="240" w:after="0"/>
        <w:jc w:val="left"/>
        <w:rPr>
          <w:rFonts w:ascii="Times New Roman" w:hAnsi="Times New Roman"/>
          <w:sz w:val="20"/>
        </w:rPr>
      </w:pPr>
      <w:r>
        <w:rPr>
          <w:rFonts w:ascii="Times New Roman" w:hAnsi="Times New Roman"/>
          <w:sz w:val="20"/>
        </w:rPr>
        <w:t xml:space="preserve">This restriction on Liens also does not apply to certain types of Liens, and we can disregard these Liens when we calculate the limits imposed by this restriction. We may disregard a Lien on any Principal Property or on any shares of stock or debt of any Restricted Subsidiary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existed on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existed at the time the property was acquired or at the time an entity became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secures Debt that is no greater than the Acquisition Cost or the Cost of Construction or improvement of one or more Principal Properties acquired or constructed by us or a Restricted Subsidiary (if the Lien is created no later than 24 months after such acquisition or completion of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is in favor of us or any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Lien is granted in order to assure our performance of any tender or bid on any project (and other similar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we may also disregard any Lien that extends, renews or replaces any of these types of Liens. </w:t>
      </w:r>
    </w:p>
    <w:p>
      <w:pPr>
        <w:pStyle w:val="TextBody"/>
        <w:bidi w:val="0"/>
        <w:spacing w:before="240" w:after="0"/>
        <w:jc w:val="left"/>
        <w:rPr>
          <w:rFonts w:ascii="Times New Roman" w:hAnsi="Times New Roman"/>
          <w:sz w:val="20"/>
        </w:rPr>
      </w:pPr>
      <w:r>
        <w:rPr>
          <w:rFonts w:ascii="Times New Roman" w:hAnsi="Times New Roman"/>
          <w:sz w:val="20"/>
        </w:rPr>
        <w:t xml:space="preserve">We and our subsidiaries are permitted to have as much unsecured debt as we may choose and except as provided in this restriction on Liens, the Indenture does not contain provisions that would afford protection to you in the event of a highly leveraged transaction involving us. </w:t>
      </w:r>
    </w:p>
    <w:p>
      <w:pPr>
        <w:pStyle w:val="TextBody"/>
        <w:bidi w:val="0"/>
        <w:spacing w:before="240" w:after="0"/>
        <w:jc w:val="left"/>
        <w:rPr>
          <w:rFonts w:ascii="Times New Roman" w:hAnsi="Times New Roman"/>
          <w:sz w:val="20"/>
        </w:rPr>
      </w:pPr>
      <w:r>
        <w:rPr>
          <w:rFonts w:ascii="Times New Roman" w:hAnsi="Times New Roman"/>
          <w:i/>
          <w:sz w:val="20"/>
        </w:rPr>
        <w:t xml:space="preserve">Restrictions on Sales and Leasebacks. </w:t>
      </w:r>
      <w:r>
        <w:rPr>
          <w:rFonts w:ascii="Times New Roman" w:hAnsi="Times New Roman"/>
          <w:sz w:val="20"/>
        </w:rPr>
        <w:t xml:space="preserve">We promise that neither we nor any of our Restricted Subsidiaries will enter into any sale and leaseback transaction involving a Principal Property, unless we comply with this covenant. A “sale and leaseback transaction” generally is an arrangement between us or a Restricted Subsidiary and any lessor (other than the Company or a Subsidiary) where we or the Restricted Subsidiary lease a Principal Property for a period in excess of three years, if such property was or will be sold by us or such Restricted Subsidiary to that lender or investor. </w:t>
      </w:r>
    </w:p>
    <w:p>
      <w:pPr>
        <w:pStyle w:val="TextBody"/>
        <w:bidi w:val="0"/>
        <w:spacing w:before="240" w:after="0"/>
        <w:jc w:val="left"/>
        <w:rPr>
          <w:rFonts w:ascii="Times New Roman" w:hAnsi="Times New Roman"/>
          <w:sz w:val="20"/>
        </w:rPr>
      </w:pPr>
      <w:r>
        <w:rPr>
          <w:rFonts w:ascii="Times New Roman" w:hAnsi="Times New Roman"/>
          <w:sz w:val="20"/>
        </w:rPr>
        <w:t xml:space="preserve">We can comply with this promise in either of two different ways. First, we will be in compliance if we or a Restricted Subsidiary could grant a Lien on the Principal Property in an amount equal to the Attributable Debt for the sale and leaseback transaction without being required to grant an equivalent or higher-ranking Lien to you and the other holders of the notes under the restriction on Liens described above. Second, we can comply if we retire an amount of Debt ranking on a parity with, or senior to, the notes, within 240 days of the transaction, equal to at least the net proceeds of the sale of the Principal Property that we lease in the transaction or the fair value of that property, whichever is greater. (Section 1009)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Certain Definitions Relating to our Covenants. </w:t>
      </w:r>
      <w:r>
        <w:rPr>
          <w:rFonts w:ascii="Times New Roman" w:hAnsi="Times New Roman"/>
          <w:sz w:val="20"/>
        </w:rPr>
        <w:t xml:space="preserve">Following are the meanings of the terms that are important in understanding the covenants previously described. (Section 101) </w:t>
      </w:r>
    </w:p>
    <w:p>
      <w:pPr>
        <w:pStyle w:val="TextBody"/>
        <w:bidi w:val="0"/>
        <w:spacing w:before="240" w:after="0"/>
        <w:jc w:val="left"/>
        <w:rPr/>
      </w:pPr>
      <w:r>
        <w:rPr/>
        <w:t>“</w:t>
      </w:r>
      <w:r>
        <w:rPr>
          <w:rFonts w:ascii="Times New Roman" w:hAnsi="Times New Roman"/>
          <w:sz w:val="20"/>
        </w:rPr>
        <w:t xml:space="preserve">Attributable Debt” means the total present value of the minimum rental payments called for during the term of the lease (discounted at the rate that the lessee could borrow over a similar term at the time of the transaction). </w:t>
      </w:r>
    </w:p>
    <w:p>
      <w:pPr>
        <w:pStyle w:val="TextBody"/>
        <w:bidi w:val="0"/>
        <w:spacing w:before="240" w:after="0"/>
        <w:jc w:val="left"/>
        <w:rPr/>
      </w:pPr>
      <w:r>
        <w:rPr/>
        <w:t>“</w:t>
      </w:r>
      <w:r>
        <w:rPr>
          <w:rFonts w:ascii="Times New Roman" w:hAnsi="Times New Roman"/>
          <w:sz w:val="20"/>
        </w:rPr>
        <w:t xml:space="preserve">Capitalized Lease Obligations” of any Person means the obligations of such Person to pay rent or other amounts under a lease that is accounted for as a capital lease, and the amount of such obligation shall be the capitalized amount thereof determined in accordance with generally accepted accounting principles. </w:t>
      </w:r>
    </w:p>
    <w:p>
      <w:pPr>
        <w:pStyle w:val="TextBody"/>
        <w:bidi w:val="0"/>
        <w:spacing w:before="240" w:after="0"/>
        <w:jc w:val="left"/>
        <w:rPr/>
      </w:pPr>
      <w:r>
        <w:rPr/>
        <w:t>“</w:t>
      </w:r>
      <w:r>
        <w:rPr>
          <w:rFonts w:ascii="Times New Roman" w:hAnsi="Times New Roman"/>
          <w:sz w:val="20"/>
        </w:rPr>
        <w:t xml:space="preserve">Consolidated Net Assets” is the consolidated assets (less reserves and certain other permitted deductible items), after subtracting all current liabilities (other than the current portion of long-term debt and Capitalized Lease Obligations) as such amounts appear on our most recent consolidated balance sheet and computed in accordance with generally accepted accounting principles. </w:t>
      </w:r>
    </w:p>
    <w:p>
      <w:pPr>
        <w:pStyle w:val="TextBody"/>
        <w:bidi w:val="0"/>
        <w:spacing w:before="240" w:after="0"/>
        <w:jc w:val="left"/>
        <w:rPr/>
      </w:pPr>
      <w:r>
        <w:rPr/>
        <w:t>“</w:t>
      </w:r>
      <w:r>
        <w:rPr>
          <w:rFonts w:ascii="Times New Roman" w:hAnsi="Times New Roman"/>
          <w:sz w:val="20"/>
        </w:rPr>
        <w:t xml:space="preserve">Debt” means notes, bonds, debentures or other similar evidences of indebtedness for borrowed money or any guarantee thereof. </w:t>
      </w:r>
    </w:p>
    <w:p>
      <w:pPr>
        <w:pStyle w:val="TextBody"/>
        <w:bidi w:val="0"/>
        <w:spacing w:before="240" w:after="0"/>
        <w:jc w:val="left"/>
        <w:rPr>
          <w:rFonts w:ascii="Times New Roman" w:hAnsi="Times New Roman"/>
          <w:sz w:val="20"/>
        </w:rPr>
      </w:pPr>
      <w:r>
        <w:rPr>
          <w:rFonts w:ascii="Times New Roman" w:hAnsi="Times New Roman"/>
          <w:sz w:val="20"/>
        </w:rPr>
        <w:t xml:space="preserve">A “Principal Property” is any parcel or groups of parcels of real estate or one or more physical facilities or depreciable assets, the net book value of which exceeds 2% of the Consolidated Net Assets. </w:t>
      </w:r>
    </w:p>
    <w:p>
      <w:pPr>
        <w:pStyle w:val="TextBody"/>
        <w:bidi w:val="0"/>
        <w:spacing w:before="240" w:after="0"/>
        <w:jc w:val="left"/>
        <w:rPr/>
      </w:pPr>
      <w:r>
        <w:rPr/>
        <w:t>“</w:t>
      </w:r>
      <w:r>
        <w:rPr>
          <w:rFonts w:ascii="Times New Roman" w:hAnsi="Times New Roman"/>
          <w:sz w:val="20"/>
        </w:rPr>
        <w:t xml:space="preserve">Restricted Subsidiary” means any Subsidiary: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organized and existing under the laws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of which is carried on within the United States of America;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either (1) owns or is a lessee pursuant to a capital lease of any real estate or depreciable asset which has a net book value in excess of 2% of Consolidated Net Assets, or (2) in which the investment of the Company and all its Subsidiaries exceeds 5% of Consolidated Net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definition of a Restricted Subsidiary does not include any Subsidiaries principally engaged in our timeshare or senior living services businesses or the major part of whose business consists of finance, banking, credit, leasing, insurance, financial services or other similar operations, or any combination thereof. The definition also does not include any Subsidiary formed or acquired after the date of the Indenture for the purpose of developing new assets or acquiring the business or assets of another person and which does not acquire all or any substantial part of our business or assets or those of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A “Subsidiary” is a corporation in which we and/or one or more of our other subsidiaries owns at least 50% of the voting stock, which is a kind of stock that ordinarily permits its owners to vote for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term “generally accepted accounting principles” with respect to any computation required or permitted under the Indenture shall mean such accounting principles as generally accepted at the date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i/>
          <w:sz w:val="20"/>
        </w:rPr>
        <w:t xml:space="preserve">Full Defeasance. </w:t>
      </w:r>
      <w:r>
        <w:rPr>
          <w:rFonts w:ascii="Times New Roman" w:hAnsi="Times New Roman"/>
          <w:sz w:val="20"/>
        </w:rPr>
        <w:t xml:space="preserve">If there is a change in U.S. federal income tax law, as described below, we can legally release ourselves from any payment or other obligations on the notes of a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your benefit and the benefit of all other direct holders of such notes a combination of money and U.S. government or U.S. government agency notes or bonds that will generate enough cash to make interest, principal and any other payments on such notes on their maturity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be a change in current U.S. federal income tax law or an Internal Revenue Service ruling that lets us make the above deposit and effect such full defeasance without causing you to be taxed on such notes any differently than if such deposit and defeasance did not occur and we just repaid the notes ourselves (under current federal income tax law, the deposit and our legal release from the notes would be treated as though we took back your notes and gave you your share of the money and notes or bonds deposited in trust and, in that event, you could be required to recognize gain or loss on the notes you are deemed to give back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the tax law change or ruling described above. (Sections 1302 and 1304)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on such notes. You could not look to us for repayment in the unlikely event of any shortfall. Conversely, the trust deposit would most likely be protected from claims of our lenders and other creditors if we ever become bankrupt or insolvent. </w:t>
      </w:r>
    </w:p>
    <w:p>
      <w:pPr>
        <w:pStyle w:val="TextBody"/>
        <w:bidi w:val="0"/>
        <w:spacing w:before="240" w:after="0"/>
        <w:jc w:val="left"/>
        <w:rPr>
          <w:rFonts w:ascii="Times New Roman" w:hAnsi="Times New Roman"/>
          <w:sz w:val="20"/>
        </w:rPr>
      </w:pPr>
      <w:r>
        <w:rPr>
          <w:rFonts w:ascii="Times New Roman" w:hAnsi="Times New Roman"/>
          <w:i/>
          <w:sz w:val="20"/>
        </w:rPr>
        <w:t xml:space="preserve">Covenant Defeasance. </w:t>
      </w:r>
      <w:r>
        <w:rPr>
          <w:rFonts w:ascii="Times New Roman" w:hAnsi="Times New Roman"/>
          <w:sz w:val="20"/>
        </w:rPr>
        <w:t xml:space="preserve">Under current U.S. federal income tax law, we can make the same type of deposit described above and be released from some of the covenants in the series of notes for which such deposit is made. This is called “covenant defeasance.” In that event, you would lose the protection of those covenants but would gain the protection of having money and securities set aside in trust to repay the notes. In order to achieve covenant defeasance, we must, among other things,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your benefit and the benefit of all other direct holders of such notes a combination of money and U.S. government or U.S. government agency notes or bonds that will generate enough cash to make interest, principal and any other payments on such notes on their maturity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U.S. federal income tax law we may make the above deposit and effect such covenant defeasance without causing you to be taxed on such notes any differently than if such deposit and covenant defeasance did not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the following provisions of the Indenture with respect to these notes would no longer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promises regarding conduct of our business previously described under “—Certain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to purchase such notes in the event of a change of control repurchase event at the price previously described under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 regarding the treatment of Liens when we merge or engage in similar transactions, as previously described under “—Special Situations—Mergers and Similar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of Default relating to breach of covenants and acceleration of the maturity of other debt, described later under “—Default and Related Matters—Events of Default—What Is an Event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notes if there is a shortfall in the trust deposit. For example, if one of the remaining Events of Default occurred (such as our bankruptcy) and the notes become immediately due and payable, there may be such a shortfall.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event causing the default, you may not be able to obtain payment of the shortfall. (Sections 1303 and 1304) </w:t>
      </w:r>
    </w:p>
    <w:p>
      <w:pPr>
        <w:pStyle w:val="TextBody"/>
        <w:bidi w:val="0"/>
        <w:spacing w:before="360" w:after="0"/>
        <w:jc w:val="left"/>
        <w:rPr>
          <w:rFonts w:ascii="Times New Roman" w:hAnsi="Times New Roman"/>
          <w:b/>
          <w:sz w:val="20"/>
        </w:rPr>
      </w:pPr>
      <w:r>
        <w:rPr>
          <w:rFonts w:ascii="Times New Roman" w:hAnsi="Times New Roman"/>
          <w:b/>
          <w:sz w:val="20"/>
        </w:rPr>
        <w:t xml:space="preserve">Default and Related Matters </w:t>
      </w:r>
    </w:p>
    <w:p>
      <w:pPr>
        <w:pStyle w:val="TextBody"/>
        <w:bidi w:val="0"/>
        <w:spacing w:before="120" w:after="0"/>
        <w:jc w:val="left"/>
        <w:rPr>
          <w:rFonts w:ascii="Times New Roman" w:hAnsi="Times New Roman"/>
          <w:i/>
          <w:sz w:val="20"/>
        </w:rPr>
      </w:pPr>
      <w:r>
        <w:rPr>
          <w:rFonts w:ascii="Times New Roman" w:hAnsi="Times New Roman"/>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Holders of notes of a particular series will have special rights if an Event of Default with respect to such series occurs and is not cured,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What Is an Event of Default? </w:t>
      </w:r>
      <w:r>
        <w:rPr>
          <w:rFonts w:ascii="Times New Roman" w:hAnsi="Times New Roman"/>
          <w:sz w:val="20"/>
        </w:rPr>
        <w:t xml:space="preserve">The term “Event of Default”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or any premium on a note of such series on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note of such series within 30 days of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described under “—Certain Covenants” or any other term of the Indenture for 60 days after we receive a notice of default stating we are in breach, which notice must be sent by either the Trustee or holders of 25% of the principal amount of notes of the affected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Restricted Subsidiary default on other debt (excluding any non-recourse debt) which totals over $100 million (or 4% of our Consolidated Net Assets, whichever amount is greater) and the lenders of such debt shall have taken affirmative action to enforce the payment of such debt, and this repayment obligation remains accelerated for 10 days after we receive a notice of default as described in the previous paragraph;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in bankruptcy, insolvency or reorganization occur. (Section 501)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payment default or other default under one series of notes may, but will not necessarily, cause a default to occur under any other series of notes issued under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Remedies If an Event of Default Occurs. </w:t>
      </w:r>
      <w:r>
        <w:rPr>
          <w:rFonts w:ascii="Times New Roman" w:hAnsi="Times New Roman"/>
          <w:sz w:val="20"/>
        </w:rPr>
        <w:t xml:space="preserve">If an Event of Default has occurred and has not been cured, the Trustee or the holders of 25% in principal amount of the notes of the affected series may declare the entire principal amount of all the notes of the affected series to be due and immediately payable. This is called a declaration of acceleration of maturity. If an Event of Default occurs because of certain events in bankruptcy, insolvency or reorganization, the principal amount of all the notes will be automatically accelerated, without any action by the Trustee or any holder. A declaration of acceleration of maturity may be cancelled by the holders of at least a majority in principal amount of the notes of the affected series. (Section 502) </w:t>
      </w:r>
    </w:p>
    <w:p>
      <w:pPr>
        <w:pStyle w:val="TextBody"/>
        <w:bidi w:val="0"/>
        <w:spacing w:before="24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Indenture at the request of any holders unless the holders offer the Trustee protection satisfactory to it from expenses and liability (called an “indemnity”). (Section 603) If indemnity is provided, the holders of a majority in principal amount of the Outstanding notes of the affected series may direct the time, method and place of conducting any lawsuit or other formal legal action seeking any remedy available to the Trustee. These majority holders may also direct the Trustee in performing any other action under the Indenture. (Section 512) </w:t>
      </w:r>
    </w:p>
    <w:p>
      <w:pPr>
        <w:pStyle w:val="TextBody"/>
        <w:bidi w:val="0"/>
        <w:spacing w:before="240" w:after="0"/>
        <w:jc w:val="left"/>
        <w:rPr>
          <w:rFonts w:ascii="Times New Roman" w:hAnsi="Times New Roman"/>
          <w:sz w:val="20"/>
        </w:rPr>
      </w:pPr>
      <w:r>
        <w:rPr>
          <w:rFonts w:ascii="Times New Roman" w:hAnsi="Times New Roman"/>
          <w:sz w:val="20"/>
        </w:rPr>
        <w:t xml:space="preserve">Before you bypass the Trustee and bring your own lawsuit or other formal legal action or take other steps to enforce your rights or protect your interests relating to the notes,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25% in principal amount of all Outstanding notes of the affected series must make a written request that the Trustee take action because of the default, and must offer indemnity satisfactory to the Trustee against the cost and other liabilities of taking that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have not taken action for 60 days after receipt of the above notice and offer of indemnity. (Section 507)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notes on or after the due date. (Section 508) </w:t>
      </w:r>
    </w:p>
    <w:p>
      <w:pPr>
        <w:pStyle w:val="TextBody"/>
        <w:bidi w:val="0"/>
        <w:spacing w:before="240" w:after="0"/>
        <w:jc w:val="left"/>
        <w:rPr/>
      </w:pPr>
      <w:r>
        <w:rPr/>
        <w:t>“</w:t>
      </w:r>
      <w:r>
        <w:rPr>
          <w:rFonts w:ascii="Times New Roman" w:hAnsi="Times New Roman"/>
          <w:b/>
          <w:sz w:val="20"/>
        </w:rPr>
        <w:t xml:space="preserve">Street Name” and other indirect holders should consult their banks or brokers for information on how to give notice or direction to or make a request of the Trustee and to make or cancel a declaration of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furnish to the Trustee every year a written statement of certain of our officers certifying that to their knowledge we are in compliance with the Indenture and the notes, or else specifying any default. (Section 1004) </w:t>
      </w:r>
    </w:p>
    <w:p>
      <w:pPr>
        <w:pStyle w:val="TextBody"/>
        <w:bidi w:val="0"/>
        <w:spacing w:before="360" w:after="0"/>
        <w:jc w:val="left"/>
        <w:rPr>
          <w:rFonts w:ascii="Times New Roman" w:hAnsi="Times New Roman"/>
          <w:i/>
          <w:sz w:val="20"/>
        </w:rPr>
      </w:pPr>
      <w:r>
        <w:rPr>
          <w:rFonts w:ascii="Times New Roman" w:hAnsi="Times New Roman"/>
          <w:i/>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successor to JPMorgan Chase Bank, N.A., formerly known as The Chase Manhattan Bank, is the Trustee, Security Registrar and Paying Agent under the Indenture. We have certain existing banking relationships with The Bank of New York Mellon, including that one of its affiliates is a lender under our revolving credit facility (our “Credit Facility”). In addition, affiliates of The Bank of New York Mellon may be purchasers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(or an event that would be an Event of Default if the requirements for giving us default notice or our default having to exist for a specific period of time were disregarded) occurs, the Trustee may be considered to have a conflicting interest with respect to the notes for purposes of the Trust Indenture Act of 1939. In that case, the Trustee may be required to resign as Trustee under the Indenture and we would be required to appoint a successor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of each series in the form of one or more fully registered global notes which will be deposited with, or on behalf of, The Depository Trust Company, New York, New York, also referred to as DTC. DTC will act as the depositary. The notes will be registered in the name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Investors may hold interests in a global note through DTC in the United States if they are participants in DTC or indirectly hold such interests through organizations that are participants in DTC. Clearstream Banking S.A., also referred to as Clearstream, and Euroclear Bank SA/NV, as operator of the Euroclear System, also referred to as Euroclear, will hold interests on behalf of their participants through customers’ securities accounts in Clearstream’s and Euroclear’s name on the books of their respective depositaries, which in turn will hold such interests in customers’ securities accounts in the depositaries’ names on the books of DTC. JPMorgan Chase Bank currently acts as U.S. depositary for Euroclear (in such capacity, the “U.S. depositary”). Beneficial interests in a global note will be shown on, and transfers of those ownership interests will be effected only through, records maintained by DTC and its participants for such global note. The conveyance of notices and other communications by DTC to its participants and by its participants to owners of beneficial interests in the notes will be governed by arrangements among them, subject to any statutory or regulatory requirements in effect. You will not receive written confirmation from DTC of your purchase of the notes. The DTC rules applicable to its participants are on file with the SEC. More information about DTC can be found at </w:t>
      </w:r>
      <w:r>
        <w:rPr>
          <w:rFonts w:ascii="Times New Roman" w:hAnsi="Times New Roman"/>
          <w:i/>
          <w:sz w:val="20"/>
        </w:rPr>
        <w:t>www.dtcc.com</w:t>
      </w:r>
      <w:r>
        <w:rPr>
          <w:rFonts w:ascii="Times New Roman" w:hAnsi="Times New Roman"/>
          <w:sz w:val="20"/>
        </w:rPr>
        <w:t xml:space="preserve">, but that information is not incorporated by reference into this prospectus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DTC </w:t>
      </w:r>
    </w:p>
    <w:p>
      <w:pPr>
        <w:pStyle w:val="TextBody"/>
        <w:bidi w:val="0"/>
        <w:spacing w:before="120" w:after="0"/>
        <w:jc w:val="left"/>
        <w:rPr>
          <w:rFonts w:ascii="Times New Roman" w:hAnsi="Times New Roman"/>
          <w:sz w:val="20"/>
        </w:rPr>
      </w:pPr>
      <w:r>
        <w:rPr>
          <w:rFonts w:ascii="Times New Roman" w:hAnsi="Times New Roman"/>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brokers and dealers, including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clearing corporations;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organizations, some of which or their representatives own DTC.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Banks, brokers, dealers, trust companies and others that clear through or maintain a custodial relationship with a participant, either directly or indirectly, also have access to DTC’s 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Principal and interest payments on the notes represented by a global note will be made to DTC or its nominee, as the case may be, as the sole registered owner and the sole holder of the notes represented by the global note of each series for all purposes under the Indenture. Accordingly, we, the Trustee and any paying agent will have no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relating to, or payments made on account of, beneficial ownership interests in a note represented by a global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aspect of the relationship between DTC and its participants or the relationship between such participants and the owners of beneficial interests in a global note held through such participants;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supervision or review of any of DTC’s records relating to such beneficial ownership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upon receipt of any payment of principal of or interest on a note, DTC will credit, on its book-entry registration and transfer system, the accounts of participants with payments in amounts proportionate to their respective holdings shown on DTC’s records. The underwriters will initially designate the accounts to be credited. </w:t>
      </w:r>
    </w:p>
    <w:p>
      <w:pPr>
        <w:pStyle w:val="TextBody"/>
        <w:bidi w:val="0"/>
        <w:spacing w:before="360" w:after="0"/>
        <w:jc w:val="left"/>
        <w:rPr>
          <w:rFonts w:ascii="Times New Roman" w:hAnsi="Times New Roman"/>
          <w:i/>
          <w:sz w:val="20"/>
        </w:rPr>
      </w:pPr>
      <w:r>
        <w:rPr>
          <w:rFonts w:ascii="Times New Roman" w:hAnsi="Times New Roman"/>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advises that it is incorporated under Luxembourg law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Clearstream provides to Clearstream participants, among other things, services for safekeeping, administration, clearance and settlement of internationally traded securities and securities lending and borrowing. Clearstream interfaces with domestic markets in several countries. Clearstream is subject to regulation by the </w:t>
      </w:r>
      <w:r>
        <w:rPr>
          <w:rFonts w:ascii="Times New Roman" w:hAnsi="Times New Roman"/>
          <w:i/>
          <w:sz w:val="20"/>
        </w:rPr>
        <w:t xml:space="preserve">Commission de Surveillance du Secteur Financier. </w:t>
      </w:r>
      <w:r>
        <w:rPr>
          <w:rFonts w:ascii="Times New Roman" w:hAnsi="Times New Roman"/>
          <w:sz w:val="20"/>
        </w:rPr>
        <w:t xml:space="preserve">Clearstream participants are recognized financial institutions around the world, including securities brokers and dealers, banks, trust companies, clearing corporations and certain other organizations and may include the underwriters. Indirect access to Clearstream is also available to other institutions, such as banks, brokers, dealers and trust companies that clear transactions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interests in the notes held beneficially through Clearstream will be credited to cash accounts of Clearstream participants in accordance with its rules and procedures, to the extent received by the U.S. depositary for Clearstream. </w:t>
      </w:r>
    </w:p>
    <w:p>
      <w:pPr>
        <w:pStyle w:val="TextBody"/>
        <w:bidi w:val="0"/>
        <w:spacing w:before="360" w:after="0"/>
        <w:jc w:val="left"/>
        <w:rPr>
          <w:rFonts w:ascii="Times New Roman" w:hAnsi="Times New Roman"/>
          <w:i/>
          <w:sz w:val="20"/>
        </w:rPr>
      </w:pPr>
      <w:r>
        <w:rPr>
          <w:rFonts w:ascii="Times New Roman" w:hAnsi="Times New Roman"/>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advises that it was created in 1968 to hold securities for participants of Euroclear, also referred to as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also referred to as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transactions through or maintain a custodial relationship with a Euroclear participant, either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clearance accounts and cash accounts with the Euroclear operator are governed by the Terms and Conditions Governing Use of Euroclear and the related Operating Procedures of the Euroclear System, and applicable Belgian law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the notes held beneficially through Euroclear will be credited to the cash accounts of Euroclear participants in accordance with the terms and conditions of Euroclear, to the extent received by the U.S. depositary for Euroclear. </w:t>
      </w:r>
    </w:p>
    <w:p>
      <w:pPr>
        <w:pStyle w:val="TextBody"/>
        <w:bidi w:val="0"/>
        <w:spacing w:before="360" w:after="0"/>
        <w:jc w:val="left"/>
        <w:rPr>
          <w:rFonts w:ascii="Times New Roman" w:hAnsi="Times New Roman"/>
          <w:i/>
          <w:sz w:val="20"/>
        </w:rPr>
      </w:pPr>
      <w:r>
        <w:rPr>
          <w:rFonts w:ascii="Times New Roman" w:hAnsi="Times New Roman"/>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A global note can only be transferred: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whole by DTC to one of its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whole by a nominee of DTC to DTC or another nominee of DTC;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whole by DTC or a nominee of DTC to a successor of DTC or a nominee of such successor.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represented by a global note can be exchanged for definitive notes in registered form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unable or no longer qualified to continue as the depositary for such global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determine that such global note will be exchangeable for definitive notes in registered form and notify the Trustee of our decision;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represented by such global note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global note that can be exchanged for a definitive note under the preceding sentence will be exchanged for definitive notes that are issued in authorized denominations in registered form for the same aggregate amount. Such definitive notes will be registered in the names of the owners of the beneficial interests in such global notes as directed by DTC.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above, (1) owners of beneficial interests in such global note will not be entitled to receive physical delivery of notes in definitive form and will not be considered the holders of the notes for any purpose under the Indenture and (2) no notes represented by a global note will be exchangeable. Accordingly, each person owning a beneficial interest in a global note must rely on the procedures of DTC, and if such person is not a participant, on the procedures of the participant through which such person owns its interest, to exercise any rights of a holder under the Indenture or such global note. The laws of some jurisdictions require that certain purchasers of securities take physical delivery of the securities in definitive form. Such laws may impair the ability to transfer beneficial interests in a global note. </w:t>
      </w:r>
    </w:p>
    <w:p>
      <w:pPr>
        <w:pStyle w:val="TextBody"/>
        <w:bidi w:val="0"/>
        <w:spacing w:before="240" w:after="0"/>
        <w:jc w:val="left"/>
        <w:rPr>
          <w:rFonts w:ascii="Times New Roman" w:hAnsi="Times New Roman"/>
          <w:sz w:val="20"/>
        </w:rPr>
      </w:pPr>
      <w:r>
        <w:rPr>
          <w:rFonts w:ascii="Times New Roman" w:hAnsi="Times New Roman"/>
          <w:sz w:val="20"/>
        </w:rPr>
        <w:t xml:space="preserve">DTC and the underwriters have informed us that, under existing industry practices, if we request holders to take any action, or if an owner of a beneficial interest in a global note desires to take any action which a holder is entitled to take under the Indenture, then (1) DTC would authorize the participants holding the relevant beneficial interests to take such action and (2) such participants would authorize the beneficial owners owning through such participants to take such action or would otherwise act upon the instructions of beneficial owners owning through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DTC has provided the following information to us. DTC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laws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Settlement for the notes will be made by the underwriters in immediately available funds. The notes will trade in the DTC settlement system until maturity or until definitive notes are issued. DTC will require secondary trading activity in the notes to be settled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Clearstream and Euroclear and DTC’s book-entry system has been obtained from sources that we believe to be reliable, and we do not take any responsibility for its accuracy. This information is subject to any changes to the arrangements between or among us, DTC, Clearstream and Euroclear and any changes to procedures that may be instituted unilaterally by DTC, Clearstream or Euroclear. We will not have any responsibility for the performance by DTC, Clearstream, Euroclear or their respective participants under the rules and procedures governing them.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will make settlement for the notes in immediately available or same-day funds. So long as the notes of a series are represented by a global note, we will make all payments of principal and interest in immediately available funds. Secondary market trading between DTC participants will occur in the ordinary way in accordance with DTC’s rules and will be settled in immediately available funds using the depositary’s Same-Day Funds Settlement System. Secondary market trading between Clearstream participants or Euroclear participants will occur in the ordinary way in accordance with the applicable rules and operating procedures of Clearstream and Euroclear.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hand, will be effected through DTC in accordance with DTC’s rules on behalf of the relevant European international clearing system by its U.S. depositary. However, these cross-market transactions will require delivery of instructions to the relevant European international clearing system by the counterparty in such system in accordance with its rules and procedures and within its established deadlines (European time). If the transaction meets its settlement requirements, the relevant European international clearing system will deliver instructions to its U.S. depositary to take action to effect final settlement on its behalf by delivering or receiving notes in DTC and making or receiving payment in accordance with normal procedures for same-day funds settlement applicable to DTC. Clearstream participants and Euroclear participants may not deliver instructions directly to DTC.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notes received in Clearstream or Euroclear as a result of a transaction with a DTC participant will be made during subsequent securities settlement processing and will be credited the business day following the DTC settlement date. Such credits or any transactions in the notes settled during such processing will be reported to the relevant Clearstream participant or Euroclear participant on that business day. Cash received in Clearstream or Euroclear as a result of sales of notes by or through a Clearstream participant or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in order to facilitate transfers of beneficial interests in the notes among participants of DTC, Clearstream and Euroclear, they are under no obligation to perform or continue to perform such procedures and such procedures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rom158956_7"/>
      <w:bookmarkEnd w:id="9"/>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U.S. federal income tax consequences relating to the purchase, ownership and disposition of notes as of the date hereof, and does not purport to be a complete analysis of all the potential tax considerations relating thereto. Except where noted, this summary deals only with notes that are held as capital assets (within the meaning of Section 1221 of the Code (as defined below)) by a holder who acquired the notes upon original issuance at the offering price listed on the cover page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is a beneficial owner of a note that, for U.S. federal income tax purposes, is: (a) an individual citizen or resident of the United States; (b) a corporation (or other entity treated as a corporation for U.S. federal income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“Non-U.S. Holder” is a beneficial owner of a note that is neither a U.S. Holder nor a partnership or any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purchase,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We have not sought and do not intend to seek a ruling from the Internal Revenue Service (the “IRS”) with respect to any of the matters discussed below. Accordingly, we cannot assure you that the IRS will agree with the views expressed in this summary, or that a court will not sustain any challenge to those views by the IRS in the event of litigation. This summary does not address all aspects of U.S. federal income taxes and does not deal with foreign, state, local or other tax considerations (including estate and gift tax) that may be relevant to holders of the notes in light of their particular circumstances. In addition, it does not represent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accounting for your securities holdings, a bank or other financial institution, a regulated investment company, a real estate investment trust, an employee stock ownership plan, a controlled foreign corporation, a passive foreign investment company, a partnership, S corporation or other pass-through entity (or an investor therein), a corporation that accumulates earnings to avoid income tax, an insurance company, a tax-exempt organization, a former citizen or resident of the United States, a person liable for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A change in law may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and this discussion assumes, that the notes will be issued without non-de minimis original issue discount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If you are considering the purchase of notes, you should consult your tax advisors concerning the particular U.S. federal income tax consequences to you of the purchase, ownership and disposition of the notes, as well as the consequences arising under other U.S. federal tax laws and the laws of any other taxing jurisdiction, and the possible effect of changes in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We may become obligated to pay an amount in excess of the stated interest and/or the principal amount of the notes under certain circumstances as described in “Description of the Notes—Change of Control.” The potential obligation to make these payments may cause the notes to be subject to the special method of taxation that applies to certain debt instruments that provide for one or more contingent payments (“contingent payment debt instruments”). The relevant U.S. Treasury regulations provide special rules for determining the yield and maturity of debt instruments that provide for one or more alternative payment schedules applicable upon the occurrence of contingencies. Under these regulations, if the timing and amounts of the payments that comprise each payment schedule are known as of the issue date, and, based on all the facts and circumstances as of the issue date, a single payment schedule for a debt instrument, including the stated payment schedule, is significantly more likely than not to occur, the yield and maturity of the debt instrument are determined based on that payment schedule. In addition, under the applicable U.S. Treasury regulations, remote and/or incidental contingencies may generally be ignored.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potential obligation to make the payments described above, we believe that it is significantly more likely than not that a change of control repurchase event will not occur. Therefore, we intend to take the position that the notes are not treated as contingent payment debt instruments under the applicable U.S. Treasury regulations. Our position is binding on a holder, unless the holder discloses in the proper manner to the IRS that it is taking a different position. Our determination is not, however, binding on the IRS, and if the IRS successfully takes a contrary position, a holder subject to U.S. federal income tax may be required (i) to accrue interest income at a rate higher than the stated interest rate on the notes, and (ii) to treat as ordinary income, rather than capital gain, any gain realized on the sale or other taxable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tax advisors about the risk of the notes being treated as contingent payment debt instruments. The remainder of this discussion assumes that the notes are not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Qualified Reopening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and this discussion assumes, that the new Series NN Notes offered by this prospectus supplement will be issued in a “qualified reopening” of the initial Series NN Notes for U.S. federal income tax purposes. Accordingly, the new Series NN Notes offered by this prospectus supplement will be considered to have the same issue date and issue price as the initial Series NN Notes and will be fungible with the initial Series NN Notes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applicable to you if you are a 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“—Pre-Issuance Accrued Interest,” interest on a note will generally be taxable to you as ordinary interest income as it accrues or is received by you in accordance with your usual method of accounting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Pre-Issuance Accrued Interest </w:t>
      </w:r>
    </w:p>
    <w:p>
      <w:pPr>
        <w:pStyle w:val="TextBody"/>
        <w:bidi w:val="0"/>
        <w:spacing w:before="120" w:after="0"/>
        <w:jc w:val="left"/>
        <w:rPr>
          <w:rFonts w:ascii="Times New Roman" w:hAnsi="Times New Roman"/>
          <w:sz w:val="20"/>
        </w:rPr>
      </w:pPr>
      <w:r>
        <w:rPr>
          <w:rFonts w:ascii="Times New Roman" w:hAnsi="Times New Roman"/>
          <w:sz w:val="20"/>
        </w:rPr>
        <w:t xml:space="preserve">If a portion of the price paid for a new Series NN Note offered by this prospectus supplement is attributable to an amount of interest accrued prior to the date the new Series NN Notes were purchased (the “pre-issuance accrued interest”), the portion of the interest paid on the first interest payment date after the issuance of the new Series NN Notes equal to the amount of the pre-issuance accrued interest may be treated as a non-taxable return of the pre-issuance accrued interest. The remainder of this discussion assumes that the pre-issuance accrued interest on the new Series NN Notes will be so treated, and references to interest in the remainder of this discussion of material U.S. federal income tax consequences with respect to U.S. Holders exclude pre-issuance accrued interest. Further, pre-issuance accrued interest should not form part of any amortizable bond premium (as described below under “—Amortizable Bond Premium”) and a U.S. Holder’s tax basis in a new Series NN Note offered by this prospectus supplement should not include any amounts attributable to pre-issuance accrued interest. This discussion does not otherwise address the treatment of pre-issuance accrued interest, and U.S. Holders should consult their tax advisors concerning the tax treatment of pre-issuance accrued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Amortizable Bond Premium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a new Series NN Note offered by this prospectus supplement for an amount in excess of its stated principal amount (disregarding any amount paid in respect of pre-issuance accrued interest, as discussed above under “—Pre-Issuance Accrued Interest”), you will be considered to have purchased the new Series NN Note at a “premium” equal to such excess. You generally may elect to amortize the premium (i.e., “bond premium”) over the remaining term of the new Series NN Note on a constant yield method as an offset to interest when includible in income under your regular accounting method. If you make this election, you will be required to reduce your adjusted tax basis in the new Series NN Note by the amount of premium amortized. If you do not elect to amortize bond premium, that premium will decrease the gain or increase the loss you would otherwise recognize on maturity or other taxable disposition of the new Series NN Note. Because of the optional redemption feature of the new Series NN Notes, however, special rules apply that may reduce or defer the amount of bond premium that may be amortized. U.S. Holders should consult their tax advisors about these special rules. An election to amortize bond premium applies to all taxable debt obligations then owned or thereafter acquired on or after the first day of the first taxable year for which the election is made and may be revoked only with the consent of the IRS. U.S. Holders should consult their tax advisors about this election.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or Other Taxable Dispositions of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redemption, 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In the case of the Series YY Notes, your adjusted tax basis in a note will generally be equal to your cost for the note. In the case of the new Series NN Notes, your adjusted tax basis in a note will generally be equal to your cost for the note (excluding amounts allocated to pre-issuance accrued interest), reduced by the amount of any amortizable bond premium previously amortized. </w:t>
      </w:r>
    </w:p>
    <w:p>
      <w:pPr>
        <w:pStyle w:val="TextBody"/>
        <w:bidi w:val="0"/>
        <w:spacing w:before="240" w:after="0"/>
        <w:jc w:val="left"/>
        <w:rPr>
          <w:rFonts w:ascii="Times New Roman" w:hAnsi="Times New Roman"/>
          <w:sz w:val="20"/>
        </w:rPr>
      </w:pPr>
      <w:r>
        <w:rPr>
          <w:rFonts w:ascii="Times New Roman" w:hAnsi="Times New Roman"/>
          <w:sz w:val="20"/>
        </w:rPr>
        <w:t xml:space="preserve">Any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Tax on Net 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U.S. persons that are individuals, estates or certain trusts are generally subject to a 3.8% tax on the lesser of (1) the U.S. person’s “net investment income” (or, in the case of an estate or trust, undistributed “net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for the relevant taxable year and (2) the excess of the U.S. person’s modified adjusted gross income for the taxable year over a certain threshold (which in the case of individuals will be between $125,000 and $250,000, depending on the individual’s tax return filing status). A U.S. Holder’s net investment income will generally include any income or gain recognized by such holder with respect to the notes, unless such income or gain is derived in the ordinary course of the conduct of such holder’s trade or business (other than a trade or business that consists of certain passive or trading activities). U.S. persons that are individuals, estates or trusts should consult their tax advisors on the applicability of this additional tax to their income and gains in respect of their investment in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U.S. federal backup withholding will generally apply to interest on the notes and proceeds from the sale or other disposition (including a retirement or redemption) of the notes unless (a) you are an exempt U.S. Holder and, when required, demonstrate this fact or (b) you provide a correct taxpayer identification number, certify under penalty of perjury that you are not subject to backup withholding and otherwise comply with applicable requirements of the backup withholding rules. A U.S. Holder who does not provide a correct taxpayer identification number may also be subject to penalties imposed by the IRS.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you will be allowed as a credit against your U.S. federal income tax liability and may entitle you to a refund, provided that you timely furnish the required information to the IRS. </w:t>
      </w:r>
    </w:p>
    <w:p>
      <w:pPr>
        <w:pStyle w:val="TextBody"/>
        <w:bidi w:val="0"/>
        <w:spacing w:before="240" w:after="0"/>
        <w:jc w:val="left"/>
        <w:rPr>
          <w:rFonts w:ascii="Times New Roman" w:hAnsi="Times New Roman"/>
          <w:sz w:val="20"/>
        </w:rPr>
      </w:pPr>
      <w:r>
        <w:rPr>
          <w:rFonts w:ascii="Times New Roman" w:hAnsi="Times New Roman"/>
          <w:sz w:val="20"/>
        </w:rPr>
        <w:t xml:space="preserve">You will also be subject to information reporting on interest on the notes and proceeds from the sale or other disposition of the notes, unless you are an exempt recipient and appropriately establish that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applicable to you if you are a Non-U.S.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FATCA below, under the “portfolio interest rule,” you will generally not be subject to U.S. federal income tax (or any withholding tax) on payments of stated interest on the notes,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paid on the notes is not effectively connected with your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directly or indirectly, actually or constructively, own 10% or more of the total combined voting power of all classes of our voting stock within the meaning of the Code and applicable U.S. Treasury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related directly or indirectly to us through actual or constructive stock ownership (as provided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bank receiving the interest pursuant to a loan made in the ordinary course of your trade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meet certain certification requirements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current law, the certification requirements may be satisfied in any of the following manners: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provide to the applicable withholding agent a statement on IRS Form W-8BEN or W-8BEN-E (or suitable successor or other applicable form), together with all appropriate attachments, signed under penalties of perjury, identifying yourself by name and address and certifying, among other things, that you are not a U.S.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a note through a securities-clearing organization, bank or another financial institution that holds customers’ securities in the ordinary course of its trade or business, such organization or institution (i) certifies to the applicable withholding agent under penalties of perjury that it or an intermediate financial institution has received from you the applicable form described in the preceding bullet point and (ii) furnishes the applicable withholding agent with a copy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financial institution or other intermediary that holds the note on your behalf has entered into a withholding agreement with the IRS, such institution or intermediary submits an IRS Form W-8IMY (or suitable successor form) and certain other required documentation to the applicable withholding agent, and certain other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requirements of the portfolio interest rule described above are not satisfied, payments of interest made to you will be subject to a 30% U.S. federal withholding tax,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applicable income tax treaty reduces or eliminates such tax, and you claim the benefit of that treaty by providing a properly completed and duly executed IRS Form W-8BEN or W-8BEN-E (or suitable successor form) establishing qualification for benefits under that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is effectively connected with your conduct of a trade or business in the United States and you provide an appropriate statement to that effect on a properly completed and duly executed IRS Form W-8ECI (or suitable successor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possibility of claiming a refund with respect to any withholding imposed on the portion of the first interest payment on the new Series NN Notes allocable to pre-issuance accrued interest. </w:t>
      </w:r>
    </w:p>
    <w:p>
      <w:pPr>
        <w:pStyle w:val="TextBody"/>
        <w:bidi w:val="0"/>
        <w:spacing w:before="240" w:after="0"/>
        <w:jc w:val="left"/>
        <w:rPr>
          <w:rFonts w:ascii="Times New Roman" w:hAnsi="Times New Roman"/>
          <w:sz w:val="20"/>
        </w:rPr>
      </w:pPr>
      <w:r>
        <w:rPr>
          <w:rFonts w:ascii="Times New Roman" w:hAnsi="Times New Roman"/>
          <w:sz w:val="20"/>
        </w:rPr>
        <w:t xml:space="preserve">If you are engaged in a trade or business in the United States and interest on the notes is effectively connected with the conduct of that trade or business (and, if required by an applicable income tax treaty, is attributable to a United States permanent establishment), then you will be subject to U.S. federal income tax on that interest on a net income basis (and the 30% withholding tax described above will not apply, provided you satisfy the certification requirement described above) generally in the same manner as a U.S. Holder. In addition, if you are a corporate Non-U.S. Holder, you may be subject to a branch profits tax at a rate of 30% (or lower applicable income tax treaty rate) on any effectively connected earnings and profits (subject to adjustments).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below, any gain realized (other than any amount allocable to accrued and unpaid interest, which would be treated as interest and subject to the rules discussed above in “—Interest”) on the sale, exchange, redemption, retirement or other taxable disposition of a note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if required by an applicable income tax treaty, is attributable to a United States permanent establishment);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183 days or more in the taxable year of the disposition, and 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exception applies, you will generally be subject to U.S. federal income tax on the net gain you derive from the sale, exchange, redemption, retirement or other taxable disposition of the note in the same manner as a U.S. Holder. In addition, if you are a corporate Non-U.S. Holder, you may be subject to a branch profits tax at a rate of 30% (or lower applicable income tax treaty rate) on any effectively connected earnings and profits (subject to adjustments). If you are eligible for the benefits of an income tax treaty between the United States and your country of residence, the U.S. federal income tax treatment of any such gain may be modified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manner specified by the treaty. If the second exception applies, you generally will be subject to U.S. federal income tax at a rate of 30% (except as otherwise provided by an applicable income tax treaty) on the amount by which your U.S.-source capital gains exceed your U.S.-source capital losses.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payors must report to the IRS and to each Non-U.S. Holder the amount of any interest paid on the notes in each calendar year, and the amount of U.S. federal income tax withheld, if any, with respect to these payments. Copies of the information returns reporting such interest payments and any withholding may also be made available to the tax authorities in the country in which you reside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Non-U.S. Holders who have provided certification as to their non-U.S. status or who have otherwise established an exemption will generally not be subject to backup withholding tax on payments of interest if the applicable withholding agent does not have actual knowledge or reason to know that such certification is unreliable or that the conditions of the exemption are in fact not satisfied.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proceeds from a sale or other disposition (including a retirement or redemption) of a note to or through the U.S. office of a broker will be subject to information reporting and backup withholding unless you certify as to your non-U.S. status or otherwise establish an exemption from information reporting and backup withholding, provided that the applicable withholding agent does not have actual knowledge or reason to know that such certification is unreliable or that the conditions of the exemption are in fact not satisfied. Payments of the proceeds from the sale or other disposition (including a retirement or redemption) of a note to or through a foreign office of a broker generally will not be subject to information reporting or backup withholding. However, additional information reporting, but generally not backup withholding, may apply to those payments (in the same manner as a sale or other disposition to or through the U.S. office of a broker) if the broker is one of the following: (a) a U.S. person, (b) a controlled foreign corporation for U.S. federal income tax purposes, (c) a foreign person 50% or more of whose gross income from all sources for the three-year period ending with the close of its taxable year preceding the payment was effectively connected with a U.S. trade or business, or (d) a foreign partnership with certain specified connections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you will be allowed as a credit against your U.S. federal income tax liability and may entitle you to a refund, provided that you timely furnish the required information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the U.S. Treasury regulations promulgated thereunder and other administrative guidance with respect thereto (collectively “FATCA”), a 30% U.S. federal withholding tax may apply to certain types of payments with respect to a note if a holder (i) is, or holds its notes through, a foreign financial institution (whether such institution is the beneficial owner or an intermediary) that has not entered into an agreement with the U.S. government to report, on an annual basis, certain information regarding accounts with (or, in certain cases, equity or debt interests in) the institution held by United States persons or certain foreign entities with United States owners, or that has been designated as a “nonparticipating foreign financial institution” pursuant to an intergovernmental agreement between the United States and a foreign country, where applicable, or (ii) is, or holds its notes through, a non-financial foreign entity (whether such entity is the beneficial owner or an intermediary) that fails to provide certain documentation (usually an IRS Form W-8BEN-E) containing information about its identity, its FATCA status, and if required, its direct and indirect U.S. owners. The terms of an intergovernmental agreement between the United States and a foreign country, if applicable, or of future Treasury regulations, may further modify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currently applies to payments of interest on a note. Depending on your circumstances, you may be entitled to a refund or credit in respect of some or all of any such withholding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withholding under FATCA would also have applied to payments of gross proceeds from the sale, exchange or other disposition of the notes, proposed U.S. Treasury regulations (upon which taxpayers may rely until final regulations are issued) eliminate FATCA withholding tax on payments of gross proceeds entirely.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tax advisors on how these rules may apply to your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your notes may also be subject to other U.S. withholding tax as described above in “—Non-U.S. Holders—Interest.”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certain material U.S. federal income tax considerations is for general information only and is not tax advice. Accordingly, you should consult your tax advisors as to particular tax consequences to you of holding and disposing of the notes, including the applicability and effect of any foreign, state, local or other tax laws, and of any pending or subsequent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rom158956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intend to offer the notes through the underwriters. Subject to the terms and conditions contained in an underwriting agreement and the related terms agreement among us and J.P. Morgan Securities LLC, PNC Capital Markets LLC, Truist Securities, Inc. and U.S. Bancorp Investments, Inc., as representatives of each of the underwriters named below, we have agreed to sell to the underwriters, and the underwriters severally and not jointly have agreed to purchase from us, the principal amount of the notes of each series listed opposite their names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23"/>
        <w:gridCol w:w="316"/>
        <w:gridCol w:w="190"/>
        <w:gridCol w:w="1818"/>
        <w:gridCol w:w="60"/>
        <w:gridCol w:w="316"/>
        <w:gridCol w:w="178"/>
        <w:gridCol w:w="1891"/>
        <w:gridCol w:w="63"/>
      </w:tblGrid>
      <w:tr>
        <w:trPr/>
        <w:tc>
          <w:tcPr>
            <w:tcW w:w="2923"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316" w:type="dxa"/>
            <w:tcBorders/>
            <w:vAlign w:val="bottom"/>
          </w:tcPr>
          <w:p>
            <w:pPr>
              <w:pStyle w:val="TableContents"/>
              <w:bidi w:val="0"/>
              <w:spacing w:before="0" w:after="283"/>
              <w:jc w:val="left"/>
              <w:rPr/>
            </w:pPr>
            <w:r>
              <w:rPr/>
              <w:t>  </w:t>
            </w:r>
          </w:p>
        </w:tc>
        <w:tc>
          <w:tcPr>
            <w:tcW w:w="2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New Series NN</w:t>
              <w:br/>
              <w:t>Notes</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Series YY Notes</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818" w:type="dxa"/>
            <w:tcBorders/>
            <w:shd w:fill="CCEEFF" w:val="clear"/>
            <w:vAlign w:val="bottom"/>
          </w:tcPr>
          <w:p>
            <w:pPr>
              <w:pStyle w:val="TableContents"/>
              <w:bidi w:val="0"/>
              <w:spacing w:before="0" w:after="283"/>
              <w:jc w:val="right"/>
              <w:rPr/>
            </w:pPr>
            <w:r>
              <w:rPr/>
              <w:t>20,750,000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891" w:type="dxa"/>
            <w:tcBorders/>
            <w:shd w:fill="CCEEFF" w:val="clear"/>
            <w:vAlign w:val="bottom"/>
          </w:tcPr>
          <w:p>
            <w:pPr>
              <w:pStyle w:val="TableContents"/>
              <w:bidi w:val="0"/>
              <w:spacing w:before="0" w:after="283"/>
              <w:jc w:val="right"/>
              <w:rPr/>
            </w:pPr>
            <w:r>
              <w:rPr/>
              <w:t>83,000,000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19,250,000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77,000,000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19,250,000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77,000,000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19,250,000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77,000,000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14,750,000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59,000,000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14,750,000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59,000,000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14,750,000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59,000,000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13,750,000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55,000,000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13,750,000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55,000,000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13,750,000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55,000,000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10,250,000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41,000,000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10,250,000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41,000,000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10,250,000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41,000,000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10,250,000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41,000,000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30,000,000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Securities, Inc.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30,000,000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30,000,000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UniCredit Capital Markets LLC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30,000,000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20,000,000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891" w:type="dxa"/>
            <w:tcBorders/>
            <w:vAlign w:val="bottom"/>
          </w:tcPr>
          <w:p>
            <w:pPr>
              <w:pStyle w:val="TableContents"/>
              <w:bidi w:val="0"/>
              <w:spacing w:before="0" w:after="283"/>
              <w:jc w:val="right"/>
              <w:rPr/>
            </w:pPr>
            <w:r>
              <w:rPr/>
              <w:t>20,000,000</w:t>
            </w:r>
          </w:p>
        </w:tc>
        <w:tc>
          <w:tcPr>
            <w:tcW w:w="63" w:type="dxa"/>
            <w:tcBorders/>
            <w:vAlign w:val="bottom"/>
          </w:tcPr>
          <w:p>
            <w:pPr>
              <w:pStyle w:val="TableContents"/>
              <w:bidi w:val="0"/>
              <w:spacing w:before="0" w:after="283"/>
              <w:jc w:val="left"/>
              <w:rPr/>
            </w:pPr>
            <w:r>
              <w:rPr/>
              <w:t> </w:t>
            </w:r>
          </w:p>
        </w:tc>
      </w:tr>
      <w:tr>
        <w:trPr/>
        <w:tc>
          <w:tcPr>
            <w:tcW w:w="29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Standard Chartered Bank</w:t>
            </w:r>
          </w:p>
        </w:tc>
        <w:tc>
          <w:tcPr>
            <w:tcW w:w="31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891" w:type="dxa"/>
            <w:tcBorders/>
            <w:shd w:fill="CCEEFF" w:val="clear"/>
            <w:vAlign w:val="bottom"/>
          </w:tcPr>
          <w:p>
            <w:pPr>
              <w:pStyle w:val="TableContents"/>
              <w:bidi w:val="0"/>
              <w:spacing w:before="0" w:after="283"/>
              <w:jc w:val="right"/>
              <w:rPr/>
            </w:pPr>
            <w:r>
              <w:rPr/>
              <w:t>20,000,000</w:t>
            </w:r>
          </w:p>
        </w:tc>
        <w:tc>
          <w:tcPr>
            <w:tcW w:w="63" w:type="dxa"/>
            <w:tcBorders/>
            <w:shd w:fill="CCEEFF" w:val="clear"/>
            <w:vAlign w:val="bottom"/>
          </w:tcPr>
          <w:p>
            <w:pPr>
              <w:pStyle w:val="TableContents"/>
              <w:bidi w:val="0"/>
              <w:spacing w:before="0" w:after="283"/>
              <w:jc w:val="left"/>
              <w:rPr/>
            </w:pPr>
            <w:r>
              <w:rPr/>
              <w:t> </w:t>
            </w:r>
          </w:p>
        </w:tc>
      </w:tr>
      <w:tr>
        <w:trPr/>
        <w:tc>
          <w:tcPr>
            <w:tcW w:w="2923"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8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2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b/>
              </w:rPr>
            </w:pPr>
            <w:r>
              <w:rPr>
                <w:b/>
              </w:rPr>
              <w:t>$</w:t>
            </w:r>
          </w:p>
        </w:tc>
        <w:tc>
          <w:tcPr>
            <w:tcW w:w="1818" w:type="dxa"/>
            <w:tcBorders/>
            <w:vAlign w:val="bottom"/>
          </w:tcPr>
          <w:p>
            <w:pPr>
              <w:pStyle w:val="TableContents"/>
              <w:bidi w:val="0"/>
              <w:spacing w:before="0" w:after="283"/>
              <w:jc w:val="right"/>
              <w:rPr>
                <w:b/>
              </w:rPr>
            </w:pPr>
            <w:r>
              <w:rPr>
                <w:b/>
              </w:rPr>
              <w:t>250,000,000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1891" w:type="dxa"/>
            <w:tcBorders/>
            <w:vAlign w:val="bottom"/>
          </w:tcPr>
          <w:p>
            <w:pPr>
              <w:pStyle w:val="TableContents"/>
              <w:bidi w:val="0"/>
              <w:spacing w:before="0" w:after="283"/>
              <w:jc w:val="right"/>
              <w:rPr>
                <w:b/>
              </w:rPr>
            </w:pPr>
            <w:r>
              <w:rPr>
                <w:b/>
              </w:rPr>
              <w:t>1,000,000,000</w:t>
            </w:r>
          </w:p>
        </w:tc>
        <w:tc>
          <w:tcPr>
            <w:tcW w:w="63" w:type="dxa"/>
            <w:tcBorders/>
            <w:vAlign w:val="bottom"/>
          </w:tcPr>
          <w:p>
            <w:pPr>
              <w:pStyle w:val="TableContents"/>
              <w:bidi w:val="0"/>
              <w:spacing w:before="0" w:after="283"/>
              <w:jc w:val="left"/>
              <w:rPr/>
            </w:pPr>
            <w:r>
              <w:rPr/>
              <w:t> </w:t>
            </w:r>
          </w:p>
        </w:tc>
      </w:tr>
      <w:tr>
        <w:trPr/>
        <w:tc>
          <w:tcPr>
            <w:tcW w:w="2923"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8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89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have agreed to purchase all of the notes sold pursuant to the underwriting agreement if any of the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some liabilities, including some liabilities under the Securities Act of 1933, as amended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certain legal matters by their counsel and certain other conditions contained in the underwriting agreement, such as the receipt by the underwriters of officer’s certificates and legal opinions. The underwriters reserve the right to withdraw, cancel or modify such offers to the public and to reject orders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initially to offer the notes of each series to the public at the public offering price for such series on the cover page of this prospectus supplement, and to certain dealers at such price less a concession not in excess of 0.250% of the principal amount of the new Series NN Notes and 0.400% of the principal amount of the Series YY Notes. The underwriters may allow, and any such dealer may re-allow, a concession not to exceed 0.150% of the principal amount of the new Series NN Notes and 0.250% of the principal amount of the Series YY Notes. After the initial offering, the underwriters may change the public offering price and other selling terms. The following table shows the underwriting discounts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1"/>
        <w:gridCol w:w="535"/>
        <w:gridCol w:w="141"/>
        <w:gridCol w:w="990"/>
        <w:gridCol w:w="282"/>
      </w:tblGrid>
      <w:tr>
        <w:trPr/>
        <w:tc>
          <w:tcPr>
            <w:tcW w:w="4991"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991"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Marriott</w:t>
            </w:r>
          </w:p>
        </w:tc>
        <w:tc>
          <w:tcPr>
            <w:tcW w:w="282" w:type="dxa"/>
            <w:tcBorders/>
            <w:vAlign w:val="bottom"/>
          </w:tcPr>
          <w:p>
            <w:pPr>
              <w:pStyle w:val="TableContents"/>
              <w:bidi w:val="0"/>
              <w:spacing w:before="0" w:after="283"/>
              <w:jc w:val="left"/>
              <w:rPr/>
            </w:pPr>
            <w:r>
              <w:rPr/>
              <w:t> </w:t>
            </w:r>
          </w:p>
        </w:tc>
      </w:tr>
      <w:tr>
        <w:trPr/>
        <w:tc>
          <w:tcPr>
            <w:tcW w:w="4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New Series NN Note</w:t>
            </w:r>
          </w:p>
        </w:tc>
        <w:tc>
          <w:tcPr>
            <w:tcW w:w="53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0.400</w:t>
            </w:r>
          </w:p>
        </w:tc>
        <w:tc>
          <w:tcPr>
            <w:tcW w:w="282" w:type="dxa"/>
            <w:tcBorders/>
            <w:shd w:fill="CCEEFF" w:val="clear"/>
            <w:vAlign w:val="bottom"/>
          </w:tcPr>
          <w:p>
            <w:pPr>
              <w:pStyle w:val="TableContents"/>
              <w:bidi w:val="0"/>
              <w:spacing w:before="0" w:after="283"/>
              <w:jc w:val="left"/>
              <w:rPr/>
            </w:pPr>
            <w:r>
              <w:rPr/>
              <w:t>% </w:t>
            </w:r>
          </w:p>
        </w:tc>
      </w:tr>
      <w:tr>
        <w:trPr/>
        <w:tc>
          <w:tcPr>
            <w:tcW w:w="4991" w:type="dxa"/>
            <w:tcBorders/>
          </w:tcPr>
          <w:p>
            <w:pPr>
              <w:pStyle w:val="TableContents"/>
              <w:bidi w:val="0"/>
              <w:spacing w:before="0" w:after="0"/>
              <w:jc w:val="left"/>
              <w:rPr>
                <w:rFonts w:ascii="Times New Roman" w:hAnsi="Times New Roman"/>
                <w:sz w:val="20"/>
              </w:rPr>
            </w:pPr>
            <w:r>
              <w:rPr>
                <w:rFonts w:ascii="Times New Roman" w:hAnsi="Times New Roman"/>
                <w:sz w:val="20"/>
              </w:rPr>
              <w:t>Per Series YY Note</w:t>
            </w:r>
          </w:p>
        </w:tc>
        <w:tc>
          <w:tcPr>
            <w:tcW w:w="53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0.650</w:t>
            </w:r>
          </w:p>
        </w:tc>
        <w:tc>
          <w:tcPr>
            <w:tcW w:w="282" w:type="dxa"/>
            <w:tcBorders/>
            <w:vAlign w:val="bottom"/>
          </w:tcPr>
          <w:p>
            <w:pPr>
              <w:pStyle w:val="TableContents"/>
              <w:bidi w:val="0"/>
              <w:spacing w:before="0" w:after="283"/>
              <w:jc w:val="left"/>
              <w:rPr/>
            </w:pPr>
            <w:r>
              <w:rPr/>
              <w:t>% </w:t>
            </w:r>
          </w:p>
        </w:tc>
      </w:tr>
      <w:tr>
        <w:trPr/>
        <w:tc>
          <w:tcPr>
            <w:tcW w:w="4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7,500,000</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expenses of this offering of notes, which we will pay, will be approximately $2.9 million. These expenses do not include the underwriting discount. </w:t>
      </w:r>
    </w:p>
    <w:p>
      <w:pPr>
        <w:pStyle w:val="TextBody"/>
        <w:bidi w:val="0"/>
        <w:spacing w:before="360" w:after="0"/>
        <w:jc w:val="left"/>
        <w:rPr>
          <w:rFonts w:ascii="Times New Roman" w:hAnsi="Times New Roman"/>
          <w:b/>
          <w:sz w:val="20"/>
        </w:rPr>
      </w:pPr>
      <w:r>
        <w:rPr>
          <w:rFonts w:ascii="Times New Roman" w:hAnsi="Times New Roman"/>
          <w:b/>
          <w:sz w:val="20"/>
        </w:rPr>
        <w:t xml:space="preserve">No Established Market </w:t>
      </w:r>
    </w:p>
    <w:p>
      <w:pPr>
        <w:pStyle w:val="TextBody"/>
        <w:bidi w:val="0"/>
        <w:spacing w:before="120" w:after="0"/>
        <w:jc w:val="left"/>
        <w:rPr>
          <w:rFonts w:ascii="Times New Roman" w:hAnsi="Times New Roman"/>
          <w:sz w:val="20"/>
        </w:rPr>
      </w:pPr>
      <w:r>
        <w:rPr>
          <w:rFonts w:ascii="Times New Roman" w:hAnsi="Times New Roman"/>
          <w:sz w:val="20"/>
        </w:rPr>
        <w:t xml:space="preserve">There may be no trading market for any series of the notes. We do not intend to apply for listing of the notes on any securities exchange or for quotation of the notes on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the underwriters that they presently intend to make a market in the notes of each series after the consummation of the offering contemplated by this prospectus supplement, although they are under no obligation to do so and may discontinue any market-making activities at any time without any notice. We cannot assure you that there will be a liquid trading market for any series of the notes or that an active public market for any series of the notes will develop. If an active public trading market for any series of the notes does not develop, the market price and liquidity of such series of notes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underwriters may engage in transactions that stabilize the market price of any series of the notes. Such transactions consist of bids or purchases for the purpose of pegging, fixing or maintaining the price of the notes. If the underwriters create a short position in any series of the notes in connection with the offering, i.e., if they sell more of such series of notes than are set forth on the cover page of this prospectus supplement, the underwriters may reduce that short position by purchasing notes in the open market. In general, purchases of a security for the purpose of stabilization or to reduce a short position could cause the price of the security to be higher than it might be in the absence of such purchases. </w:t>
      </w:r>
    </w:p>
    <w:p>
      <w:pPr>
        <w:pStyle w:val="TextBody"/>
        <w:bidi w:val="0"/>
        <w:spacing w:before="240" w:after="0"/>
        <w:jc w:val="left"/>
        <w:rPr>
          <w:rFonts w:ascii="Times New Roman" w:hAnsi="Times New Roman"/>
          <w:sz w:val="20"/>
        </w:rPr>
      </w:pPr>
      <w:r>
        <w:rPr>
          <w:rFonts w:ascii="Times New Roman" w:hAnsi="Times New Roman"/>
          <w:sz w:val="20"/>
        </w:rPr>
        <w:t xml:space="preserve">Neither our Company nor any of the underwriters makes any representation or prediction as to the direction or magnitude of any effect that the transactions described above may have on the price of any series of the notes. In addition, neither we nor any of the underwriters makes any representation that the underwriters will engage in such transactions or that such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Sales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offered and sold in the United States and certain jurisdictions outside the United States in which such offer and sale is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 xml:space="preserve">Registration Requirements, Exemptions and Ongoing Registrant Obligations. </w:t>
      </w:r>
      <w:r>
        <w:rPr>
          <w:rFonts w:ascii="Times New Roman" w:hAnsi="Times New Roman"/>
          <w:sz w:val="20"/>
        </w:rPr>
        <w:t xml:space="preserve">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in Canada.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not a qualified investor as defined in paragraph 15 of Schedule 1 to the Public Offers and Admissions to Trading Regulations 2024 (the “POATRs”).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(“DISC”) for offering, selling or distributing the notes or otherwise making them available to retail investors in the UK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the UK will be made pursuant to an exception from the prohibition on public offers of relevant securities in the POATRs in circumstances not requiring a prospectus pursuant to the FCA Handbook Admission to Trading on a Regulated Market Sourcebook (“PRM Sourcebook”). Neither this prospectus supplement, nor the accompanying prospectus, is a prospectus for the purposes of the POATRs or the PRM Sourcebook.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is being distributed only to, and is directed only at, non-retail investors (being persons who are not retail investors as defined in this section titled “United Kingdom”)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bodies corporate, unincorporated associations and partnerships and trustees of high value trusts described in Article 49(2)(a) to (c) of the Order; or (iii)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being referred to as “Relevant Persons”. In the UK, any investment or investment activity to which this prospectus supplement or the accompanying prospectus relates is available only to, and will be engaged in only with, Relevant Persons. Any person in the UK that is not a Relevant Person should not act or rely on this prospectus supplement, the accompanying prospectus or their contents.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(the “Financial Instruments and Exchange Act”) and no underwriter may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and will not be registered as a prospectus with the Monetary Authority of Singapore. Accordingly, this prospectus supplement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transferred within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(3) the transfer is by operation of law; (4) as specified in Section 276(7) of the SFA; or (5) as specified in Regulation 37A of the Securities and Futures (Offers of Investments) (Securities and Securities-based Derivatives Contracts) Regulations 2018. </w:t>
      </w:r>
    </w:p>
    <w:p>
      <w:pPr>
        <w:pStyle w:val="TextBody"/>
        <w:bidi w:val="0"/>
        <w:spacing w:before="240" w:after="0"/>
        <w:jc w:val="left"/>
        <w:rPr>
          <w:rFonts w:ascii="Times New Roman" w:hAnsi="Times New Roman"/>
          <w:sz w:val="20"/>
        </w:rPr>
      </w:pPr>
      <w:r>
        <w:rPr>
          <w:rFonts w:ascii="Times New Roman" w:hAnsi="Times New Roman"/>
          <w:i/>
          <w:sz w:val="20"/>
        </w:rPr>
        <w:t xml:space="preserve">Singapore Securities and Futures Act Product Classification. </w:t>
      </w:r>
      <w:r>
        <w:rPr>
          <w:rFonts w:ascii="Times New Roman" w:hAnsi="Times New Roman"/>
          <w:sz w:val="20"/>
        </w:rPr>
        <w:t xml:space="preserve">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the public or a solicitation to purchase or invest in the notes in Switzerland. No notes have been offered or will be offered to the public in Switzerland, except that offers of notes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joint book-running managers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provided that no such offer of notes shall require us or any underwriter to publish a prospectus pursuant to Article 35 FinSA.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the accompanying prospectus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reviewed, approved or licensed by the Central Bank of the United Arab Emirates (the “UAE”), the Securities and Commodities Authority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SCA”) or any other relevant licensing authority in the UAE including any licensing authority incorporated under the laws and regulations of any of the free zones established and operating in the UAE including, without limitation, the Dubai Financial Services Authority, a regulatory authority of the Dubai International Financial Centre.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not intended to, and do not, constitute an offer, sale or delivery of shares or other securities under the laws of the UAE. The notes have not been and will not be registered with the SCA or the UAE Central Bank, the Dubai Financial Market, the Abu Dhabi Securities Market or any other UAE regulatory authority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issue and/or sale of the notes has not been approved or licensed by the SCA, the UAE Central Bank or any other relevant licensing authority in the UAE and does not constitute a public offer of securities in the UAE in accordance with the Commercial Companies Law, Federal Law No. 1 of 2015 (as amended) or otherwise, does not constitute an offer in the UAE in accordance with the Board Decision No. 37 of 2012 Concerning the Regulation of Investment Funds (whether by a Foreign Fund, as defined therein, or otherwise) and further does not constitute the brokerage of securities in the UAE in accordance with the Board Decision No. 27 of 2014 Concerning Brokerage in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commercial banking and other commercial services in the ordinary course of business with us. Certain of the underwriters or one or more of their affiliates are lenders, and in some cases also agents, under our Credit Facility and/or may hold certain of any outstanding borrowings under our commercial paper program. In addition, certain of the underwriters also acted as underwriters for one or more of our prior issuances of senior notes under the Indenture, and BNY Mellon Capital Markets, LLC, one of the underwriters, is an affiliate of the Trustee. Each of J.P. Morgan Securities LLC, PNC Capital Markets LLC, Truist Securities, Inc. and U.S. Bancorp Investments, Inc. acted as an underwriter for our issuance of the initial Series NN Notes in February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Such investments and securities activities may involve securities and/or instruments of ours or our affiliates. If any of the underwriters or their affiliates has a lending relationship with us, certain of those underwriters or their affiliates routinely hedge, certain other of those underwriters or their affiliates are likely to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underwriter that is not a U.S.-registered broker-dealer intends to effect sales of the Notes in the United States, it will do so through one or more U.S.-registered broker-dealers in accordance with the applicable U.S. securities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other underwriters in the United States. ICBC Standard Bank Plc shall offer and sell the Notes constituting part of its allotment solely outside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Extended 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August 13, 2026, which will be the second business day following the date of the prospectus supplement (such settlement being referred to as “T+2”). Under Rule 15c6-1 under the Exchange Act, trades in the secondary market are required to settle in one business day, unless the parties to any such trade expressly agree otherwise. Accordingly, purchasers who wish to trade the notes before the date that is one business day prior to the settlement date will be required, by virtue of the fact that the notes initially settle in T+2, to specify an alternative settlement arrangement at the time of any such trade to prevent a failed settlement. Purchasers who wish to trade notes prior to their date of delivery hereunder should consult their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rom158956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offered hereby will be passed upon for us by Gibson, Dunn &amp; Crutcher LLP, New York, New York. Certain legal matters relating to the notes offered hereby will be passed upon for the underwriters by Simpson Thacher &amp; Bartlett LLP, New York, New York. </w:t>
      </w:r>
    </w:p>
    <w:p>
      <w:pPr>
        <w:pStyle w:val="TextBody"/>
        <w:bidi w:val="0"/>
        <w:spacing w:before="480" w:after="0"/>
        <w:jc w:val="center"/>
        <w:rPr>
          <w:rFonts w:ascii="Times New Roman" w:hAnsi="Times New Roman"/>
          <w:b/>
          <w:sz w:val="20"/>
        </w:rPr>
      </w:pPr>
      <w:bookmarkStart w:id="12" w:name="supprom158956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Marriott International, Inc. appearing in Marriott International, Inc.’s Annual Report (Form 10-K) for the fiscal year ended December 31, 2025, and the effectiveness of Marriott International,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Marriott International, Inc. management’s assessment of the effectiveness of internal control over financial reporting as of December 31, 2025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rom158956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The SEC maintains a website that contains reports, proxy and information statements and other information regarding registrants that file electronically with the SEC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make our annual, quarterly and current reports, proxy statements and other information available free of charge on our investor relations website, www.marriott.com/investor, as soon as reasonably practicable after we electronically file these materials with, or furnish them to, the SEC. We routinely post information on our investor relations website and our news center website, www.marriottnewscenter.com. We encourage investors to review and subscribe to the information we post on these websites. The contents of these websites are not incorporated by reference in this prospectus supplement or any report or document we file with the SEC, and any references to the websites are intended to be inactive textual references only.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and related exhibits with the SEC under the Securities Act. The registration statement contains additional information about us and the securities we may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rom158956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5">
              <w:r>
                <w:rPr>
                  <w:rStyle w:val="InternetLink"/>
                  <w:rFonts w:ascii="Times New Roman" w:hAnsi="Times New Roman"/>
                  <w:sz w:val="20"/>
                </w:rPr>
                <w:t>proxy statement</w:t>
              </w:r>
            </w:hyperlink>
            <w:r>
              <w:rPr>
                <w:rFonts w:ascii="Times New Roman" w:hAnsi="Times New Roman"/>
                <w:sz w:val="20"/>
              </w:rPr>
              <w:t xml:space="preserve"> for our 2026 annual meeting of stockholders filed on March 27, 2026 that are incorporated by reference into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w:t>
            </w:r>
            <w:hyperlink r:id="rId6">
              <w:r>
                <w:rPr>
                  <w:rStyle w:val="InternetLink"/>
                  <w:rFonts w:ascii="Times New Roman" w:hAnsi="Times New Roman"/>
                  <w:sz w:val="20"/>
                </w:rPr>
                <w:t>March  31, 2026</w:t>
              </w:r>
            </w:hyperlink>
            <w:r>
              <w:rPr>
                <w:rFonts w:ascii="Times New Roman" w:hAnsi="Times New Roman"/>
                <w:sz w:val="20"/>
              </w:rPr>
              <w:t xml:space="preserve"> and</w:t>
            </w:r>
            <w:hyperlink r:id="rId7">
              <w:r>
                <w:rPr>
                  <w:rStyle w:val="InternetLink"/>
                  <w:rFonts w:ascii="Times New Roman" w:hAnsi="Times New Roman"/>
                  <w:sz w:val="20"/>
                </w:rPr>
                <w:t xml:space="preserve"> 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8">
              <w:r>
                <w:rPr>
                  <w:rStyle w:val="InternetLink"/>
                  <w:rFonts w:ascii="Times New Roman" w:hAnsi="Times New Roman"/>
                  <w:sz w:val="20"/>
                </w:rPr>
                <w:t>January  9, 2026</w:t>
              </w:r>
            </w:hyperlink>
            <w:r>
              <w:rPr>
                <w:rFonts w:ascii="Times New Roman" w:hAnsi="Times New Roman"/>
                <w:sz w:val="20"/>
              </w:rPr>
              <w:t xml:space="preserve"> (Item 5.02 only), </w:t>
            </w:r>
            <w:hyperlink r:id="rId9">
              <w:r>
                <w:rPr>
                  <w:rStyle w:val="InternetLink"/>
                  <w:rFonts w:ascii="Times New Roman" w:hAnsi="Times New Roman"/>
                  <w:sz w:val="20"/>
                </w:rPr>
                <w:t>February  6, 2026</w:t>
              </w:r>
            </w:hyperlink>
            <w:r>
              <w:rPr>
                <w:rFonts w:ascii="Times New Roman" w:hAnsi="Times New Roman"/>
                <w:sz w:val="20"/>
              </w:rPr>
              <w:t xml:space="preserve">, </w:t>
            </w:r>
            <w:hyperlink r:id="rId10">
              <w:r>
                <w:rPr>
                  <w:rStyle w:val="InternetLink"/>
                  <w:rFonts w:ascii="Times New Roman" w:hAnsi="Times New Roman"/>
                  <w:sz w:val="20"/>
                </w:rPr>
                <w:t>February  20, 2026</w:t>
              </w:r>
            </w:hyperlink>
            <w:r>
              <w:rPr>
                <w:rFonts w:ascii="Times New Roman" w:hAnsi="Times New Roman"/>
                <w:sz w:val="20"/>
              </w:rPr>
              <w:t xml:space="preserve"> and </w:t>
            </w:r>
            <w:hyperlink r:id="rId11">
              <w:r>
                <w:rPr>
                  <w:rStyle w:val="InternetLink"/>
                  <w:rFonts w:ascii="Times New Roman" w:hAnsi="Times New Roman"/>
                  <w:sz w:val="20"/>
                </w:rPr>
                <w:t>May 13,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Exchange Act after the date of this prospectus supplement and before the termination of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supplement and the accompanying prospectus have been delivered, including any beneficial owner, a copy of any and all of the documents referred to herein that are summarized in this prospectus supplement and the accompanying prospectus, if such person makes a written or oral request directed to: </w:t>
      </w:r>
    </w:p>
    <w:p>
      <w:pPr>
        <w:pStyle w:val="TextBody"/>
        <w:bidi w:val="0"/>
        <w:spacing w:before="240" w:after="0"/>
        <w:jc w:val="center"/>
        <w:rPr>
          <w:rFonts w:ascii="Times New Roman" w:hAnsi="Times New Roman"/>
          <w:sz w:val="20"/>
        </w:rPr>
      </w:pPr>
      <w:r>
        <w:rPr>
          <w:rFonts w:ascii="Times New Roman" w:hAnsi="Times New Roman"/>
          <w:sz w:val="20"/>
        </w:rPr>
        <w:t xml:space="preserve">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center"/>
        <w:rPr>
          <w:rFonts w:ascii="Times New Roman" w:hAnsi="Times New Roman"/>
          <w:sz w:val="20"/>
        </w:rPr>
      </w:pPr>
      <w:r>
        <w:rPr>
          <w:rFonts w:ascii="Times New Roman" w:hAnsi="Times New Roman"/>
          <w:sz w:val="20"/>
        </w:rPr>
        <w:t xml:space="preserve">7750 Wisconsin Avenue </w:t>
      </w:r>
    </w:p>
    <w:p>
      <w:pPr>
        <w:pStyle w:val="TextBody"/>
        <w:bidi w:val="0"/>
        <w:spacing w:before="0" w:after="0"/>
        <w:jc w:val="center"/>
        <w:rPr>
          <w:rFonts w:ascii="Times New Roman" w:hAnsi="Times New Roman"/>
          <w:sz w:val="20"/>
        </w:rPr>
      </w:pPr>
      <w:r>
        <w:rPr>
          <w:rFonts w:ascii="Times New Roman" w:hAnsi="Times New Roman"/>
          <w:sz w:val="20"/>
        </w:rPr>
        <w:t xml:space="preserve">Department 52/862 </w:t>
      </w:r>
    </w:p>
    <w:p>
      <w:pPr>
        <w:pStyle w:val="TextBody"/>
        <w:bidi w:val="0"/>
        <w:spacing w:before="0" w:after="0"/>
        <w:jc w:val="center"/>
        <w:rPr>
          <w:rFonts w:ascii="Times New Roman" w:hAnsi="Times New Roman"/>
          <w:sz w:val="20"/>
        </w:rPr>
      </w:pPr>
      <w:r>
        <w:rPr>
          <w:rFonts w:ascii="Times New Roman" w:hAnsi="Times New Roman"/>
          <w:sz w:val="20"/>
        </w:rPr>
        <w:t xml:space="preserve">Bethesda, Maryland 20814 </w:t>
      </w:r>
    </w:p>
    <w:p>
      <w:pPr>
        <w:pStyle w:val="TextBody"/>
        <w:bidi w:val="0"/>
        <w:spacing w:before="0" w:after="0"/>
        <w:jc w:val="center"/>
        <w:rPr>
          <w:rFonts w:ascii="Times New Roman" w:hAnsi="Times New Roman"/>
          <w:sz w:val="20"/>
        </w:rPr>
      </w:pPr>
      <w:r>
        <w:rPr>
          <w:rFonts w:ascii="Times New Roman" w:hAnsi="Times New Roman"/>
          <w:sz w:val="20"/>
        </w:rPr>
        <w:t xml:space="preserve">(301) 380-3000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MARRIOTT INTERNATIONAL,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offer to sell our common stock, preferred stock or debt securities, either separately or represented by warrants, depositary shares or purchase contracts, as well as units that include any of these securities or securities of other entities. The debt securities may consist of debentures, notes or other types of debt. Our Class A Common Stock is listed on the Nasdaq Global Select Market and trades under the ticker symbol “MAR.” The debt securities, preferred stock, warrants and purchase contracts may be convertible or exercisable or exchangeable for common or preferred stock or other securities of ours or debt or equity securities of one or more other entities.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These securities also may be resold by security holders. We will provide specific terms of any securities to be offered in supplements to this prospectus. You should read this prospectus and the applicable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7750 Wisconsin Avenue, Maryland 20814. Our telephone number is (301) 380-3000.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See the “Risk Factors” section of our filings with the Securities and Exchange Commission and the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13,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0"/>
        <w:gridCol w:w="389"/>
        <w:gridCol w:w="145"/>
        <w:gridCol w:w="340"/>
        <w:gridCol w:w="61"/>
      </w:tblGrid>
      <w:tr>
        <w:trPr/>
        <w:tc>
          <w:tcPr>
            <w:tcW w:w="927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27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1">
              <w:r>
                <w:rPr>
                  <w:rStyle w:val="InternetLink"/>
                  <w:rFonts w:ascii="Times New Roman" w:hAnsi="Times New Roman"/>
                  <w:sz w:val="20"/>
                </w:rPr>
                <w:t>WHERE YOU CAN FIND MORE INFORMATION</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2">
              <w:r>
                <w:rPr>
                  <w:rStyle w:val="InternetLink"/>
                  <w:rFonts w:ascii="Times New Roman" w:hAnsi="Times New Roman"/>
                  <w:sz w:val="20"/>
                </w:rPr>
                <w:t>INCORPORATION BY REFERENCE</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3">
              <w:r>
                <w:rPr>
                  <w:rStyle w:val="InternetLink"/>
                  <w:rFonts w:ascii="Times New Roman" w:hAnsi="Times New Roman"/>
                  <w:sz w:val="20"/>
                </w:rPr>
                <w:t>USE OF PROCEEDS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4">
              <w:r>
                <w:rPr>
                  <w:rStyle w:val="InternetLink"/>
                  <w:rFonts w:ascii="Times New Roman" w:hAnsi="Times New Roman"/>
                  <w:sz w:val="20"/>
                </w:rPr>
                <w:t>DESCRIPTION OF SECURITIES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5">
              <w:r>
                <w:rPr>
                  <w:rStyle w:val="InternetLink"/>
                  <w:rFonts w:ascii="Times New Roman" w:hAnsi="Times New Roman"/>
                  <w:sz w:val="20"/>
                </w:rPr>
                <w:t>SELLING SECURITY HOLDERS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6">
              <w:r>
                <w:rPr>
                  <w:rStyle w:val="InternetLink"/>
                  <w:rFonts w:ascii="Times New Roman" w:hAnsi="Times New Roman"/>
                  <w:sz w:val="20"/>
                </w:rPr>
                <w:t>PLAN OF DISTRIBUTION</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7">
              <w:r>
                <w:rPr>
                  <w:rStyle w:val="InternetLink"/>
                  <w:rFonts w:ascii="Times New Roman" w:hAnsi="Times New Roman"/>
                  <w:sz w:val="20"/>
                </w:rPr>
                <w:t>VALIDITY OF SECURITIES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70" w:type="dxa"/>
            <w:tcBorders/>
            <w:vAlign w:val="bottom"/>
          </w:tcPr>
          <w:p>
            <w:pPr>
              <w:pStyle w:val="TableContents"/>
              <w:bidi w:val="0"/>
              <w:spacing w:before="0" w:after="0"/>
              <w:jc w:val="left"/>
              <w:rPr/>
            </w:pPr>
            <w:hyperlink w:anchor="tx158956_8">
              <w:r>
                <w:rPr>
                  <w:rStyle w:val="InternetLink"/>
                  <w:rFonts w:ascii="Times New Roman" w:hAnsi="Times New Roman"/>
                  <w:sz w:val="20"/>
                </w:rPr>
                <w:t>EXPERTS</w:t>
              </w:r>
            </w:hyperlink>
          </w:p>
        </w:tc>
        <w:tc>
          <w:tcPr>
            <w:tcW w:w="38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158956_1"/>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Securities and Exchange Commission (the “SEC”). The SEC maintains a website that contains reports, proxy and information statements and other information regarding registrants that file electronically with the SEC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our annual, quarterly and current reports, proxy statements and other information available free of charge on our investor relations website, www.marriott.com/investor, as soon as reasonably practicable after we electronically file these materials with, or furnish them to, the SEC. We routinely post information on our investor relations website and our news center website, www.marriottnewscenter.com. We encourage investors to review and subscribe to the information we post on these websites. The contents of these websites are not incorporated by reference in this prospectus or any report or document we file with the SEC, and any references to the websites are intended to be inactive textual references only.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and related exhibits with the SEC under the Securities Act of 1933, as amended (the “Securities Act”). The registration statement contains additional information about us and the securities we may issue.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the “Company,” “we,” “us,” and “our” refer to Marriott International, Inc. and its subsidiaries. </w:t>
      </w:r>
    </w:p>
    <w:p>
      <w:pPr>
        <w:pStyle w:val="TextBody"/>
        <w:bidi w:val="0"/>
        <w:spacing w:before="480" w:after="0"/>
        <w:jc w:val="center"/>
        <w:rPr>
          <w:rFonts w:ascii="Times New Roman" w:hAnsi="Times New Roman"/>
          <w:b/>
          <w:sz w:val="20"/>
        </w:rPr>
      </w:pPr>
      <w:bookmarkStart w:id="16" w:name="tx158956_2"/>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fiscal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13">
              <w:r>
                <w:rPr>
                  <w:rStyle w:val="InternetLink"/>
                  <w:rFonts w:ascii="Times New Roman" w:hAnsi="Times New Roman"/>
                  <w:sz w:val="20"/>
                </w:rPr>
                <w:t>proxy statement</w:t>
              </w:r>
            </w:hyperlink>
            <w:r>
              <w:rPr>
                <w:rFonts w:ascii="Times New Roman" w:hAnsi="Times New Roman"/>
                <w:sz w:val="20"/>
              </w:rPr>
              <w:t xml:space="preserve"> for our 2023 annual meeting of stockholders filed on March 28, 2023 that are incorporated by reference into our Annual Report on Form 10-K for the fiscal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Class A Common Stock set forth under the caption “Description of the New Marriott Capital Stock” in our Registration Statement on </w:t>
            </w:r>
            <w:hyperlink r:id="rId14">
              <w:r>
                <w:rPr>
                  <w:rStyle w:val="InternetLink"/>
                  <w:rFonts w:ascii="Times New Roman" w:hAnsi="Times New Roman"/>
                  <w:sz w:val="20"/>
                </w:rPr>
                <w:t>Form 10</w:t>
              </w:r>
            </w:hyperlink>
            <w:r>
              <w:rPr>
                <w:rFonts w:ascii="Times New Roman" w:hAnsi="Times New Roman"/>
                <w:sz w:val="20"/>
              </w:rPr>
              <w:t xml:space="preserve">, filed on February  13, 1998, as updated by </w:t>
            </w:r>
            <w:hyperlink r:id="rId15">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2023 filed on February 13, 2024, and as subsequently amended or updated;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Securities Exchange Act of 1934, as amended, after the date of this prospectus and before the termination of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has been delivered, including any beneficial owner, a copy of any and all of the documents referred to herein that are summarized in this prospectus, if such person makes a written or oral request directed to: </w:t>
      </w:r>
    </w:p>
    <w:p>
      <w:pPr>
        <w:pStyle w:val="TextBody"/>
        <w:bidi w:val="0"/>
        <w:spacing w:before="12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Marriott International, Inc. </w:t>
      </w:r>
    </w:p>
    <w:p>
      <w:pPr>
        <w:pStyle w:val="TextBody"/>
        <w:bidi w:val="0"/>
        <w:spacing w:before="0" w:after="0"/>
        <w:jc w:val="left"/>
        <w:rPr>
          <w:rFonts w:ascii="Times New Roman" w:hAnsi="Times New Roman"/>
          <w:sz w:val="20"/>
        </w:rPr>
      </w:pPr>
      <w:r>
        <w:rPr>
          <w:rFonts w:ascii="Times New Roman" w:hAnsi="Times New Roman"/>
          <w:sz w:val="20"/>
        </w:rPr>
        <w:t xml:space="preserve">7750 Wisconsin Avenue </w:t>
      </w:r>
    </w:p>
    <w:p>
      <w:pPr>
        <w:pStyle w:val="TextBody"/>
        <w:bidi w:val="0"/>
        <w:spacing w:before="0" w:after="0"/>
        <w:jc w:val="left"/>
        <w:rPr>
          <w:rFonts w:ascii="Times New Roman" w:hAnsi="Times New Roman"/>
          <w:sz w:val="20"/>
        </w:rPr>
      </w:pPr>
      <w:r>
        <w:rPr>
          <w:rFonts w:ascii="Times New Roman" w:hAnsi="Times New Roman"/>
          <w:sz w:val="20"/>
        </w:rPr>
        <w:t xml:space="preserve">Bethesda, Maryland 20814 </w:t>
      </w:r>
    </w:p>
    <w:p>
      <w:pPr>
        <w:pStyle w:val="TextBody"/>
        <w:bidi w:val="0"/>
        <w:spacing w:before="0" w:after="0"/>
        <w:jc w:val="left"/>
        <w:rPr>
          <w:rFonts w:ascii="Times New Roman" w:hAnsi="Times New Roman"/>
          <w:sz w:val="20"/>
        </w:rPr>
      </w:pPr>
      <w:r>
        <w:rPr>
          <w:rFonts w:ascii="Times New Roman" w:hAnsi="Times New Roman"/>
          <w:sz w:val="20"/>
        </w:rPr>
        <w:t xml:space="preserve">(301) 380-3000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and any supplement. We have not authorized anyone else to provide you with other information. </w:t>
      </w:r>
    </w:p>
    <w:p>
      <w:pPr>
        <w:pStyle w:val="TextBody"/>
        <w:bidi w:val="0"/>
        <w:spacing w:before="480" w:after="0"/>
        <w:jc w:val="center"/>
        <w:rPr>
          <w:rFonts w:ascii="Times New Roman" w:hAnsi="Times New Roman"/>
          <w:b/>
          <w:sz w:val="20"/>
        </w:rPr>
      </w:pPr>
      <w:bookmarkStart w:id="17" w:name="tx158956_3"/>
      <w:bookmarkEnd w:id="1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our intended use for the net proceeds received by us for our sale of securities under this prospectus. We will not receive the net proceeds of any sales by selling security holders. </w:t>
      </w:r>
    </w:p>
    <w:p>
      <w:pPr>
        <w:pStyle w:val="TextBody"/>
        <w:bidi w:val="0"/>
        <w:spacing w:before="480" w:after="0"/>
        <w:jc w:val="center"/>
        <w:rPr>
          <w:rFonts w:ascii="Times New Roman" w:hAnsi="Times New Roman"/>
          <w:b/>
          <w:sz w:val="20"/>
        </w:rPr>
      </w:pPr>
      <w:bookmarkStart w:id="18" w:name="tx158956_4"/>
      <w:bookmarkEnd w:id="18"/>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the common stock, preferred stock, debt securities, warrants, depositary shares, purchase contracts or units that may be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 document called the “Indenture” will govern debt securities offered under this prospectus. Unless we specify otherwise in the applicable prospectus supplement, the Indenture is a contract between us and The Bank of New York Mellon, as successor to JPMorgan Chase Bank, N.A., formerly known as The Chase Manhattan Bank, which acts as Trustee. We have filed a copy of the Indenture with the SEC. See “Where You Can Find More Information” for information on how to obtain a copy. </w:t>
      </w:r>
    </w:p>
    <w:p>
      <w:pPr>
        <w:pStyle w:val="TextBody"/>
        <w:bidi w:val="0"/>
        <w:spacing w:before="480" w:after="0"/>
        <w:jc w:val="center"/>
        <w:rPr>
          <w:rFonts w:ascii="Times New Roman" w:hAnsi="Times New Roman"/>
          <w:b/>
          <w:sz w:val="20"/>
        </w:rPr>
      </w:pPr>
      <w:bookmarkStart w:id="19" w:name="tx158956_5"/>
      <w:bookmarkEnd w:id="19"/>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information about selling security holders, where applicable, in a prospectus supplement, in a post-effective amendment, or in filings we make with the SEC under the Securities Exchange Act of 1934, as amended, that are incorporated by reference. </w:t>
      </w:r>
    </w:p>
    <w:p>
      <w:pPr>
        <w:pStyle w:val="TextBody"/>
        <w:bidi w:val="0"/>
        <w:spacing w:before="480" w:after="0"/>
        <w:jc w:val="center"/>
        <w:rPr>
          <w:rFonts w:ascii="Times New Roman" w:hAnsi="Times New Roman"/>
          <w:b/>
          <w:sz w:val="20"/>
        </w:rPr>
      </w:pPr>
      <w:bookmarkStart w:id="20" w:name="tx158956_6"/>
      <w:bookmarkEnd w:id="2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through agents, through underwriters or dealers, directly to one or more purchasers, through a combination of any of these methods of sale, or through any other methods described in a prospectus supplement. We will identify the specific plan of distribution, including any underwriters, dealers, agents or direct purchasers and their compensation in a prospectus supplement. </w:t>
      </w:r>
    </w:p>
    <w:p>
      <w:pPr>
        <w:pStyle w:val="TextBody"/>
        <w:bidi w:val="0"/>
        <w:spacing w:before="480" w:after="0"/>
        <w:jc w:val="center"/>
        <w:rPr>
          <w:rFonts w:ascii="Times New Roman" w:hAnsi="Times New Roman"/>
          <w:b/>
          <w:sz w:val="20"/>
        </w:rPr>
      </w:pPr>
      <w:bookmarkStart w:id="21" w:name="tx158956_7"/>
      <w:bookmarkEnd w:id="21"/>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will pass upon the validity of any securities issued under this prospectus. Any underwriters will be represented by their own legal counsel, which will be named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158956_8"/>
      <w:bookmarkEnd w:id="2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Marriott International, Inc. appearing in Marriott International, Inc.’s Annual Report (Form 10-K) for the fiscal year ended December 31, 2023, and the effectiveness of Marriott International, Inc.’s internal control over financial reporting as of December 31,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$1,250,000,000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3160" cy="7727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2423160" cy="77279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MARRIOTT INTERNATIONAL, INC. </w:t>
      </w:r>
    </w:p>
    <w:p>
      <w:pPr>
        <w:pStyle w:val="TextBody"/>
        <w:bidi w:val="0"/>
        <w:spacing w:before="480" w:after="0"/>
        <w:jc w:val="center"/>
        <w:rPr>
          <w:rFonts w:ascii="Times New Roman" w:hAnsi="Times New Roman"/>
          <w:b/>
          <w:sz w:val="28"/>
        </w:rPr>
      </w:pPr>
      <w:r>
        <w:rPr>
          <w:rFonts w:ascii="Times New Roman" w:hAnsi="Times New Roman"/>
          <w:b/>
          <w:sz w:val="28"/>
        </w:rPr>
        <w:t xml:space="preserve">$250,000,000 4.875% Series NN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$1,000,000,000 5.650% Series YY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sz w:val="20"/>
        </w:rPr>
      </w:pPr>
      <w:r>
        <w:rPr>
          <w:rFonts w:ascii="Times New Roman" w:hAnsi="Times New Roman"/>
          <w:i/>
          <w:sz w:val="20"/>
        </w:rPr>
        <w:t>Joint Book-Running Managers</w:t>
      </w:r>
      <w:r>
        <w:rPr>
          <w:rFonts w:ascii="Times New Roman" w:hAnsi="Times New Roman"/>
          <w:sz w:val="20"/>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J.P. Morgan </w:t>
      </w:r>
    </w:p>
    <w:p>
      <w:pPr>
        <w:pStyle w:val="TextBody"/>
        <w:bidi w:val="0"/>
        <w:spacing w:before="0" w:after="0"/>
        <w:jc w:val="center"/>
        <w:rPr>
          <w:rFonts w:ascii="Times New Roman" w:hAnsi="Times New Roman"/>
          <w:b/>
          <w:sz w:val="24"/>
        </w:rPr>
      </w:pPr>
      <w:r>
        <w:rPr>
          <w:rFonts w:ascii="Times New Roman" w:hAnsi="Times New Roman"/>
          <w:b/>
          <w:sz w:val="24"/>
        </w:rPr>
        <w:t xml:space="preserve">PNC Capital Markets LLC </w:t>
      </w:r>
    </w:p>
    <w:p>
      <w:pPr>
        <w:pStyle w:val="TextBody"/>
        <w:bidi w:val="0"/>
        <w:spacing w:before="0" w:after="0"/>
        <w:jc w:val="center"/>
        <w:rPr>
          <w:rFonts w:ascii="Times New Roman" w:hAnsi="Times New Roman"/>
          <w:b/>
          <w:sz w:val="24"/>
        </w:rPr>
      </w:pPr>
      <w:r>
        <w:rPr>
          <w:rFonts w:ascii="Times New Roman" w:hAnsi="Times New Roman"/>
          <w:b/>
          <w:sz w:val="24"/>
        </w:rPr>
        <w:t xml:space="preserve">Truist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US Bancorp </w:t>
      </w:r>
    </w:p>
    <w:p>
      <w:pPr>
        <w:pStyle w:val="TextBody"/>
        <w:bidi w:val="0"/>
        <w:spacing w:before="0" w:after="0"/>
        <w:jc w:val="center"/>
        <w:rPr>
          <w:rFonts w:ascii="Times New Roman" w:hAnsi="Times New Roman"/>
          <w:b/>
          <w:sz w:val="24"/>
        </w:rPr>
      </w:pPr>
      <w:r>
        <w:rPr>
          <w:rFonts w:ascii="Times New Roman" w:hAnsi="Times New Roman"/>
          <w:b/>
          <w:sz w:val="24"/>
        </w:rPr>
        <w:t xml:space="preserve">BofA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Deutsche Bank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Wells Fargo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Citigroup </w:t>
      </w:r>
    </w:p>
    <w:p>
      <w:pPr>
        <w:pStyle w:val="TextBody"/>
        <w:bidi w:val="0"/>
        <w:spacing w:before="0" w:after="0"/>
        <w:jc w:val="center"/>
        <w:rPr>
          <w:rFonts w:ascii="Times New Roman" w:hAnsi="Times New Roman"/>
          <w:b/>
          <w:sz w:val="24"/>
        </w:rPr>
      </w:pPr>
      <w:r>
        <w:rPr>
          <w:rFonts w:ascii="Times New Roman" w:hAnsi="Times New Roman"/>
          <w:b/>
          <w:sz w:val="24"/>
        </w:rPr>
        <w:t xml:space="preserve">Fifth Third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Scotiabank </w:t>
      </w:r>
    </w:p>
    <w:p>
      <w:pPr>
        <w:pStyle w:val="TextBody"/>
        <w:bidi w:val="0"/>
        <w:spacing w:before="0" w:after="0"/>
        <w:jc w:val="center"/>
        <w:rPr>
          <w:rFonts w:ascii="Times New Roman" w:hAnsi="Times New Roman"/>
          <w:b/>
          <w:sz w:val="24"/>
        </w:rPr>
      </w:pPr>
      <w:r>
        <w:rPr>
          <w:rFonts w:ascii="Times New Roman" w:hAnsi="Times New Roman"/>
          <w:b/>
          <w:sz w:val="24"/>
        </w:rPr>
        <w:t xml:space="preserve">Goldman Sachs &amp; Co. LLC </w:t>
      </w:r>
    </w:p>
    <w:p>
      <w:pPr>
        <w:pStyle w:val="TextBody"/>
        <w:bidi w:val="0"/>
        <w:spacing w:before="240" w:after="0"/>
        <w:jc w:val="center"/>
        <w:rPr>
          <w:rFonts w:ascii="Times New Roman" w:hAnsi="Times New Roman"/>
          <w:sz w:val="20"/>
        </w:rPr>
      </w:pPr>
      <w:r>
        <w:rPr>
          <w:rFonts w:ascii="Times New Roman" w:hAnsi="Times New Roman"/>
          <w:i/>
          <w:sz w:val="20"/>
        </w:rPr>
        <w:t>Senior Co-Managers</w:t>
      </w:r>
      <w:r>
        <w:rPr>
          <w:rFonts w:ascii="Times New Roman" w:hAnsi="Times New Roman"/>
          <w:sz w:val="20"/>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HSBC </w:t>
      </w:r>
    </w:p>
    <w:p>
      <w:pPr>
        <w:pStyle w:val="TextBody"/>
        <w:bidi w:val="0"/>
        <w:spacing w:before="0" w:after="0"/>
        <w:jc w:val="center"/>
        <w:rPr>
          <w:rFonts w:ascii="Times New Roman" w:hAnsi="Times New Roman"/>
          <w:b/>
          <w:sz w:val="24"/>
        </w:rPr>
      </w:pPr>
      <w:r>
        <w:rPr>
          <w:rFonts w:ascii="Times New Roman" w:hAnsi="Times New Roman"/>
          <w:b/>
          <w:sz w:val="24"/>
        </w:rPr>
        <w:t xml:space="preserve">ICBC Standard Bank </w:t>
      </w:r>
    </w:p>
    <w:p>
      <w:pPr>
        <w:pStyle w:val="TextBody"/>
        <w:bidi w:val="0"/>
        <w:spacing w:before="0" w:after="0"/>
        <w:jc w:val="center"/>
        <w:rPr>
          <w:rFonts w:ascii="Times New Roman" w:hAnsi="Times New Roman"/>
          <w:b/>
          <w:sz w:val="24"/>
        </w:rPr>
      </w:pPr>
      <w:r>
        <w:rPr>
          <w:rFonts w:ascii="Times New Roman" w:hAnsi="Times New Roman"/>
          <w:b/>
          <w:sz w:val="24"/>
        </w:rPr>
        <w:t xml:space="preserve">TD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BNY Capital Markets </w:t>
      </w:r>
    </w:p>
    <w:p>
      <w:pPr>
        <w:pStyle w:val="TextBody"/>
        <w:bidi w:val="0"/>
        <w:spacing w:before="0" w:after="0"/>
        <w:jc w:val="center"/>
        <w:rPr>
          <w:rFonts w:ascii="Times New Roman" w:hAnsi="Times New Roman"/>
          <w:b/>
          <w:sz w:val="24"/>
        </w:rPr>
      </w:pPr>
      <w:r>
        <w:rPr>
          <w:rFonts w:ascii="Times New Roman" w:hAnsi="Times New Roman"/>
          <w:b/>
          <w:sz w:val="24"/>
        </w:rPr>
        <w:t xml:space="preserve">Capital One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Loop Capital Markets </w:t>
      </w:r>
    </w:p>
    <w:p>
      <w:pPr>
        <w:pStyle w:val="TextBody"/>
        <w:bidi w:val="0"/>
        <w:spacing w:before="0" w:after="0"/>
        <w:jc w:val="center"/>
        <w:rPr>
          <w:rFonts w:ascii="Times New Roman" w:hAnsi="Times New Roman"/>
          <w:b/>
          <w:sz w:val="24"/>
        </w:rPr>
      </w:pPr>
      <w:r>
        <w:rPr>
          <w:rFonts w:ascii="Times New Roman" w:hAnsi="Times New Roman"/>
          <w:b/>
          <w:sz w:val="24"/>
        </w:rPr>
        <w:t xml:space="preserve">UniCredit </w:t>
      </w:r>
    </w:p>
    <w:p>
      <w:pPr>
        <w:pStyle w:val="TextBody"/>
        <w:bidi w:val="0"/>
        <w:spacing w:before="0" w:after="0"/>
        <w:jc w:val="center"/>
        <w:rPr>
          <w:rFonts w:ascii="Times New Roman" w:hAnsi="Times New Roman"/>
          <w:b/>
          <w:sz w:val="24"/>
        </w:rPr>
      </w:pPr>
      <w:r>
        <w:rPr>
          <w:rFonts w:ascii="Times New Roman" w:hAnsi="Times New Roman"/>
          <w:b/>
          <w:sz w:val="24"/>
        </w:rPr>
        <w:t xml:space="preserve">NatWest </w:t>
      </w:r>
    </w:p>
    <w:p>
      <w:pPr>
        <w:pStyle w:val="TextBody"/>
        <w:bidi w:val="0"/>
        <w:spacing w:before="0" w:after="0"/>
        <w:jc w:val="center"/>
        <w:rPr>
          <w:rFonts w:ascii="Times New Roman" w:hAnsi="Times New Roman"/>
          <w:b/>
          <w:sz w:val="24"/>
        </w:rPr>
      </w:pPr>
      <w:r>
        <w:rPr>
          <w:rFonts w:ascii="Times New Roman" w:hAnsi="Times New Roman"/>
          <w:b/>
          <w:sz w:val="24"/>
        </w:rPr>
        <w:t xml:space="preserve">Siebert Williams Shank </w:t>
      </w:r>
    </w:p>
    <w:p>
      <w:pPr>
        <w:pStyle w:val="TextBody"/>
        <w:bidi w:val="0"/>
        <w:spacing w:before="0" w:after="0"/>
        <w:jc w:val="center"/>
        <w:rPr>
          <w:rFonts w:ascii="Times New Roman" w:hAnsi="Times New Roman"/>
          <w:b/>
          <w:sz w:val="24"/>
        </w:rPr>
      </w:pPr>
      <w:r>
        <w:rPr>
          <w:rFonts w:ascii="Times New Roman" w:hAnsi="Times New Roman"/>
          <w:b/>
          <w:sz w:val="24"/>
        </w:rPr>
        <w:t xml:space="preserve">Standard Chartered Bank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August 11,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right"/>
        <w:rPr>
          <w:rFonts w:ascii="Times New Roman" w:hAnsi="Times New Roman"/>
          <w:b/>
          <w:sz w:val="20"/>
        </w:rPr>
      </w:pPr>
      <w:bookmarkStart w:id="23" w:name="d158956dexfilingfees.htm"/>
      <w:bookmarkStart w:id="24" w:name="ksd158956dexfilingfees"/>
      <w:bookmarkEnd w:id="23"/>
      <w:bookmarkEnd w:id="24"/>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40"/>
        </w:rPr>
      </w:pPr>
      <w:r>
        <w:rPr>
          <w:rFonts w:ascii="Times New Roman" w:hAnsi="Times New Roman"/>
          <w:b/>
          <w:sz w:val="40"/>
        </w:rPr>
        <w:t>424(b)(5)</w:t>
      </w:r>
    </w:p>
    <w:p>
      <w:pPr>
        <w:pStyle w:val="TextBody"/>
        <w:bidi w:val="0"/>
        <w:spacing w:before="24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40"/>
        </w:rPr>
      </w:pPr>
      <w:r>
        <w:rPr>
          <w:rFonts w:ascii="Times New Roman" w:hAnsi="Times New Roman"/>
          <w:b/>
          <w:sz w:val="40"/>
        </w:rPr>
        <w:t>Marriott International, Inc.</w:t>
      </w:r>
    </w:p>
    <w:p>
      <w:pPr>
        <w:pStyle w:val="TextBody"/>
        <w:bidi w:val="0"/>
        <w:spacing w:before="24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pacing w:val="0"/>
          <w:sz w:val="20"/>
          <w:u w:val="single"/>
        </w:rPr>
      </w:pPr>
      <w:r>
        <w:rPr>
          <w:rFonts w:ascii="Times New Roman" w:hAnsi="Times New Roman"/>
          <w:spacing w:val="0"/>
          <w:sz w:val="20"/>
          <w:u w:val="single"/>
        </w:rPr>
        <w:t xml:space="preserve">Table 1: Newly Registered and Carry Forward Securities </w:t>
      </w:r>
    </w:p>
    <w:p>
      <w:pPr>
        <w:pStyle w:val="TextBody"/>
        <w:bidi w:val="0"/>
        <w:spacing w:before="0" w:after="0"/>
        <w:jc w:val="left"/>
        <w:rPr/>
      </w:pPr>
      <w:r>
        <w:rPr/>
        <w:t> </w:t>
      </w:r>
    </w:p>
    <w:tbl>
      <w:tblPr>
        <w:tblW w:w="14120" w:type="dxa"/>
        <w:jc w:val="left"/>
        <w:tblInd w:w="0" w:type="dxa"/>
        <w:tblLayout w:type="fixed"/>
        <w:tblCellMar>
          <w:top w:w="0" w:type="dxa"/>
          <w:left w:w="0" w:type="dxa"/>
          <w:bottom w:w="0" w:type="dxa"/>
          <w:right w:w="0" w:type="dxa"/>
        </w:tblCellMar>
      </w:tblPr>
      <w:tblGrid>
        <w:gridCol w:w="1595"/>
        <w:gridCol w:w="60"/>
        <w:gridCol w:w="590"/>
        <w:gridCol w:w="60"/>
        <w:gridCol w:w="1295"/>
        <w:gridCol w:w="60"/>
        <w:gridCol w:w="965"/>
        <w:gridCol w:w="60"/>
        <w:gridCol w:w="1520"/>
        <w:gridCol w:w="60"/>
        <w:gridCol w:w="800"/>
        <w:gridCol w:w="60"/>
        <w:gridCol w:w="1520"/>
        <w:gridCol w:w="60"/>
        <w:gridCol w:w="1160"/>
        <w:gridCol w:w="60"/>
        <w:gridCol w:w="1220"/>
        <w:gridCol w:w="60"/>
        <w:gridCol w:w="605"/>
        <w:gridCol w:w="60"/>
        <w:gridCol w:w="605"/>
        <w:gridCol w:w="60"/>
        <w:gridCol w:w="650"/>
        <w:gridCol w:w="60"/>
        <w:gridCol w:w="8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59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Security</w:t>
            </w:r>
          </w:p>
          <w:p>
            <w:pPr>
              <w:pStyle w:val="TableContents"/>
              <w:bidi w:val="0"/>
              <w:spacing w:before="0" w:after="20"/>
              <w:jc w:val="center"/>
              <w:rPr>
                <w:rFonts w:ascii="Times New Roman" w:hAnsi="Times New Roman"/>
                <w:sz w:val="16"/>
              </w:rPr>
            </w:pPr>
            <w:r>
              <w:rPr>
                <w:rFonts w:ascii="Times New Roman" w:hAnsi="Times New Roman"/>
                <w:sz w:val="16"/>
              </w:rPr>
              <w:t>Type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Security</w:t>
            </w:r>
          </w:p>
          <w:p>
            <w:pPr>
              <w:pStyle w:val="TableContents"/>
              <w:bidi w:val="0"/>
              <w:spacing w:before="0" w:after="0"/>
              <w:jc w:val="center"/>
              <w:rPr>
                <w:rFonts w:ascii="Times New Roman" w:hAnsi="Times New Roman"/>
                <w:sz w:val="16"/>
              </w:rPr>
            </w:pPr>
            <w:r>
              <w:rPr>
                <w:rFonts w:ascii="Times New Roman" w:hAnsi="Times New Roman"/>
                <w:sz w:val="16"/>
              </w:rPr>
              <w:t>Class</w:t>
            </w:r>
          </w:p>
          <w:p>
            <w:pPr>
              <w:pStyle w:val="TableContents"/>
              <w:bidi w:val="0"/>
              <w:spacing w:before="0" w:after="20"/>
              <w:jc w:val="center"/>
              <w:rPr>
                <w:rFonts w:ascii="Times New Roman" w:hAnsi="Times New Roman"/>
                <w:sz w:val="16"/>
              </w:rPr>
            </w:pPr>
            <w:r>
              <w:rPr>
                <w:rFonts w:ascii="Times New Roman" w:hAnsi="Times New Roman"/>
                <w:sz w:val="16"/>
              </w:rPr>
              <w:t>Title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6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Fee</w:t>
            </w:r>
          </w:p>
          <w:p>
            <w:pPr>
              <w:pStyle w:val="TableContents"/>
              <w:bidi w:val="0"/>
              <w:spacing w:before="0" w:after="0"/>
              <w:jc w:val="center"/>
              <w:rPr>
                <w:rFonts w:ascii="Times New Roman" w:hAnsi="Times New Roman"/>
                <w:sz w:val="16"/>
              </w:rPr>
            </w:pPr>
            <w:r>
              <w:rPr>
                <w:rFonts w:ascii="Times New Roman" w:hAnsi="Times New Roman"/>
                <w:sz w:val="16"/>
              </w:rPr>
              <w:t>Calculation</w:t>
            </w:r>
          </w:p>
          <w:p>
            <w:pPr>
              <w:pStyle w:val="TableContents"/>
              <w:bidi w:val="0"/>
              <w:spacing w:before="0" w:after="0"/>
              <w:jc w:val="center"/>
              <w:rPr>
                <w:rFonts w:ascii="Times New Roman" w:hAnsi="Times New Roman"/>
                <w:sz w:val="16"/>
              </w:rPr>
            </w:pPr>
            <w:r>
              <w:rPr>
                <w:rFonts w:ascii="Times New Roman" w:hAnsi="Times New Roman"/>
                <w:sz w:val="16"/>
              </w:rPr>
              <w:t>or Carry</w:t>
            </w:r>
          </w:p>
          <w:p>
            <w:pPr>
              <w:pStyle w:val="TableContents"/>
              <w:bidi w:val="0"/>
              <w:spacing w:before="0" w:after="0"/>
              <w:jc w:val="center"/>
              <w:rPr>
                <w:rFonts w:ascii="Times New Roman" w:hAnsi="Times New Roman"/>
                <w:sz w:val="16"/>
              </w:rPr>
            </w:pPr>
            <w:r>
              <w:rPr>
                <w:rFonts w:ascii="Times New Roman" w:hAnsi="Times New Roman"/>
                <w:sz w:val="16"/>
              </w:rPr>
              <w:t>Forward</w:t>
            </w:r>
          </w:p>
          <w:p>
            <w:pPr>
              <w:pStyle w:val="TableContents"/>
              <w:bidi w:val="0"/>
              <w:spacing w:before="0" w:after="20"/>
              <w:jc w:val="center"/>
              <w:rPr>
                <w:rFonts w:ascii="Times New Roman" w:hAnsi="Times New Roman"/>
                <w:sz w:val="16"/>
              </w:rPr>
            </w:pPr>
            <w:r>
              <w:rPr>
                <w:rFonts w:ascii="Times New Roman" w:hAnsi="Times New Roman"/>
                <w:sz w:val="16"/>
              </w:rPr>
              <w:t>Rule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Amount</w:t>
            </w:r>
          </w:p>
          <w:p>
            <w:pPr>
              <w:pStyle w:val="TableContents"/>
              <w:bidi w:val="0"/>
              <w:spacing w:before="0" w:after="20"/>
              <w:jc w:val="center"/>
              <w:rPr>
                <w:rFonts w:ascii="Times New Roman" w:hAnsi="Times New Roman"/>
                <w:sz w:val="16"/>
              </w:rPr>
            </w:pPr>
            <w:r>
              <w:rPr>
                <w:rFonts w:ascii="Times New Roman" w:hAnsi="Times New Roman"/>
                <w:sz w:val="16"/>
              </w:rPr>
              <w:t>Registered</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Proposed</w:t>
            </w:r>
          </w:p>
          <w:p>
            <w:pPr>
              <w:pStyle w:val="TableContents"/>
              <w:bidi w:val="0"/>
              <w:spacing w:before="0" w:after="0"/>
              <w:jc w:val="center"/>
              <w:rPr>
                <w:rFonts w:ascii="Times New Roman" w:hAnsi="Times New Roman"/>
                <w:sz w:val="16"/>
              </w:rPr>
            </w:pPr>
            <w:r>
              <w:rPr>
                <w:rFonts w:ascii="Times New Roman" w:hAnsi="Times New Roman"/>
                <w:sz w:val="16"/>
              </w:rPr>
              <w:t>Maximum</w:t>
            </w:r>
          </w:p>
          <w:p>
            <w:pPr>
              <w:pStyle w:val="TableContents"/>
              <w:bidi w:val="0"/>
              <w:spacing w:before="0" w:after="0"/>
              <w:jc w:val="center"/>
              <w:rPr>
                <w:rFonts w:ascii="Times New Roman" w:hAnsi="Times New Roman"/>
                <w:sz w:val="16"/>
              </w:rPr>
            </w:pPr>
            <w:r>
              <w:rPr>
                <w:rFonts w:ascii="Times New Roman" w:hAnsi="Times New Roman"/>
                <w:sz w:val="16"/>
              </w:rPr>
              <w:t>Offering</w:t>
            </w:r>
          </w:p>
          <w:p>
            <w:pPr>
              <w:pStyle w:val="TableContents"/>
              <w:bidi w:val="0"/>
              <w:spacing w:before="0" w:after="0"/>
              <w:jc w:val="center"/>
              <w:rPr>
                <w:rFonts w:ascii="Times New Roman" w:hAnsi="Times New Roman"/>
                <w:sz w:val="16"/>
              </w:rPr>
            </w:pPr>
            <w:r>
              <w:rPr>
                <w:rFonts w:ascii="Times New Roman" w:hAnsi="Times New Roman"/>
                <w:sz w:val="16"/>
              </w:rPr>
              <w:t>Price Per</w:t>
            </w:r>
          </w:p>
          <w:p>
            <w:pPr>
              <w:pStyle w:val="TableContents"/>
              <w:bidi w:val="0"/>
              <w:spacing w:before="0" w:after="20"/>
              <w:jc w:val="center"/>
              <w:rPr>
                <w:rFonts w:ascii="Times New Roman" w:hAnsi="Times New Roman"/>
                <w:sz w:val="16"/>
              </w:rPr>
            </w:pPr>
            <w:r>
              <w:rPr>
                <w:rFonts w:ascii="Times New Roman" w:hAnsi="Times New Roman"/>
                <w:sz w:val="16"/>
              </w:rPr>
              <w:t>Unit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Maximum</w:t>
            </w:r>
          </w:p>
          <w:p>
            <w:pPr>
              <w:pStyle w:val="TableContents"/>
              <w:bidi w:val="0"/>
              <w:spacing w:before="0" w:after="0"/>
              <w:jc w:val="center"/>
              <w:rPr>
                <w:rFonts w:ascii="Times New Roman" w:hAnsi="Times New Roman"/>
                <w:sz w:val="16"/>
              </w:rPr>
            </w:pPr>
            <w:r>
              <w:rPr>
                <w:rFonts w:ascii="Times New Roman" w:hAnsi="Times New Roman"/>
                <w:sz w:val="16"/>
              </w:rPr>
              <w:t>Aggregate</w:t>
            </w:r>
          </w:p>
          <w:p>
            <w:pPr>
              <w:pStyle w:val="TableContents"/>
              <w:bidi w:val="0"/>
              <w:spacing w:before="0" w:after="0"/>
              <w:jc w:val="center"/>
              <w:rPr>
                <w:rFonts w:ascii="Times New Roman" w:hAnsi="Times New Roman"/>
                <w:sz w:val="16"/>
              </w:rPr>
            </w:pPr>
            <w:r>
              <w:rPr>
                <w:rFonts w:ascii="Times New Roman" w:hAnsi="Times New Roman"/>
                <w:sz w:val="16"/>
              </w:rPr>
              <w:t>Offering</w:t>
            </w:r>
          </w:p>
          <w:p>
            <w:pPr>
              <w:pStyle w:val="TableContents"/>
              <w:bidi w:val="0"/>
              <w:spacing w:before="0" w:after="20"/>
              <w:jc w:val="center"/>
              <w:rPr>
                <w:rFonts w:ascii="Times New Roman" w:hAnsi="Times New Roman"/>
                <w:sz w:val="16"/>
              </w:rPr>
            </w:pPr>
            <w:r>
              <w:rPr>
                <w:rFonts w:ascii="Times New Roman" w:hAnsi="Times New Roman"/>
                <w:sz w:val="16"/>
              </w:rPr>
              <w:t>Price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Fee</w:t>
            </w:r>
          </w:p>
          <w:p>
            <w:pPr>
              <w:pStyle w:val="TableContents"/>
              <w:bidi w:val="0"/>
              <w:spacing w:before="0" w:after="20"/>
              <w:jc w:val="center"/>
              <w:rPr>
                <w:rFonts w:ascii="Times New Roman" w:hAnsi="Times New Roman"/>
                <w:sz w:val="16"/>
              </w:rPr>
            </w:pPr>
            <w:r>
              <w:rPr>
                <w:rFonts w:ascii="Times New Roman" w:hAnsi="Times New Roman"/>
                <w:sz w:val="16"/>
              </w:rPr>
              <w:t>Rate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Registration</w:t>
            </w:r>
          </w:p>
          <w:p>
            <w:pPr>
              <w:pStyle w:val="TableContents"/>
              <w:bidi w:val="0"/>
              <w:spacing w:before="0" w:after="20"/>
              <w:jc w:val="center"/>
              <w:rPr>
                <w:rFonts w:ascii="Times New Roman" w:hAnsi="Times New Roman"/>
                <w:sz w:val="16"/>
              </w:rPr>
            </w:pPr>
            <w:r>
              <w:rPr>
                <w:rFonts w:ascii="Times New Roman" w:hAnsi="Times New Roman"/>
                <w:sz w:val="16"/>
              </w:rPr>
              <w:t>Fee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Carry</w:t>
            </w:r>
          </w:p>
          <w:p>
            <w:pPr>
              <w:pStyle w:val="TableContents"/>
              <w:bidi w:val="0"/>
              <w:spacing w:before="0" w:after="0"/>
              <w:jc w:val="center"/>
              <w:rPr>
                <w:rFonts w:ascii="Times New Roman" w:hAnsi="Times New Roman"/>
                <w:sz w:val="16"/>
              </w:rPr>
            </w:pPr>
            <w:r>
              <w:rPr>
                <w:rFonts w:ascii="Times New Roman" w:hAnsi="Times New Roman"/>
                <w:sz w:val="16"/>
              </w:rPr>
              <w:t>Forward</w:t>
            </w:r>
          </w:p>
          <w:p>
            <w:pPr>
              <w:pStyle w:val="TableContents"/>
              <w:bidi w:val="0"/>
              <w:spacing w:before="0" w:after="0"/>
              <w:jc w:val="center"/>
              <w:rPr>
                <w:rFonts w:ascii="Times New Roman" w:hAnsi="Times New Roman"/>
                <w:sz w:val="16"/>
              </w:rPr>
            </w:pPr>
            <w:r>
              <w:rPr>
                <w:rFonts w:ascii="Times New Roman" w:hAnsi="Times New Roman"/>
                <w:sz w:val="16"/>
              </w:rPr>
              <w:t>Form</w:t>
            </w:r>
          </w:p>
          <w:p>
            <w:pPr>
              <w:pStyle w:val="TableContents"/>
              <w:bidi w:val="0"/>
              <w:spacing w:before="0" w:after="20"/>
              <w:jc w:val="center"/>
              <w:rPr>
                <w:rFonts w:ascii="Times New Roman" w:hAnsi="Times New Roman"/>
                <w:sz w:val="16"/>
              </w:rPr>
            </w:pPr>
            <w:r>
              <w:rPr>
                <w:rFonts w:ascii="Times New Roman" w:hAnsi="Times New Roman"/>
                <w:sz w:val="16"/>
              </w:rPr>
              <w:t>Type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Carry</w:t>
            </w:r>
          </w:p>
          <w:p>
            <w:pPr>
              <w:pStyle w:val="TableContents"/>
              <w:bidi w:val="0"/>
              <w:spacing w:before="0" w:after="0"/>
              <w:jc w:val="center"/>
              <w:rPr>
                <w:rFonts w:ascii="Times New Roman" w:hAnsi="Times New Roman"/>
                <w:sz w:val="16"/>
              </w:rPr>
            </w:pPr>
            <w:r>
              <w:rPr>
                <w:rFonts w:ascii="Times New Roman" w:hAnsi="Times New Roman"/>
                <w:sz w:val="16"/>
              </w:rPr>
              <w:t>Forward</w:t>
            </w:r>
          </w:p>
          <w:p>
            <w:pPr>
              <w:pStyle w:val="TableContents"/>
              <w:bidi w:val="0"/>
              <w:spacing w:before="0" w:after="0"/>
              <w:jc w:val="center"/>
              <w:rPr>
                <w:rFonts w:ascii="Times New Roman" w:hAnsi="Times New Roman"/>
                <w:sz w:val="16"/>
              </w:rPr>
            </w:pPr>
            <w:r>
              <w:rPr>
                <w:rFonts w:ascii="Times New Roman" w:hAnsi="Times New Roman"/>
                <w:sz w:val="16"/>
              </w:rPr>
              <w:t>File</w:t>
            </w:r>
          </w:p>
          <w:p>
            <w:pPr>
              <w:pStyle w:val="TableContents"/>
              <w:bidi w:val="0"/>
              <w:spacing w:before="0" w:after="20"/>
              <w:jc w:val="center"/>
              <w:rPr>
                <w:rFonts w:ascii="Times New Roman" w:hAnsi="Times New Roman"/>
                <w:sz w:val="16"/>
              </w:rPr>
            </w:pPr>
            <w:r>
              <w:rPr>
                <w:rFonts w:ascii="Times New Roman" w:hAnsi="Times New Roman"/>
                <w:sz w:val="16"/>
              </w:rPr>
              <w:t>Number</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Carry</w:t>
            </w:r>
          </w:p>
          <w:p>
            <w:pPr>
              <w:pStyle w:val="TableContents"/>
              <w:bidi w:val="0"/>
              <w:spacing w:before="0" w:after="0"/>
              <w:jc w:val="center"/>
              <w:rPr>
                <w:rFonts w:ascii="Times New Roman" w:hAnsi="Times New Roman"/>
                <w:sz w:val="16"/>
              </w:rPr>
            </w:pPr>
            <w:r>
              <w:rPr>
                <w:rFonts w:ascii="Times New Roman" w:hAnsi="Times New Roman"/>
                <w:sz w:val="16"/>
              </w:rPr>
              <w:t>Forward</w:t>
            </w:r>
          </w:p>
          <w:p>
            <w:pPr>
              <w:pStyle w:val="TableContents"/>
              <w:bidi w:val="0"/>
              <w:spacing w:before="0" w:after="0"/>
              <w:jc w:val="center"/>
              <w:rPr>
                <w:rFonts w:ascii="Times New Roman" w:hAnsi="Times New Roman"/>
                <w:sz w:val="16"/>
              </w:rPr>
            </w:pPr>
            <w:r>
              <w:rPr>
                <w:rFonts w:ascii="Times New Roman" w:hAnsi="Times New Roman"/>
                <w:sz w:val="16"/>
              </w:rPr>
              <w:t>Initial</w:t>
            </w:r>
          </w:p>
          <w:p>
            <w:pPr>
              <w:pStyle w:val="TableContents"/>
              <w:bidi w:val="0"/>
              <w:spacing w:before="0" w:after="0"/>
              <w:jc w:val="center"/>
              <w:rPr>
                <w:rFonts w:ascii="Times New Roman" w:hAnsi="Times New Roman"/>
                <w:sz w:val="16"/>
              </w:rPr>
            </w:pPr>
            <w:r>
              <w:rPr>
                <w:rFonts w:ascii="Times New Roman" w:hAnsi="Times New Roman"/>
                <w:sz w:val="16"/>
              </w:rPr>
              <w:t>Effective</w:t>
            </w:r>
          </w:p>
          <w:p>
            <w:pPr>
              <w:pStyle w:val="TableContents"/>
              <w:bidi w:val="0"/>
              <w:spacing w:before="0" w:after="20"/>
              <w:jc w:val="center"/>
              <w:rPr>
                <w:rFonts w:ascii="Times New Roman" w:hAnsi="Times New Roman"/>
                <w:sz w:val="16"/>
              </w:rPr>
            </w:pPr>
            <w:r>
              <w:rPr>
                <w:rFonts w:ascii="Times New Roman" w:hAnsi="Times New Roman"/>
                <w:sz w:val="16"/>
              </w:rPr>
              <w:t>Date</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Filing Fee</w:t>
            </w:r>
          </w:p>
          <w:p>
            <w:pPr>
              <w:pStyle w:val="TableContents"/>
              <w:bidi w:val="0"/>
              <w:spacing w:before="0" w:after="0"/>
              <w:jc w:val="center"/>
              <w:rPr>
                <w:rFonts w:ascii="Times New Roman" w:hAnsi="Times New Roman"/>
                <w:sz w:val="16"/>
              </w:rPr>
            </w:pPr>
            <w:r>
              <w:rPr>
                <w:rFonts w:ascii="Times New Roman" w:hAnsi="Times New Roman"/>
                <w:sz w:val="16"/>
              </w:rPr>
              <w:t>Previously</w:t>
            </w:r>
          </w:p>
          <w:p>
            <w:pPr>
              <w:pStyle w:val="TableContents"/>
              <w:bidi w:val="0"/>
              <w:spacing w:before="0" w:after="0"/>
              <w:jc w:val="center"/>
              <w:rPr>
                <w:rFonts w:ascii="Times New Roman" w:hAnsi="Times New Roman"/>
                <w:sz w:val="16"/>
              </w:rPr>
            </w:pPr>
            <w:r>
              <w:rPr>
                <w:rFonts w:ascii="Times New Roman" w:hAnsi="Times New Roman"/>
                <w:sz w:val="16"/>
              </w:rPr>
              <w:t>Paid In</w:t>
            </w:r>
          </w:p>
          <w:p>
            <w:pPr>
              <w:pStyle w:val="TableContents"/>
              <w:bidi w:val="0"/>
              <w:spacing w:before="0" w:after="0"/>
              <w:jc w:val="center"/>
              <w:rPr>
                <w:rFonts w:ascii="Times New Roman" w:hAnsi="Times New Roman"/>
                <w:sz w:val="16"/>
              </w:rPr>
            </w:pPr>
            <w:r>
              <w:rPr>
                <w:rFonts w:ascii="Times New Roman" w:hAnsi="Times New Roman"/>
                <w:sz w:val="16"/>
              </w:rPr>
              <w:t>Connection</w:t>
            </w:r>
          </w:p>
          <w:p>
            <w:pPr>
              <w:pStyle w:val="TableContents"/>
              <w:bidi w:val="0"/>
              <w:spacing w:before="0" w:after="0"/>
              <w:jc w:val="center"/>
              <w:rPr>
                <w:rFonts w:ascii="Times New Roman" w:hAnsi="Times New Roman"/>
                <w:sz w:val="16"/>
              </w:rPr>
            </w:pPr>
            <w:r>
              <w:rPr>
                <w:rFonts w:ascii="Times New Roman" w:hAnsi="Times New Roman"/>
                <w:sz w:val="16"/>
              </w:rPr>
              <w:t>with Unsold</w:t>
            </w:r>
          </w:p>
          <w:p>
            <w:pPr>
              <w:pStyle w:val="TableContents"/>
              <w:bidi w:val="0"/>
              <w:spacing w:before="0" w:after="0"/>
              <w:jc w:val="center"/>
              <w:rPr>
                <w:rFonts w:ascii="Times New Roman" w:hAnsi="Times New Roman"/>
                <w:sz w:val="16"/>
              </w:rPr>
            </w:pPr>
            <w:r>
              <w:rPr>
                <w:rFonts w:ascii="Times New Roman" w:hAnsi="Times New Roman"/>
                <w:sz w:val="16"/>
              </w:rPr>
              <w:t>Securities to</w:t>
            </w:r>
          </w:p>
          <w:p>
            <w:pPr>
              <w:pStyle w:val="TableContents"/>
              <w:bidi w:val="0"/>
              <w:spacing w:before="0" w:after="0"/>
              <w:jc w:val="center"/>
              <w:rPr>
                <w:rFonts w:ascii="Times New Roman" w:hAnsi="Times New Roman"/>
                <w:sz w:val="16"/>
              </w:rPr>
            </w:pPr>
            <w:r>
              <w:rPr>
                <w:rFonts w:ascii="Times New Roman" w:hAnsi="Times New Roman"/>
                <w:sz w:val="16"/>
              </w:rPr>
              <w:t>be Carried</w:t>
            </w:r>
          </w:p>
          <w:p>
            <w:pPr>
              <w:pStyle w:val="TableContents"/>
              <w:bidi w:val="0"/>
              <w:spacing w:before="0" w:after="20"/>
              <w:jc w:val="center"/>
              <w:rPr>
                <w:rFonts w:ascii="Times New Roman" w:hAnsi="Times New Roman"/>
                <w:sz w:val="16"/>
              </w:rPr>
            </w:pPr>
            <w:r>
              <w:rPr>
                <w:rFonts w:ascii="Times New Roman" w:hAnsi="Times New Roman"/>
                <w:sz w:val="16"/>
              </w:rPr>
              <w:t>Forward</w:t>
            </w:r>
          </w:p>
        </w:tc>
      </w:tr>
      <w:tr>
        <w:trPr/>
        <w:tc>
          <w:tcPr>
            <w:tcW w:w="14120" w:type="dxa"/>
            <w:gridSpan w:val="25"/>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0"/>
              <w:jc w:val="center"/>
              <w:rPr>
                <w:b/>
                <w:spacing w:val="0"/>
              </w:rPr>
            </w:pPr>
            <w:r>
              <w:rPr>
                <w:b/>
                <w:spacing w:val="0"/>
              </w:rPr>
              <w:t>Newly Registered Securities</w:t>
            </w:r>
          </w:p>
        </w:tc>
      </w:tr>
      <w:tr>
        <w:trPr/>
        <w:tc>
          <w:tcPr>
            <w:tcW w:w="1595"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center"/>
              <w:rPr>
                <w:b/>
                <w:spacing w:val="0"/>
              </w:rPr>
            </w:pPr>
            <w:r>
              <w:rPr>
                <w:b/>
                <w:spacing w:val="0"/>
              </w:rPr>
              <w:t>Fees to Be Paid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Debt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4.875% Series NN</w:t>
            </w:r>
          </w:p>
          <w:p>
            <w:pPr>
              <w:pStyle w:val="TableContents"/>
              <w:bidi w:val="0"/>
              <w:spacing w:before="0" w:after="0"/>
              <w:jc w:val="center"/>
              <w:rPr/>
            </w:pPr>
            <w:r>
              <w:rPr/>
              <w:t> </w:t>
            </w:r>
          </w:p>
          <w:p>
            <w:pPr>
              <w:pStyle w:val="TableContents"/>
              <w:bidi w:val="0"/>
              <w:spacing w:before="0" w:after="20"/>
              <w:jc w:val="center"/>
              <w:rPr>
                <w:rFonts w:ascii="Times New Roman" w:hAnsi="Times New Roman"/>
                <w:sz w:val="16"/>
              </w:rPr>
            </w:pPr>
            <w:r>
              <w:rPr>
                <w:rFonts w:ascii="Times New Roman" w:hAnsi="Times New Roman"/>
                <w:sz w:val="16"/>
              </w:rPr>
              <w:t>Notes due 2029</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6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Rule 457(o) (1)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$250,000,000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100.205%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$250,512,500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0.00013810 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$34,595.78</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59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Debt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5.650% Series YY</w:t>
            </w:r>
          </w:p>
          <w:p>
            <w:pPr>
              <w:pStyle w:val="TableContents"/>
              <w:bidi w:val="0"/>
              <w:spacing w:before="0" w:after="0"/>
              <w:jc w:val="center"/>
              <w:rPr/>
            </w:pPr>
            <w:r>
              <w:rPr/>
              <w:t> </w:t>
            </w:r>
          </w:p>
          <w:p>
            <w:pPr>
              <w:pStyle w:val="TableContents"/>
              <w:bidi w:val="0"/>
              <w:spacing w:before="0" w:after="20"/>
              <w:jc w:val="center"/>
              <w:rPr>
                <w:rFonts w:ascii="Times New Roman" w:hAnsi="Times New Roman"/>
                <w:sz w:val="16"/>
              </w:rPr>
            </w:pPr>
            <w:r>
              <w:rPr>
                <w:rFonts w:ascii="Times New Roman" w:hAnsi="Times New Roman"/>
                <w:sz w:val="16"/>
              </w:rPr>
              <w:t>Notes due 2036</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6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Rule 457(o) (1)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$1,000,000,000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99.325%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$993,250,000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0.00013810 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$137,167.83</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4120" w:type="dxa"/>
            <w:gridSpan w:val="25"/>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0"/>
              <w:jc w:val="center"/>
              <w:rPr>
                <w:b/>
                <w:spacing w:val="0"/>
              </w:rPr>
            </w:pPr>
            <w:r>
              <w:rPr>
                <w:b/>
                <w:spacing w:val="0"/>
              </w:rPr>
              <w:t>Carry Forward Securities</w:t>
            </w:r>
          </w:p>
        </w:tc>
      </w:tr>
      <w:tr>
        <w:trPr/>
        <w:tc>
          <w:tcPr>
            <w:tcW w:w="159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Carry</w:t>
            </w:r>
          </w:p>
          <w:p>
            <w:pPr>
              <w:pStyle w:val="TableContents"/>
              <w:bidi w:val="0"/>
              <w:spacing w:before="0" w:after="0"/>
              <w:jc w:val="center"/>
              <w:rPr>
                <w:rFonts w:ascii="Times New Roman" w:hAnsi="Times New Roman"/>
                <w:b/>
                <w:sz w:val="16"/>
              </w:rPr>
            </w:pPr>
            <w:r>
              <w:rPr>
                <w:rFonts w:ascii="Times New Roman" w:hAnsi="Times New Roman"/>
                <w:b/>
                <w:sz w:val="16"/>
              </w:rPr>
              <w:t>Forward</w:t>
            </w:r>
          </w:p>
          <w:p>
            <w:pPr>
              <w:pStyle w:val="TableContents"/>
              <w:bidi w:val="0"/>
              <w:spacing w:before="0" w:after="20"/>
              <w:jc w:val="center"/>
              <w:rPr>
                <w:rFonts w:ascii="Times New Roman" w:hAnsi="Times New Roman"/>
                <w:b/>
                <w:sz w:val="16"/>
              </w:rPr>
            </w:pPr>
            <w:r>
              <w:rPr>
                <w:rFonts w:ascii="Times New Roman" w:hAnsi="Times New Roman"/>
                <w:b/>
                <w:sz w:val="16"/>
              </w:rPr>
              <w:t>Securities</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9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6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N/A</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pPr>
            <w:r>
              <w:rPr/>
              <w:t>N/A</w:t>
            </w:r>
          </w:p>
        </w:tc>
      </w:tr>
      <w:tr>
        <w:trPr/>
        <w:tc>
          <w:tcPr>
            <w:tcW w:w="159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410" w:type="dxa"/>
            <w:gridSpan w:val="9"/>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right"/>
              <w:rPr>
                <w:b/>
                <w:spacing w:val="0"/>
              </w:rPr>
            </w:pPr>
            <w:r>
              <w:rPr>
                <w:b/>
                <w:spacing w:val="0"/>
              </w:rPr>
              <w:t>Total Offering Amo</w:t>
            </w:r>
          </w:p>
          <w:p>
            <w:pPr>
              <w:pStyle w:val="TableContents"/>
              <w:bidi w:val="0"/>
              <w:spacing w:before="0" w:after="0"/>
              <w:jc w:val="right"/>
              <w:rPr>
                <w:b/>
                <w:spacing w:val="0"/>
              </w:rPr>
            </w:pPr>
            <w:r>
              <w:rPr>
                <w:b/>
                <w:spacing w:val="0"/>
              </w:rPr>
              <w:t>un</w:t>
            </w:r>
          </w:p>
          <w:p>
            <w:pPr>
              <w:pStyle w:val="TableContents"/>
              <w:bidi w:val="0"/>
              <w:spacing w:before="0" w:after="0"/>
              <w:jc w:val="right"/>
              <w:rPr>
                <w:b/>
                <w:spacing w:val="0"/>
              </w:rPr>
            </w:pPr>
            <w:r>
              <w:rPr>
                <w:b/>
                <w:spacing w:val="0"/>
              </w:rPr>
              <w:t>ts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$1,243,762,500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$171,763.61</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59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410" w:type="dxa"/>
            <w:gridSpan w:val="9"/>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right"/>
              <w:rPr>
                <w:b/>
                <w:spacing w:val="0"/>
              </w:rPr>
            </w:pPr>
            <w:r>
              <w:rPr>
                <w:b/>
                <w:spacing w:val="0"/>
              </w:rPr>
              <w:t>Total Fees Previously Paid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59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410" w:type="dxa"/>
            <w:gridSpan w:val="9"/>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right"/>
              <w:rPr>
                <w:b/>
                <w:spacing w:val="0"/>
              </w:rPr>
            </w:pPr>
            <w:r>
              <w:rPr>
                <w:b/>
                <w:spacing w:val="0"/>
              </w:rPr>
              <w:t>Total Fee Offsets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159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5410" w:type="dxa"/>
            <w:gridSpan w:val="9"/>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right"/>
              <w:rPr>
                <w:b/>
                <w:spacing w:val="0"/>
              </w:rPr>
            </w:pPr>
            <w:r>
              <w:rPr>
                <w:b/>
                <w:spacing w:val="0"/>
              </w:rPr>
              <w:t>Net Fee Due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5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$171,763.61</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16"/>
        </w:rPr>
      </w:pPr>
      <w:r>
        <w:rPr>
          <w:rFonts w:ascii="Times New Roman" w:hAnsi="Times New Roman"/>
          <w:sz w:val="16"/>
        </w:rPr>
        <w:t>(1) Calculated in accordance with Rule 457(o) under the Securities Act of 1933, as ame</w:t>
      </w:r>
    </w:p>
    <w:p>
      <w:pPr>
        <w:pStyle w:val="TextBody"/>
        <w:bidi w:val="0"/>
        <w:spacing w:before="240" w:after="0"/>
        <w:jc w:val="left"/>
        <w:rPr>
          <w:rFonts w:ascii="Times New Roman" w:hAnsi="Times New Roman"/>
          <w:sz w:val="16"/>
        </w:rPr>
      </w:pPr>
      <w:r>
        <w:rPr>
          <w:rFonts w:ascii="Times New Roman" w:hAnsi="Times New Roman"/>
          <w:sz w:val="16"/>
        </w:rPr>
        <w:t>n</w:t>
      </w:r>
    </w:p>
    <w:p>
      <w:pPr>
        <w:pStyle w:val="TextBody"/>
        <w:bidi w:val="0"/>
        <w:spacing w:before="240" w:after="283"/>
        <w:jc w:val="left"/>
        <w:rPr>
          <w:rFonts w:ascii="Times New Roman" w:hAnsi="Times New Roman"/>
          <w:sz w:val="16"/>
        </w:rPr>
      </w:pPr>
      <w:r>
        <w:rPr>
          <w:rFonts w:ascii="Times New Roman" w:hAnsi="Times New Roman"/>
          <w:sz w:val="16"/>
        </w:rPr>
        <w:t xml:space="preserve">ded.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1048286/000104828626000007/mar-20251231.htm" TargetMode="External"/><Relationship Id="rId5" Type="http://schemas.openxmlformats.org/officeDocument/2006/relationships/hyperlink" Target="http://www.sec.gov/Archives/edgar/data/../../../ix?doc=/Archives/edgar/data/0001048286/000114036126011590/ny20062722x771_def14a.htm" TargetMode="External"/><Relationship Id="rId6" Type="http://schemas.openxmlformats.org/officeDocument/2006/relationships/hyperlink" Target="http://www.sec.gov/Archives/edgar/data/../../../ix?doc=/Archives/edgar/data/0001048286/000104828626000014/mar-20260331.htm" TargetMode="External"/><Relationship Id="rId7" Type="http://schemas.openxmlformats.org/officeDocument/2006/relationships/hyperlink" Target="http://www.sec.gov/Archives/edgar/data/../../../ix?doc=/Archives/edgar/data/0001048286/000104828626000035/mar-20260630.htm" TargetMode="External"/><Relationship Id="rId8" Type="http://schemas.openxmlformats.org/officeDocument/2006/relationships/hyperlink" Target="http://www.sec.gov/Archives/edgar/data/../../../ix?doc=/Archives/edgar/data/0001048286/000119312526008335/d31810d8k.htm" TargetMode="External"/><Relationship Id="rId9" Type="http://schemas.openxmlformats.org/officeDocument/2006/relationships/hyperlink" Target="http://www.sec.gov/Archives/edgar/data/../../../ix?doc=/Archives/edgar/data/0001048286/000119312526041097/d85627d8k.htm" TargetMode="External"/><Relationship Id="rId10" Type="http://schemas.openxmlformats.org/officeDocument/2006/relationships/hyperlink" Target="http://www.sec.gov/Archives/edgar/data/../../../ix?doc=/Archives/edgar/data/0001048286/000119312526061350/d109911d8k.htm" TargetMode="External"/><Relationship Id="rId11" Type="http://schemas.openxmlformats.org/officeDocument/2006/relationships/hyperlink" Target="http://www.sec.gov/Archives/edgar/data/../../../ix?doc=/Archives/edgar/data/0001048286/000119312526220804/d152439d8k.htm" TargetMode="External"/><Relationship Id="rId12" Type="http://schemas.openxmlformats.org/officeDocument/2006/relationships/hyperlink" Target="http://www.sec.gov/Archives/edgar/data/../../../ix?doc=/Archives/edgar/data/1048286/000162828024004372/mar-20231231.htm" TargetMode="External"/><Relationship Id="rId13" Type="http://schemas.openxmlformats.org/officeDocument/2006/relationships/hyperlink" Target="http://www.sec.gov/Archives/edgar/data/../../../ix?doc=/Archives/edgar/data/1048286/000114036123014123/ny20006599x500_def14a.htm" TargetMode="External"/><Relationship Id="rId14" Type="http://schemas.openxmlformats.org/officeDocument/2006/relationships/hyperlink" Target="http://www.sec.gov/Archives/edgar/data/1048286/0000928385-98-000234.txt" TargetMode="External"/><Relationship Id="rId15" Type="http://schemas.openxmlformats.org/officeDocument/2006/relationships/hyperlink" Target="http://www.sec.gov/Archives/edgar/data/1048286/000162828024004372/mar-2023q4xexx43.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25609</Words>
  <Characters>131396</Characters>
  <CharactersWithSpaces>157526</CharactersWithSpaces>
  <Paragraphs>1854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