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Reid Grant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2"/>
        <w:gridCol w:w="773"/>
        <w:gridCol w:w="599"/>
        <w:gridCol w:w="340"/>
        <w:gridCol w:w="956"/>
        <w:gridCol w:w="433"/>
        <w:gridCol w:w="834"/>
        <w:gridCol w:w="1251"/>
        <w:gridCol w:w="971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Stock-Dir. Def. Stock Comp Plan-1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69.507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359.68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3,626.717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Quarterly director fees deferred pursuant to the Company stock plan. The shares are fully vested and will be distributed following termination of service as a Board member.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9648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3241</Characters>
  <CharactersWithSpaces>3768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