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723265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688975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 w:lineRule="exact"/>
        <w:rPr>
          <w:sz w:val="24"/>
          <w:szCs w:val="24"/>
          <w:color w:val="auto"/>
        </w:rPr>
      </w:pPr>
    </w:p>
    <w:p>
      <w:pPr>
        <w:ind w:left="3840"/>
        <w:spacing w:after="0"/>
        <w:rPr>
          <w:sz w:val="20"/>
          <w:szCs w:val="20"/>
          <w:color w:val="auto"/>
        </w:rPr>
      </w:pPr>
      <w:r>
        <w:rPr>
          <w:rFonts w:ascii="Times New Roman" w:cs="Times New Roman" w:eastAsia="Times New Roman" w:hAnsi="Times New Roman"/>
          <w:sz w:val="18"/>
          <w:szCs w:val="18"/>
          <w:color w:val="auto"/>
        </w:rPr>
        <w:t>_______________________________________</w:t>
      </w:r>
    </w:p>
    <w:p>
      <w:pPr>
        <w:spacing w:after="0" w:line="1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59" w:lineRule="exact"/>
        <w:rPr>
          <w:sz w:val="24"/>
          <w:szCs w:val="24"/>
          <w:color w:val="auto"/>
        </w:rPr>
      </w:pPr>
    </w:p>
    <w:p>
      <w:pPr>
        <w:ind w:left="3840"/>
        <w:spacing w:after="0"/>
        <w:rPr>
          <w:sz w:val="20"/>
          <w:szCs w:val="20"/>
          <w:color w:val="auto"/>
        </w:rPr>
      </w:pPr>
      <w:r>
        <w:rPr>
          <w:rFonts w:ascii="Times New Roman" w:cs="Times New Roman" w:eastAsia="Times New Roman" w:hAnsi="Times New Roman"/>
          <w:sz w:val="18"/>
          <w:szCs w:val="18"/>
          <w:color w:val="auto"/>
        </w:rPr>
        <w:t>_______________________________________</w:t>
      </w:r>
    </w:p>
    <w:p>
      <w:pPr>
        <w:spacing w:after="0" w:line="151"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6, 2026</w:t>
      </w:r>
    </w:p>
    <w:p>
      <w:pPr>
        <w:spacing w:after="0" w:line="33"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18"/>
          <w:szCs w:val="18"/>
          <w:color w:val="auto"/>
        </w:rPr>
        <w:t>_______________________________________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2971165</wp:posOffset>
            </wp:positionH>
            <wp:positionV relativeFrom="paragraph">
              <wp:posOffset>109855</wp:posOffset>
            </wp:positionV>
            <wp:extent cx="1200150" cy="3943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00150" cy="3943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MARRIOTT INTERNATIONAL, INC.</w:t>
      </w:r>
    </w:p>
    <w:p>
      <w:pPr>
        <w:spacing w:after="0" w:line="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7"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18"/>
          <w:szCs w:val="18"/>
          <w:color w:val="auto"/>
        </w:rPr>
        <w:t>_______________________________________</w:t>
      </w:r>
    </w:p>
    <w:p>
      <w:pPr>
        <w:sectPr>
          <w:pgSz w:w="11900" w:h="16838" w:orient="portrait"/>
          <w:cols w:equalWidth="0" w:num="1">
            <w:col w:w="11240"/>
          </w:cols>
          <w:pgMar w:left="320" w:top="1213" w:right="339" w:bottom="1440" w:gutter="0" w:footer="0" w:header="0"/>
        </w:sectPr>
      </w:pPr>
    </w:p>
    <w:p>
      <w:pPr>
        <w:spacing w:after="0" w:line="106" w:lineRule="exact"/>
        <w:rPr>
          <w:sz w:val="24"/>
          <w:szCs w:val="24"/>
          <w:color w:val="auto"/>
        </w:rPr>
      </w:pPr>
    </w:p>
    <w:p>
      <w:pPr>
        <w:ind w:left="2120"/>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20" w:lineRule="exact"/>
        <w:rPr>
          <w:sz w:val="24"/>
          <w:szCs w:val="24"/>
          <w:color w:val="auto"/>
        </w:rPr>
      </w:pPr>
      <w:r>
        <w:rPr>
          <w:sz w:val="24"/>
          <w:szCs w:val="24"/>
          <w:color w:val="auto"/>
        </w:rPr>
        <w:br w:type="column"/>
      </w:r>
    </w:p>
    <w:p>
      <w:pPr>
        <w:spacing w:after="0" w:line="86" w:lineRule="exact"/>
        <w:rPr>
          <w:sz w:val="24"/>
          <w:szCs w:val="24"/>
          <w:color w:val="auto"/>
        </w:rPr>
      </w:pPr>
    </w:p>
    <w:p>
      <w:pPr>
        <w:jc w:val="center"/>
        <w:ind w:right="1920"/>
        <w:spacing w:after="0"/>
        <w:rPr>
          <w:sz w:val="20"/>
          <w:szCs w:val="20"/>
          <w:color w:val="auto"/>
        </w:rPr>
      </w:pPr>
      <w:r>
        <w:rPr>
          <w:rFonts w:ascii="Times New Roman" w:cs="Times New Roman" w:eastAsia="Times New Roman" w:hAnsi="Times New Roman"/>
          <w:sz w:val="14"/>
          <w:szCs w:val="14"/>
          <w:b w:val="1"/>
          <w:bCs w:val="1"/>
          <w:color w:val="auto"/>
        </w:rPr>
        <w:t>1-13881</w:t>
      </w:r>
    </w:p>
    <w:p>
      <w:pPr>
        <w:spacing w:after="0" w:line="20" w:lineRule="exact"/>
        <w:rPr>
          <w:sz w:val="24"/>
          <w:szCs w:val="24"/>
          <w:color w:val="auto"/>
        </w:rPr>
      </w:pPr>
      <w:r>
        <w:rPr>
          <w:sz w:val="24"/>
          <w:szCs w:val="24"/>
          <w:color w:val="auto"/>
        </w:rPr>
        <w:br w:type="column"/>
      </w:r>
    </w:p>
    <w:p>
      <w:pPr>
        <w:spacing w:after="0" w:line="8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52-2055918</w:t>
      </w:r>
    </w:p>
    <w:p>
      <w:pPr>
        <w:spacing w:after="0" w:line="42" w:lineRule="exact"/>
        <w:rPr>
          <w:sz w:val="24"/>
          <w:szCs w:val="24"/>
          <w:color w:val="auto"/>
        </w:rPr>
      </w:pPr>
    </w:p>
    <w:p>
      <w:pPr>
        <w:sectPr>
          <w:pgSz w:w="11900" w:h="16838" w:orient="portrait"/>
          <w:cols w:equalWidth="0" w:num="3">
            <w:col w:w="4920" w:space="720"/>
            <w:col w:w="2400" w:space="720"/>
            <w:col w:w="2480"/>
          </w:cols>
          <w:pgMar w:left="320" w:top="1213" w:right="339" w:bottom="1440" w:gutter="0" w:footer="0" w:header="0"/>
          <w:type w:val="continuous"/>
        </w:sectPr>
      </w:pPr>
    </w:p>
    <w:p>
      <w:pPr>
        <w:jc w:val="center"/>
        <w:ind w:left="10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spacing w:after="0" w:line="6" w:lineRule="exact"/>
        <w:rPr>
          <w:sz w:val="24"/>
          <w:szCs w:val="24"/>
          <w:color w:val="auto"/>
        </w:rPr>
      </w:pPr>
    </w:p>
    <w:p>
      <w:pPr>
        <w:jc w:val="center"/>
        <w:ind w:left="10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5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line="6" w:lineRule="exact"/>
        <w:rPr>
          <w:sz w:val="24"/>
          <w:szCs w:val="24"/>
          <w:color w:val="auto"/>
        </w:rPr>
      </w:pPr>
    </w:p>
    <w:p>
      <w:pPr>
        <w:jc w:val="center"/>
        <w:ind w:right="156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64" w:lineRule="exact"/>
        <w:rPr>
          <w:sz w:val="24"/>
          <w:szCs w:val="24"/>
          <w:color w:val="auto"/>
        </w:rPr>
      </w:pPr>
    </w:p>
    <w:p>
      <w:pPr>
        <w:sectPr>
          <w:pgSz w:w="11900" w:h="16838" w:orient="portrait"/>
          <w:cols w:equalWidth="0" w:num="3">
            <w:col w:w="4740" w:space="720"/>
            <w:col w:w="2360" w:space="720"/>
            <w:col w:w="2700"/>
          </w:cols>
          <w:pgMar w:left="320" w:top="1213" w:right="339" w:bottom="1440" w:gutter="0" w:footer="0" w:header="0"/>
          <w:type w:val="continuous"/>
        </w:sectPr>
      </w:pPr>
    </w:p>
    <w:p>
      <w:pPr>
        <w:ind w:left="820"/>
        <w:spacing w:after="0"/>
        <w:tabs>
          <w:tab w:leader="none" w:pos="2560" w:val="left"/>
          <w:tab w:leader="none" w:pos="3420" w:val="left"/>
        </w:tabs>
        <w:rPr>
          <w:sz w:val="20"/>
          <w:szCs w:val="20"/>
          <w:color w:val="auto"/>
        </w:rPr>
      </w:pPr>
      <w:r>
        <w:rPr>
          <w:rFonts w:ascii="Times New Roman" w:cs="Times New Roman" w:eastAsia="Times New Roman" w:hAnsi="Times New Roman"/>
          <w:sz w:val="14"/>
          <w:szCs w:val="14"/>
          <w:b w:val="1"/>
          <w:bCs w:val="1"/>
          <w:color w:val="auto"/>
        </w:rPr>
        <w:t>7750 Wisconsin Avenue</w:t>
      </w:r>
      <w:r>
        <w:rPr>
          <w:sz w:val="20"/>
          <w:szCs w:val="20"/>
          <w:color w:val="auto"/>
        </w:rPr>
        <w:tab/>
      </w:r>
      <w:r>
        <w:rPr>
          <w:rFonts w:ascii="Times New Roman" w:cs="Times New Roman" w:eastAsia="Times New Roman" w:hAnsi="Times New Roman"/>
          <w:sz w:val="14"/>
          <w:szCs w:val="14"/>
          <w:b w:val="1"/>
          <w:bCs w:val="1"/>
          <w:color w:val="auto"/>
        </w:rPr>
        <w:t>Bethesda</w:t>
      </w:r>
      <w:r>
        <w:rPr>
          <w:sz w:val="20"/>
          <w:szCs w:val="20"/>
          <w:color w:val="auto"/>
        </w:rPr>
        <w:tab/>
      </w:r>
      <w:r>
        <w:rPr>
          <w:rFonts w:ascii="Times New Roman" w:cs="Times New Roman" w:eastAsia="Times New Roman" w:hAnsi="Times New Roman"/>
          <w:sz w:val="14"/>
          <w:szCs w:val="14"/>
          <w:b w:val="1"/>
          <w:bCs w:val="1"/>
          <w:color w:val="auto"/>
        </w:rPr>
        <w:t>Maryland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20814</w:t>
      </w:r>
    </w:p>
    <w:p>
      <w:pPr>
        <w:spacing w:after="0" w:line="42" w:lineRule="exact"/>
        <w:rPr>
          <w:sz w:val="24"/>
          <w:szCs w:val="24"/>
          <w:color w:val="auto"/>
        </w:rPr>
      </w:pPr>
    </w:p>
    <w:p>
      <w:pPr>
        <w:sectPr>
          <w:pgSz w:w="11900" w:h="16838" w:orient="portrait"/>
          <w:cols w:equalWidth="0" w:num="2">
            <w:col w:w="8200" w:space="720"/>
            <w:col w:w="2320"/>
          </w:cols>
          <w:pgMar w:left="320" w:top="1213" w:right="339" w:bottom="1440" w:gutter="0" w:footer="0" w:header="0"/>
          <w:type w:val="continuous"/>
        </w:sectPr>
      </w:pPr>
    </w:p>
    <w:p>
      <w:pPr>
        <w:ind w:left="12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92" w:lineRule="exact"/>
        <w:rPr>
          <w:sz w:val="24"/>
          <w:szCs w:val="24"/>
          <w:color w:val="auto"/>
        </w:rPr>
      </w:pPr>
    </w:p>
    <w:p>
      <w:pPr>
        <w:sectPr>
          <w:pgSz w:w="11900" w:h="16838" w:orient="portrait"/>
          <w:cols w:equalWidth="0" w:num="2">
            <w:col w:w="8060" w:space="720"/>
            <w:col w:w="2460"/>
          </w:cols>
          <w:pgMar w:left="320" w:top="1213"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(301) 380-3000</w:t>
      </w:r>
    </w:p>
    <w:p>
      <w:pPr>
        <w:spacing w:after="0" w:line="3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18"/>
          <w:szCs w:val="18"/>
          <w:color w:val="auto"/>
        </w:rPr>
        <w:t>_______________________________________</w:t>
      </w:r>
    </w:p>
    <w:p>
      <w:pPr>
        <w:spacing w:after="0" w:line="153"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81"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44" w:lineRule="exact"/>
        <w:rPr>
          <w:rFonts w:ascii="MS PGothic" w:cs="MS PGothic" w:eastAsia="MS PGothic" w:hAnsi="MS PGothic"/>
          <w:sz w:val="18"/>
          <w:szCs w:val="18"/>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44" w:lineRule="exact"/>
        <w:rPr>
          <w:rFonts w:ascii="MS PGothic" w:cs="MS PGothic" w:eastAsia="MS PGothic" w:hAnsi="MS PGothic"/>
          <w:sz w:val="18"/>
          <w:szCs w:val="18"/>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140" w:lineRule="exact"/>
        <w:rPr>
          <w:sz w:val="24"/>
          <w:szCs w:val="24"/>
          <w:color w:val="auto"/>
        </w:rPr>
      </w:pPr>
    </w:p>
    <w:tbl>
      <w:tblPr>
        <w:tblLayout w:type="fixed"/>
        <w:tblInd w:w="680" w:type="dxa"/>
        <w:tblCellMar>
          <w:top w:w="0" w:type="dxa"/>
          <w:left w:w="0" w:type="dxa"/>
          <w:bottom w:w="0" w:type="dxa"/>
          <w:right w:w="0" w:type="dxa"/>
        </w:tblCellMar>
      </w:tblPr>
      <w:tr>
        <w:trPr>
          <w:trHeight w:val="215"/>
        </w:trPr>
        <w:tc>
          <w:tcPr>
            <w:tcW w:w="3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380" w:type="dxa"/>
            <w:vAlign w:val="bottom"/>
          </w:tcPr>
          <w:p>
            <w:pPr>
              <w:spacing w:after="0"/>
              <w:rPr>
                <w:sz w:val="18"/>
                <w:szCs w:val="18"/>
                <w:color w:val="auto"/>
              </w:rPr>
            </w:pPr>
          </w:p>
        </w:tc>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320" w:type="dxa"/>
            <w:vAlign w:val="bottom"/>
          </w:tcPr>
          <w:p>
            <w:pPr>
              <w:spacing w:after="0"/>
              <w:rPr>
                <w:sz w:val="18"/>
                <w:szCs w:val="18"/>
                <w:color w:val="auto"/>
              </w:rPr>
            </w:pPr>
          </w:p>
        </w:tc>
        <w:tc>
          <w:tcPr>
            <w:tcW w:w="4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34"/>
        </w:trPr>
        <w:tc>
          <w:tcPr>
            <w:tcW w:w="384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color w:val="auto"/>
              </w:rPr>
              <w:t>Class A Common Stock, $0.01 par value</w:t>
            </w:r>
          </w:p>
        </w:tc>
        <w:tc>
          <w:tcPr>
            <w:tcW w:w="204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color w:val="auto"/>
              </w:rPr>
              <w:t>MAR</w:t>
            </w:r>
          </w:p>
        </w:tc>
        <w:tc>
          <w:tcPr>
            <w:tcW w:w="40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Nasdaq Global Select Market</w:t>
            </w:r>
          </w:p>
        </w:tc>
      </w:tr>
    </w:tbl>
    <w:p>
      <w:pPr>
        <w:spacing w:after="0" w:line="285" w:lineRule="exact"/>
        <w:rPr>
          <w:sz w:val="24"/>
          <w:szCs w:val="24"/>
          <w:color w:val="auto"/>
        </w:rPr>
      </w:pPr>
    </w:p>
    <w:p>
      <w:pPr>
        <w:ind w:left="20" w:right="500"/>
        <w:spacing w:after="0" w:line="250"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8"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10600" w:type="dxa"/>
            <w:vAlign w:val="bottom"/>
          </w:tcPr>
          <w:p>
            <w:pPr>
              <w:ind w:left="7760"/>
              <w:spacing w:after="0"/>
              <w:rPr>
                <w:sz w:val="20"/>
                <w:szCs w:val="20"/>
                <w:color w:val="auto"/>
              </w:rPr>
            </w:pPr>
            <w:r>
              <w:rPr>
                <w:rFonts w:ascii="Times New Roman" w:cs="Times New Roman" w:eastAsia="Times New Roman" w:hAnsi="Times New Roman"/>
                <w:sz w:val="18"/>
                <w:szCs w:val="18"/>
                <w:color w:val="auto"/>
              </w:rPr>
              <w:t>Emerging growth company</w:t>
            </w:r>
          </w:p>
        </w:tc>
        <w:tc>
          <w:tcPr>
            <w:tcW w:w="640" w:type="dxa"/>
            <w:vAlign w:val="bottom"/>
            <w:gridSpan w:val="2"/>
          </w:tcPr>
          <w:p>
            <w:pPr>
              <w:ind w:left="140"/>
              <w:spacing w:after="0" w:line="181" w:lineRule="exact"/>
              <w:rPr>
                <w:sz w:val="20"/>
                <w:szCs w:val="20"/>
                <w:color w:val="auto"/>
              </w:rPr>
            </w:pPr>
            <w:r>
              <w:rPr>
                <w:rFonts w:ascii="MS PGothic" w:cs="MS PGothic" w:eastAsia="MS PGothic" w:hAnsi="MS PGothic"/>
                <w:sz w:val="18"/>
                <w:szCs w:val="18"/>
                <w:color w:val="auto"/>
              </w:rPr>
              <w:t>☐</w:t>
            </w:r>
          </w:p>
        </w:tc>
      </w:tr>
      <w:tr>
        <w:trPr>
          <w:trHeight w:val="221"/>
        </w:trPr>
        <w:tc>
          <w:tcPr>
            <w:tcW w:w="10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w:t>
            </w:r>
          </w:p>
        </w:tc>
        <w:tc>
          <w:tcPr>
            <w:tcW w:w="640" w:type="dxa"/>
            <w:vAlign w:val="bottom"/>
            <w:gridSpan w:val="2"/>
          </w:tcPr>
          <w:p>
            <w:pPr>
              <w:ind w:left="140"/>
              <w:spacing w:after="0" w:line="181" w:lineRule="exact"/>
              <w:rPr>
                <w:sz w:val="20"/>
                <w:szCs w:val="20"/>
                <w:color w:val="auto"/>
              </w:rPr>
            </w:pPr>
            <w:r>
              <w:rPr>
                <w:rFonts w:ascii="MS PGothic" w:cs="MS PGothic" w:eastAsia="MS PGothic" w:hAnsi="MS PGothic"/>
                <w:sz w:val="18"/>
                <w:szCs w:val="18"/>
                <w:color w:val="auto"/>
              </w:rPr>
              <w:t>☐</w:t>
            </w:r>
          </w:p>
        </w:tc>
      </w:tr>
      <w:tr>
        <w:trPr>
          <w:trHeight w:val="234"/>
        </w:trPr>
        <w:tc>
          <w:tcPr>
            <w:tcW w:w="10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any new or revised financial accounting standards provided pursuant to Section 13(a) of the Exchange Act.</w:t>
            </w: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27"/>
        </w:trPr>
        <w:tc>
          <w:tcPr>
            <w:tcW w:w="106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34"/>
        </w:trPr>
        <w:tc>
          <w:tcPr>
            <w:tcW w:w="106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837"/>
        </w:trPr>
        <w:tc>
          <w:tcPr>
            <w:tcW w:w="106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type w:val="continuous"/>
        </w:sectPr>
      </w:pPr>
    </w:p>
    <w:bookmarkStart w:id="1" w:name="page2"/>
    <w:bookmarkEnd w:id="1"/>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Results for the Quarter Ended March 31, 2026</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May 6, 2026, Marriott International, Inc. (</w:t>
      </w:r>
      <w:r>
        <w:rPr>
          <w:rFonts w:ascii="Times New Roman" w:cs="Times New Roman" w:eastAsia="Times New Roman" w:hAnsi="Times New Roman"/>
          <w:sz w:val="19"/>
          <w:szCs w:val="19"/>
          <w:color w:val="auto"/>
        </w:rPr>
        <w:t>“</w:t>
      </w:r>
      <w:r>
        <w:rPr>
          <w:rFonts w:ascii="Times New Roman" w:cs="Times New Roman" w:eastAsia="Times New Roman" w:hAnsi="Times New Roman"/>
          <w:sz w:val="18"/>
          <w:szCs w:val="18"/>
          <w:color w:val="auto"/>
        </w:rPr>
        <w:t>Marriott</w:t>
      </w:r>
      <w:r>
        <w:rPr>
          <w:rFonts w:ascii="Times New Roman" w:cs="Times New Roman" w:eastAsia="Times New Roman" w:hAnsi="Times New Roman"/>
          <w:sz w:val="19"/>
          <w:szCs w:val="19"/>
          <w:color w:val="auto"/>
        </w:rPr>
        <w:t>”</w:t>
      </w:r>
      <w:r>
        <w:rPr>
          <w:rFonts w:ascii="Times New Roman" w:cs="Times New Roman" w:eastAsia="Times New Roman" w:hAnsi="Times New Roman"/>
          <w:sz w:val="18"/>
          <w:szCs w:val="18"/>
          <w:color w:val="auto"/>
        </w:rPr>
        <w:t>) is issuing a press release reporting financial results for the quarter ended March 31, 2026.</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copy of Marriott’s press release is attached as Exhibit 99 and incorporated by reference.</w:t>
      </w:r>
    </w:p>
    <w:p>
      <w:pPr>
        <w:spacing w:after="0" w:line="235"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 Exhibits. The following exhibits are furnished with this report:</w:t>
      </w:r>
    </w:p>
    <w:p>
      <w:pPr>
        <w:spacing w:after="0" w:line="131" w:lineRule="exact"/>
        <w:rPr>
          <w:sz w:val="20"/>
          <w:szCs w:val="20"/>
          <w:color w:val="auto"/>
        </w:rPr>
      </w:pPr>
    </w:p>
    <w:p>
      <w:pPr>
        <w:ind w:left="1340" w:hanging="1314"/>
        <w:spacing w:after="0"/>
        <w:tabs>
          <w:tab w:leader="none" w:pos="1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Press release dated May 6, 2026, reporting financial results for the quarter ended March 31, 2026.</w:t>
      </w:r>
    </w:p>
    <w:p>
      <w:pPr>
        <w:spacing w:after="0" w:line="131" w:lineRule="exact"/>
        <w:rPr>
          <w:sz w:val="20"/>
          <w:szCs w:val="20"/>
          <w:color w:val="auto"/>
        </w:rPr>
      </w:pPr>
    </w:p>
    <w:p>
      <w:pPr>
        <w:ind w:left="1340" w:hanging="1314"/>
        <w:spacing w:after="0"/>
        <w:tabs>
          <w:tab w:leader="none" w:pos="1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to this Current Report on Form 8-K, formatted in inline XBRL.</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00" w:lineRule="exact"/>
        <w:rPr>
          <w:rFonts w:ascii="Times New Roman" w:cs="Times New Roman" w:eastAsia="Times New Roman" w:hAnsi="Times New Roman"/>
          <w:sz w:val="18"/>
          <w:szCs w:val="18"/>
          <w:color w:val="auto"/>
        </w:rPr>
      </w:pPr>
    </w:p>
    <w:p>
      <w:pPr>
        <w:ind w:left="5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20"/>
          </w:cols>
          <w:pgMar w:left="320" w:top="887" w:right="9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75" w:lineRule="exact"/>
        <w:rPr>
          <w:sz w:val="20"/>
          <w:szCs w:val="20"/>
          <w:color w:val="auto"/>
        </w:rPr>
      </w:pPr>
    </w:p>
    <w:p>
      <w:pPr>
        <w:ind w:right="520" w:firstLine="44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36"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880" w:type="dxa"/>
            <w:vAlign w:val="bottom"/>
          </w:tcPr>
          <w:p>
            <w:pPr>
              <w:spacing w:after="0"/>
              <w:rPr>
                <w:sz w:val="20"/>
                <w:szCs w:val="20"/>
                <w:color w:val="auto"/>
              </w:rPr>
            </w:pPr>
          </w:p>
        </w:tc>
        <w:tc>
          <w:tcPr>
            <w:tcW w:w="7340" w:type="dxa"/>
            <w:vAlign w:val="bottom"/>
            <w:gridSpan w:val="2"/>
          </w:tcPr>
          <w:p>
            <w:pPr>
              <w:ind w:left="2520"/>
              <w:spacing w:after="0"/>
              <w:rPr>
                <w:sz w:val="20"/>
                <w:szCs w:val="20"/>
                <w:color w:val="auto"/>
              </w:rPr>
            </w:pPr>
            <w:r>
              <w:rPr>
                <w:rFonts w:ascii="Times New Roman" w:cs="Times New Roman" w:eastAsia="Times New Roman" w:hAnsi="Times New Roman"/>
                <w:sz w:val="18"/>
                <w:szCs w:val="18"/>
                <w:b w:val="1"/>
                <w:bCs w:val="1"/>
                <w:color w:val="auto"/>
              </w:rPr>
              <w:t>MARRIOTT INTERNATIONAL, INC.</w:t>
            </w:r>
          </w:p>
        </w:tc>
      </w:tr>
      <w:tr>
        <w:trPr>
          <w:trHeight w:val="499"/>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Date: May 6, 2026</w:t>
            </w:r>
          </w:p>
        </w:tc>
        <w:tc>
          <w:tcPr>
            <w:tcW w:w="3200" w:type="dxa"/>
            <w:vAlign w:val="bottom"/>
          </w:tcPr>
          <w:p>
            <w:pPr>
              <w:ind w:left="2520"/>
              <w:spacing w:after="0"/>
              <w:rPr>
                <w:sz w:val="20"/>
                <w:szCs w:val="20"/>
                <w:color w:val="auto"/>
              </w:rPr>
            </w:pPr>
            <w:r>
              <w:rPr>
                <w:rFonts w:ascii="Times New Roman" w:cs="Times New Roman" w:eastAsia="Times New Roman" w:hAnsi="Times New Roman"/>
                <w:sz w:val="18"/>
                <w:szCs w:val="18"/>
                <w:color w:val="auto"/>
              </w:rPr>
              <w:t>By:</w:t>
            </w:r>
          </w:p>
        </w:tc>
        <w:tc>
          <w:tcPr>
            <w:tcW w:w="4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Felitia O. Lee</w:t>
            </w:r>
          </w:p>
        </w:tc>
      </w:tr>
      <w:tr>
        <w:trPr>
          <w:trHeight w:val="218"/>
        </w:trPr>
        <w:tc>
          <w:tcPr>
            <w:tcW w:w="388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Felitia O. Lee</w:t>
            </w:r>
          </w:p>
        </w:tc>
      </w:tr>
      <w:tr>
        <w:trPr>
          <w:trHeight w:val="234"/>
        </w:trPr>
        <w:tc>
          <w:tcPr>
            <w:tcW w:w="388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Controller and Chief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887" w:right="3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732155</wp:posOffset>
            </wp:positionV>
            <wp:extent cx="2263140" cy="3860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263140" cy="3860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1254760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jc w:val="right"/>
        <w:spacing w:after="0"/>
        <w:rPr>
          <w:sz w:val="20"/>
          <w:szCs w:val="20"/>
          <w:color w:val="auto"/>
        </w:rPr>
      </w:pPr>
      <w:r>
        <w:rPr>
          <w:rFonts w:ascii="Arial" w:cs="Arial" w:eastAsia="Arial" w:hAnsi="Arial"/>
          <w:sz w:val="25"/>
          <w:szCs w:val="25"/>
          <w:b w:val="1"/>
          <w:bCs w:val="1"/>
          <w:color w:val="auto"/>
        </w:rPr>
        <w:t>NEWS</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Marriott International Reports First Quarter 2026 Results</w:t>
      </w:r>
    </w:p>
    <w:p>
      <w:pPr>
        <w:spacing w:after="0" w:line="176" w:lineRule="exact"/>
        <w:rPr>
          <w:sz w:val="20"/>
          <w:szCs w:val="20"/>
          <w:color w:val="auto"/>
        </w:rPr>
      </w:pPr>
    </w:p>
    <w:p>
      <w:pPr>
        <w:ind w:left="620" w:hanging="288"/>
        <w:spacing w:after="0"/>
        <w:tabs>
          <w:tab w:leader="none" w:pos="620" w:val="left"/>
        </w:tabs>
        <w:numPr>
          <w:ilvl w:val="0"/>
          <w:numId w:val="4"/>
        </w:numPr>
        <w:rPr>
          <w:rFonts w:ascii="Arial" w:cs="Arial" w:eastAsia="Arial" w:hAnsi="Arial"/>
          <w:sz w:val="22"/>
          <w:szCs w:val="22"/>
          <w:color w:val="auto"/>
        </w:rPr>
      </w:pPr>
      <w:r>
        <w:rPr>
          <w:rFonts w:ascii="Arial" w:cs="Arial" w:eastAsia="Arial" w:hAnsi="Arial"/>
          <w:sz w:val="22"/>
          <w:szCs w:val="22"/>
          <w:b w:val="1"/>
          <w:bCs w:val="1"/>
          <w:i w:val="1"/>
          <w:iCs w:val="1"/>
          <w:color w:val="auto"/>
        </w:rPr>
        <w:t>First quarter 2026 RevPAR</w:t>
      </w:r>
      <w:r>
        <w:rPr>
          <w:rFonts w:ascii="Arial" w:cs="Arial" w:eastAsia="Arial" w:hAnsi="Arial"/>
          <w:sz w:val="28"/>
          <w:szCs w:val="28"/>
          <w:color w:val="auto"/>
          <w:vertAlign w:val="superscript"/>
        </w:rPr>
        <w:t>1</w:t>
      </w:r>
      <w:r>
        <w:rPr>
          <w:rFonts w:ascii="Arial" w:cs="Arial" w:eastAsia="Arial" w:hAnsi="Arial"/>
          <w:sz w:val="22"/>
          <w:szCs w:val="22"/>
          <w:b w:val="1"/>
          <w:bCs w:val="1"/>
          <w:i w:val="1"/>
          <w:iCs w:val="1"/>
          <w:color w:val="auto"/>
        </w:rPr>
        <w:t xml:space="preserve"> increased 4.2 percent worldwide, with 4.0 percent growth in the U.S. &amp;</w:t>
      </w:r>
    </w:p>
    <w:p>
      <w:pPr>
        <w:ind w:left="660"/>
        <w:spacing w:after="0"/>
        <w:rPr>
          <w:rFonts w:ascii="Arial" w:cs="Arial" w:eastAsia="Arial" w:hAnsi="Arial"/>
          <w:sz w:val="22"/>
          <w:szCs w:val="22"/>
          <w:color w:val="auto"/>
        </w:rPr>
      </w:pPr>
      <w:r>
        <w:rPr>
          <w:rFonts w:ascii="Arial" w:cs="Arial" w:eastAsia="Arial" w:hAnsi="Arial"/>
          <w:sz w:val="22"/>
          <w:szCs w:val="22"/>
          <w:b w:val="1"/>
          <w:bCs w:val="1"/>
          <w:i w:val="1"/>
          <w:iCs w:val="1"/>
          <w:color w:val="auto"/>
        </w:rPr>
        <w:t>Canada and 4.6 percent growth in international markets</w:t>
      </w:r>
    </w:p>
    <w:p>
      <w:pPr>
        <w:spacing w:after="0" w:line="213" w:lineRule="exact"/>
        <w:rPr>
          <w:rFonts w:ascii="Arial" w:cs="Arial" w:eastAsia="Arial" w:hAnsi="Arial"/>
          <w:sz w:val="22"/>
          <w:szCs w:val="22"/>
          <w:color w:val="auto"/>
        </w:rPr>
      </w:pPr>
    </w:p>
    <w:p>
      <w:pPr>
        <w:ind w:left="620" w:hanging="288"/>
        <w:spacing w:after="0"/>
        <w:tabs>
          <w:tab w:leader="none" w:pos="620" w:val="left"/>
        </w:tabs>
        <w:numPr>
          <w:ilvl w:val="0"/>
          <w:numId w:val="4"/>
        </w:numPr>
        <w:rPr>
          <w:rFonts w:ascii="Arial" w:cs="Arial" w:eastAsia="Arial" w:hAnsi="Arial"/>
          <w:sz w:val="22"/>
          <w:szCs w:val="22"/>
          <w:color w:val="auto"/>
        </w:rPr>
      </w:pPr>
      <w:r>
        <w:rPr>
          <w:rFonts w:ascii="Arial" w:cs="Arial" w:eastAsia="Arial" w:hAnsi="Arial"/>
          <w:sz w:val="22"/>
          <w:szCs w:val="22"/>
          <w:b w:val="1"/>
          <w:bCs w:val="1"/>
          <w:i w:val="1"/>
          <w:iCs w:val="1"/>
          <w:color w:val="auto"/>
        </w:rPr>
        <w:t>First quarter reported diluted EPS totaled $2.43 and Adjusted diluted EPS totaled $2.72</w:t>
      </w:r>
    </w:p>
    <w:p>
      <w:pPr>
        <w:spacing w:after="0" w:line="233" w:lineRule="exact"/>
        <w:rPr>
          <w:rFonts w:ascii="Arial" w:cs="Arial" w:eastAsia="Arial" w:hAnsi="Arial"/>
          <w:sz w:val="22"/>
          <w:szCs w:val="22"/>
          <w:color w:val="auto"/>
        </w:rPr>
      </w:pPr>
    </w:p>
    <w:p>
      <w:pPr>
        <w:ind w:left="620" w:hanging="288"/>
        <w:spacing w:after="0"/>
        <w:tabs>
          <w:tab w:leader="none" w:pos="620" w:val="left"/>
        </w:tabs>
        <w:numPr>
          <w:ilvl w:val="0"/>
          <w:numId w:val="4"/>
        </w:numPr>
        <w:rPr>
          <w:rFonts w:ascii="Arial" w:cs="Arial" w:eastAsia="Arial" w:hAnsi="Arial"/>
          <w:sz w:val="22"/>
          <w:szCs w:val="22"/>
          <w:color w:val="auto"/>
        </w:rPr>
      </w:pPr>
      <w:r>
        <w:rPr>
          <w:rFonts w:ascii="Arial" w:cs="Arial" w:eastAsia="Arial" w:hAnsi="Arial"/>
          <w:sz w:val="22"/>
          <w:szCs w:val="22"/>
          <w:b w:val="1"/>
          <w:bCs w:val="1"/>
          <w:i w:val="1"/>
          <w:iCs w:val="1"/>
          <w:color w:val="auto"/>
        </w:rPr>
        <w:t>First quarter reported net income totaled $648 million and Adjusted net income totaled $726 million</w:t>
      </w:r>
    </w:p>
    <w:p>
      <w:pPr>
        <w:spacing w:after="0" w:line="233" w:lineRule="exact"/>
        <w:rPr>
          <w:rFonts w:ascii="Arial" w:cs="Arial" w:eastAsia="Arial" w:hAnsi="Arial"/>
          <w:sz w:val="22"/>
          <w:szCs w:val="22"/>
          <w:color w:val="auto"/>
        </w:rPr>
      </w:pPr>
    </w:p>
    <w:p>
      <w:pPr>
        <w:ind w:left="620" w:hanging="288"/>
        <w:spacing w:after="0"/>
        <w:tabs>
          <w:tab w:leader="none" w:pos="620" w:val="left"/>
        </w:tabs>
        <w:numPr>
          <w:ilvl w:val="0"/>
          <w:numId w:val="4"/>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First quarter Adjusted EBITDA totaled $1,398 million</w:t>
      </w:r>
    </w:p>
    <w:p>
      <w:pPr>
        <w:spacing w:after="0" w:line="233" w:lineRule="exact"/>
        <w:rPr>
          <w:rFonts w:ascii="Arial" w:cs="Arial" w:eastAsia="Arial" w:hAnsi="Arial"/>
          <w:sz w:val="22"/>
          <w:szCs w:val="22"/>
          <w:b w:val="1"/>
          <w:bCs w:val="1"/>
          <w:i w:val="1"/>
          <w:iCs w:val="1"/>
          <w:color w:val="auto"/>
        </w:rPr>
      </w:pPr>
    </w:p>
    <w:p>
      <w:pPr>
        <w:ind w:left="660" w:right="580" w:hanging="328"/>
        <w:spacing w:after="0" w:line="270" w:lineRule="auto"/>
        <w:tabs>
          <w:tab w:leader="none" w:pos="628" w:val="left"/>
        </w:tabs>
        <w:numPr>
          <w:ilvl w:val="0"/>
          <w:numId w:val="4"/>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The company added roughly 15,900 net rooms globally during the quarter and net rooms grew 4.5 percent from the end of the first quarter of 2025</w:t>
      </w:r>
    </w:p>
    <w:p>
      <w:pPr>
        <w:spacing w:after="0" w:line="146" w:lineRule="exact"/>
        <w:rPr>
          <w:rFonts w:ascii="Arial" w:cs="Arial" w:eastAsia="Arial" w:hAnsi="Arial"/>
          <w:sz w:val="22"/>
          <w:szCs w:val="22"/>
          <w:b w:val="1"/>
          <w:bCs w:val="1"/>
          <w:i w:val="1"/>
          <w:iCs w:val="1"/>
          <w:color w:val="auto"/>
        </w:rPr>
      </w:pPr>
    </w:p>
    <w:p>
      <w:pPr>
        <w:jc w:val="both"/>
        <w:ind w:left="660" w:right="120" w:hanging="328"/>
        <w:spacing w:after="0" w:line="250" w:lineRule="auto"/>
        <w:tabs>
          <w:tab w:leader="none" w:pos="628" w:val="left"/>
        </w:tabs>
        <w:numPr>
          <w:ilvl w:val="0"/>
          <w:numId w:val="4"/>
        </w:numPr>
        <w:rPr>
          <w:rFonts w:ascii="Arial" w:cs="Arial" w:eastAsia="Arial" w:hAnsi="Arial"/>
          <w:sz w:val="22"/>
          <w:szCs w:val="22"/>
          <w:color w:val="auto"/>
        </w:rPr>
      </w:pPr>
      <w:r>
        <w:rPr>
          <w:rFonts w:ascii="Arial" w:cs="Arial" w:eastAsia="Arial" w:hAnsi="Arial"/>
          <w:sz w:val="22"/>
          <w:szCs w:val="22"/>
          <w:b w:val="1"/>
          <w:bCs w:val="1"/>
          <w:i w:val="1"/>
          <w:iCs w:val="1"/>
          <w:color w:val="auto"/>
        </w:rPr>
        <w:t>At the end of the quarter, Marriott’s worldwide development pipeline reached a new record and totaled over 4,100 properties and nearly 618,000 rooms, with 43 percent of pipeline rooms under construction including hotels that are pending conversion</w:t>
      </w:r>
    </w:p>
    <w:p>
      <w:pPr>
        <w:spacing w:after="0" w:line="181" w:lineRule="exact"/>
        <w:rPr>
          <w:rFonts w:ascii="Arial" w:cs="Arial" w:eastAsia="Arial" w:hAnsi="Arial"/>
          <w:sz w:val="22"/>
          <w:szCs w:val="22"/>
          <w:color w:val="auto"/>
        </w:rPr>
      </w:pPr>
    </w:p>
    <w:p>
      <w:pPr>
        <w:ind w:left="660" w:right="120" w:hanging="328"/>
        <w:spacing w:after="0" w:line="250" w:lineRule="auto"/>
        <w:tabs>
          <w:tab w:leader="none" w:pos="628" w:val="left"/>
        </w:tabs>
        <w:numPr>
          <w:ilvl w:val="0"/>
          <w:numId w:val="4"/>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The company repurchased 2.1 million shares of common stock for $0.7 billion in the 2026 first quarter. Year-to-date through April 29, the company has returned over $1.2 billion to shareholders through dividends and share repurchases</w:t>
      </w:r>
    </w:p>
    <w:p>
      <w:pPr>
        <w:spacing w:after="0" w:line="181" w:lineRule="exact"/>
        <w:rPr>
          <w:sz w:val="20"/>
          <w:szCs w:val="20"/>
          <w:color w:val="auto"/>
        </w:rPr>
      </w:pPr>
    </w:p>
    <w:p>
      <w:pPr>
        <w:ind w:right="700"/>
        <w:spacing w:after="0" w:line="259" w:lineRule="auto"/>
        <w:rPr>
          <w:sz w:val="20"/>
          <w:szCs w:val="20"/>
          <w:color w:val="auto"/>
        </w:rPr>
      </w:pPr>
      <w:r>
        <w:rPr>
          <w:rFonts w:ascii="Arial" w:cs="Arial" w:eastAsia="Arial" w:hAnsi="Arial"/>
          <w:sz w:val="22"/>
          <w:szCs w:val="22"/>
          <w:color w:val="auto"/>
        </w:rPr>
        <w:t xml:space="preserve">For a summary of first quarter 2026 highlights, please visit: </w:t>
      </w:r>
      <w:r>
        <w:rPr>
          <w:rFonts w:ascii="Arial" w:cs="Arial" w:eastAsia="Arial" w:hAnsi="Arial"/>
          <w:sz w:val="22"/>
          <w:szCs w:val="22"/>
          <w:u w:val="single" w:color="auto"/>
          <w:color w:val="auto"/>
        </w:rPr>
        <w:t>https://news.marriott.com/static-assets/component-resources/newscenter/earnings/2026/2026-q1-earnings-infographic.pdf</w:t>
      </w:r>
    </w:p>
    <w:p>
      <w:pPr>
        <w:spacing w:after="0" w:line="224" w:lineRule="exact"/>
        <w:rPr>
          <w:sz w:val="20"/>
          <w:szCs w:val="20"/>
          <w:color w:val="auto"/>
        </w:rPr>
      </w:pPr>
    </w:p>
    <w:p>
      <w:pPr>
        <w:spacing w:after="0"/>
        <w:rPr>
          <w:sz w:val="20"/>
          <w:szCs w:val="20"/>
          <w:color w:val="auto"/>
        </w:rPr>
      </w:pPr>
      <w:r>
        <w:rPr>
          <w:rFonts w:ascii="Arial" w:cs="Arial" w:eastAsia="Arial" w:hAnsi="Arial"/>
          <w:sz w:val="21"/>
          <w:szCs w:val="21"/>
          <w:color w:val="auto"/>
        </w:rPr>
        <w:t>BETHESDA, MD – May 6, 2026 - Marriott International, Inc. (Nasdaq: MAR) today reported first quarter 2026 results.</w:t>
      </w:r>
    </w:p>
    <w:p>
      <w:pPr>
        <w:spacing w:after="0" w:line="326" w:lineRule="exact"/>
        <w:rPr>
          <w:sz w:val="20"/>
          <w:szCs w:val="20"/>
          <w:color w:val="auto"/>
        </w:rPr>
      </w:pPr>
    </w:p>
    <w:p>
      <w:pPr>
        <w:ind w:right="80"/>
        <w:spacing w:after="0" w:line="307" w:lineRule="auto"/>
        <w:rPr>
          <w:sz w:val="20"/>
          <w:szCs w:val="20"/>
          <w:color w:val="auto"/>
        </w:rPr>
      </w:pPr>
      <w:r>
        <w:rPr>
          <w:rFonts w:ascii="Arial" w:cs="Arial" w:eastAsia="Arial" w:hAnsi="Arial"/>
          <w:sz w:val="22"/>
          <w:szCs w:val="22"/>
          <w:color w:val="auto"/>
        </w:rPr>
        <w:t>Anthony Capuano, President and Chief Executive Officer, said, “We delivered excellent first quarter results, reflecting the strength of our brands, our unmatched global footprint, and the resilience of</w:t>
      </w:r>
    </w:p>
    <w:p>
      <w:pPr>
        <w:spacing w:after="0" w:line="1" w:lineRule="exact"/>
        <w:rPr>
          <w:sz w:val="20"/>
          <w:szCs w:val="20"/>
          <w:color w:val="auto"/>
        </w:rPr>
      </w:pPr>
    </w:p>
    <w:p>
      <w:pPr>
        <w:ind w:right="260"/>
        <w:spacing w:after="0" w:line="342" w:lineRule="auto"/>
        <w:rPr>
          <w:sz w:val="20"/>
          <w:szCs w:val="20"/>
          <w:color w:val="auto"/>
        </w:rPr>
      </w:pPr>
      <w:r>
        <w:rPr>
          <w:rFonts w:ascii="Arial" w:cs="Arial" w:eastAsia="Arial" w:hAnsi="Arial"/>
          <w:sz w:val="21"/>
          <w:szCs w:val="21"/>
          <w:color w:val="auto"/>
        </w:rPr>
        <w:t>demand for travel. Global RevPAR increased over 4 percent, exceeding the high end of our expectations, driven by gains in both average daily rate and occupancy. RevPAR in the U.S. &amp; Canada rose 4 percent, with performance strengthening throughout the quarter and growth broad-based across customer segments and chain scales.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218440</wp:posOffset>
            </wp:positionV>
            <wp:extent cx="17145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396" w:lineRule="exact"/>
        <w:rPr>
          <w:sz w:val="20"/>
          <w:szCs w:val="20"/>
          <w:color w:val="auto"/>
        </w:rPr>
      </w:pPr>
    </w:p>
    <w:p>
      <w:pPr>
        <w:spacing w:after="0"/>
        <w:rPr>
          <w:sz w:val="20"/>
          <w:szCs w:val="20"/>
          <w:color w:val="auto"/>
        </w:rPr>
      </w:pPr>
      <w:r>
        <w:rPr>
          <w:rFonts w:ascii="Arial" w:cs="Arial" w:eastAsia="Arial" w:hAnsi="Arial"/>
          <w:sz w:val="23"/>
          <w:szCs w:val="23"/>
          <w:color w:val="auto"/>
          <w:vertAlign w:val="superscript"/>
        </w:rPr>
        <w:t>1</w:t>
      </w:r>
      <w:r>
        <w:rPr>
          <w:rFonts w:ascii="Arial" w:cs="Arial" w:eastAsia="Arial" w:hAnsi="Arial"/>
          <w:sz w:val="18"/>
          <w:szCs w:val="18"/>
          <w:color w:val="auto"/>
        </w:rPr>
        <w:t>All occupancy, Average Daily Rate (ADR) and Revenue per Available Room (RevPAR) statistics and estimates are systemwide constant</w:t>
      </w:r>
    </w:p>
    <w:p>
      <w:pPr>
        <w:ind w:right="560"/>
        <w:spacing w:after="0" w:line="250" w:lineRule="auto"/>
        <w:rPr>
          <w:sz w:val="20"/>
          <w:szCs w:val="20"/>
          <w:color w:val="auto"/>
        </w:rPr>
      </w:pPr>
      <w:r>
        <w:rPr>
          <w:rFonts w:ascii="Arial" w:cs="Arial" w:eastAsia="Arial" w:hAnsi="Arial"/>
          <w:sz w:val="18"/>
          <w:szCs w:val="18"/>
          <w:color w:val="auto"/>
        </w:rPr>
        <w:t>dollar. Unless otherwise stated, all changes refer to year-over-year changes for the comparable period. Occupancy, ADR and RevPAR comparisons between 2026 and 2025 reflect properties that are comparable in both years.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440" w:right="339" w:bottom="1440" w:gutter="0" w:footer="0" w:header="0"/>
        </w:sectPr>
      </w:pPr>
    </w:p>
    <w:bookmarkStart w:id="4" w:name="page5"/>
    <w:bookmarkEnd w:id="4"/>
    <w:p>
      <w:pPr>
        <w:spacing w:after="0" w:line="314" w:lineRule="auto"/>
        <w:rPr>
          <w:sz w:val="20"/>
          <w:szCs w:val="20"/>
          <w:color w:val="auto"/>
        </w:rPr>
      </w:pPr>
      <w:r>
        <w:rPr>
          <w:rFonts w:ascii="Arial" w:cs="Arial" w:eastAsia="Arial" w:hAnsi="Arial"/>
          <w:sz w:val="22"/>
          <w:szCs w:val="22"/>
          <w:color w:val="auto"/>
        </w:rPr>
        <w:t>“International RevPAR grew 4.6 percent in the quarter, despite the conflict in the Middle East impacting March results. RevPAR in EMEA grew over 3 percent in the quarter, with increases in Europe and Africa partially offset by a decline in the Middle East. APEC led international performance, with first quarter RevPAR increasing more than 7 percent, on sustained leisure travel demand. RevPAR in Greater China increased by almost 6 percent, driven by leisure travel, particularly in Hong Kong and Hainan.</w:t>
      </w:r>
    </w:p>
    <w:p>
      <w:pPr>
        <w:spacing w:after="0" w:line="208" w:lineRule="exact"/>
        <w:rPr>
          <w:sz w:val="20"/>
          <w:szCs w:val="20"/>
          <w:color w:val="auto"/>
        </w:rPr>
      </w:pPr>
    </w:p>
    <w:p>
      <w:pPr>
        <w:ind w:right="340"/>
        <w:spacing w:after="0" w:line="314" w:lineRule="exact"/>
        <w:rPr>
          <w:sz w:val="20"/>
          <w:szCs w:val="20"/>
          <w:color w:val="auto"/>
        </w:rPr>
      </w:pPr>
      <w:r>
        <w:rPr>
          <w:rFonts w:ascii="Arial" w:cs="Arial" w:eastAsia="Arial" w:hAnsi="Arial"/>
          <w:sz w:val="22"/>
          <w:szCs w:val="22"/>
          <w:color w:val="auto"/>
        </w:rPr>
        <w:t>“Our development momentum continued, and we had record first quarter signings. Our industry-leading pipeline expanded to nearly 618,000 rooms, up over 5 percent from the year</w:t>
      </w:r>
      <w:r>
        <w:rPr>
          <w:rFonts w:ascii="MS PGothic" w:cs="MS PGothic" w:eastAsia="MS PGothic" w:hAnsi="MS PGothic"/>
          <w:sz w:val="22"/>
          <w:szCs w:val="22"/>
          <w:color w:val="auto"/>
        </w:rPr>
        <w:t>‐</w:t>
      </w:r>
      <w:r>
        <w:rPr>
          <w:rFonts w:ascii="Arial" w:cs="Arial" w:eastAsia="Arial" w:hAnsi="Arial"/>
          <w:sz w:val="22"/>
          <w:szCs w:val="22"/>
          <w:color w:val="auto"/>
        </w:rPr>
        <w:t>ago quarter. Conversions, including multi-unit deals, remained a significant driver of growth, representing over 35 percent of signings and over 40 percent of openings in the quarter.</w:t>
      </w:r>
    </w:p>
    <w:p>
      <w:pPr>
        <w:spacing w:after="0" w:line="287" w:lineRule="exact"/>
        <w:rPr>
          <w:sz w:val="20"/>
          <w:szCs w:val="20"/>
          <w:color w:val="auto"/>
        </w:rPr>
      </w:pPr>
    </w:p>
    <w:p>
      <w:pPr>
        <w:ind w:right="80"/>
        <w:spacing w:after="0" w:line="317" w:lineRule="auto"/>
        <w:rPr>
          <w:sz w:val="20"/>
          <w:szCs w:val="20"/>
          <w:color w:val="auto"/>
        </w:rPr>
      </w:pPr>
      <w:r>
        <w:rPr>
          <w:rFonts w:ascii="Arial" w:cs="Arial" w:eastAsia="Arial" w:hAnsi="Arial"/>
          <w:sz w:val="22"/>
          <w:szCs w:val="22"/>
          <w:color w:val="auto"/>
        </w:rPr>
        <w:t>“Our Marriott Bonvoy travel platform remains a key competitive advantage that connects members to stays, experiences, and loyalty partners throughout their journey, and delivers significant value to hotel owners. Supported by our broad portfolio of brands and experiences, loyalty program membership in Marriott Bonvoy grew to nearly 283 million members at quarter-end.</w:t>
      </w:r>
    </w:p>
    <w:p>
      <w:pPr>
        <w:spacing w:after="0" w:line="202" w:lineRule="exact"/>
        <w:rPr>
          <w:sz w:val="20"/>
          <w:szCs w:val="20"/>
          <w:color w:val="auto"/>
        </w:rPr>
      </w:pPr>
    </w:p>
    <w:p>
      <w:pPr>
        <w:ind w:right="200"/>
        <w:spacing w:after="0" w:line="321" w:lineRule="auto"/>
        <w:rPr>
          <w:sz w:val="20"/>
          <w:szCs w:val="20"/>
          <w:color w:val="auto"/>
        </w:rPr>
      </w:pPr>
      <w:r>
        <w:rPr>
          <w:rFonts w:ascii="Arial" w:cs="Arial" w:eastAsia="Arial" w:hAnsi="Arial"/>
          <w:sz w:val="22"/>
          <w:szCs w:val="22"/>
          <w:color w:val="auto"/>
        </w:rPr>
        <w:t>“As we look ahead to the rest of this year and beyond, we are confident that our leading global scale and strong brand portfolio, our powerful Marriott Bonvoy travel platform and loyalty program, our dedicated associates, and our asset-light business model continue to position us very well for sustainable, long-term growth.”</w:t>
      </w:r>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First Quarter 2026 Results</w:t>
      </w:r>
    </w:p>
    <w:p>
      <w:pPr>
        <w:spacing w:after="0" w:line="73" w:lineRule="exact"/>
        <w:rPr>
          <w:sz w:val="20"/>
          <w:szCs w:val="20"/>
          <w:color w:val="auto"/>
        </w:rPr>
      </w:pPr>
    </w:p>
    <w:p>
      <w:pPr>
        <w:ind w:right="660"/>
        <w:spacing w:after="0" w:line="321" w:lineRule="auto"/>
        <w:rPr>
          <w:sz w:val="20"/>
          <w:szCs w:val="20"/>
          <w:color w:val="auto"/>
        </w:rPr>
      </w:pPr>
      <w:r>
        <w:rPr>
          <w:rFonts w:ascii="Arial" w:cs="Arial" w:eastAsia="Arial" w:hAnsi="Arial"/>
          <w:sz w:val="22"/>
          <w:szCs w:val="22"/>
          <w:color w:val="auto"/>
        </w:rPr>
        <w:t>Franchise and base management fees totaled $1,211 million in the 2026 first quarter, a 13 percent increase compared to franchise and base management fees of $1,071 million in the year-ago quarter. The increase was primarily driven by higher co-branded credit card fees, rooms growth and higher RevPAR.</w:t>
      </w:r>
    </w:p>
    <w:p>
      <w:pPr>
        <w:spacing w:after="0" w:line="200" w:lineRule="exact"/>
        <w:rPr>
          <w:sz w:val="20"/>
          <w:szCs w:val="20"/>
          <w:color w:val="auto"/>
        </w:rPr>
      </w:pPr>
    </w:p>
    <w:p>
      <w:pPr>
        <w:ind w:right="140"/>
        <w:spacing w:after="0" w:line="317" w:lineRule="auto"/>
        <w:rPr>
          <w:sz w:val="20"/>
          <w:szCs w:val="20"/>
          <w:color w:val="auto"/>
        </w:rPr>
      </w:pPr>
      <w:r>
        <w:rPr>
          <w:rFonts w:ascii="Arial" w:cs="Arial" w:eastAsia="Arial" w:hAnsi="Arial"/>
          <w:sz w:val="22"/>
          <w:szCs w:val="22"/>
          <w:color w:val="auto"/>
        </w:rPr>
        <w:t>Incentive management fees totaled $222 million in the 2026 first quarter, compared to $204 million in the 2025 first quarter, driven by strong year-over-year growth in the U.S. &amp; Canada, as well as increases in the APEC, Greater China and CALA regions. Managed hotels in international markets contributed nearly two-thirds of the incentive fees earned in the quarter.</w:t>
      </w:r>
    </w:p>
    <w:p>
      <w:pPr>
        <w:spacing w:after="0" w:line="196" w:lineRule="exact"/>
        <w:rPr>
          <w:sz w:val="20"/>
          <w:szCs w:val="20"/>
          <w:color w:val="auto"/>
        </w:rPr>
      </w:pPr>
    </w:p>
    <w:p>
      <w:pPr>
        <w:ind w:right="400"/>
        <w:spacing w:after="0" w:line="277" w:lineRule="auto"/>
        <w:rPr>
          <w:sz w:val="20"/>
          <w:szCs w:val="20"/>
          <w:color w:val="auto"/>
        </w:rPr>
      </w:pPr>
      <w:r>
        <w:rPr>
          <w:rFonts w:ascii="Arial" w:cs="Arial" w:eastAsia="Arial" w:hAnsi="Arial"/>
          <w:sz w:val="22"/>
          <w:szCs w:val="22"/>
          <w:color w:val="auto"/>
        </w:rPr>
        <w:t>Owned, leased, and other revenue, net of owned, leased, and other expense</w:t>
      </w:r>
      <w:r>
        <w:rPr>
          <w:rFonts w:ascii="Arial" w:cs="Arial" w:eastAsia="Arial" w:hAnsi="Arial"/>
          <w:sz w:val="28"/>
          <w:szCs w:val="28"/>
          <w:color w:val="auto"/>
          <w:vertAlign w:val="superscript"/>
        </w:rPr>
        <w:t>2</w:t>
      </w:r>
      <w:r>
        <w:rPr>
          <w:rFonts w:ascii="Arial" w:cs="Arial" w:eastAsia="Arial" w:hAnsi="Arial"/>
          <w:sz w:val="22"/>
          <w:szCs w:val="22"/>
          <w:color w:val="auto"/>
        </w:rPr>
        <w:t>, totaled $35 million in the 2026 first quarter, compared to $29 million in the 2025 first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17145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00" w:lineRule="exact"/>
        <w:rPr>
          <w:sz w:val="20"/>
          <w:szCs w:val="20"/>
          <w:color w:val="auto"/>
        </w:rPr>
      </w:pPr>
    </w:p>
    <w:p>
      <w:pPr>
        <w:spacing w:after="0" w:line="251" w:lineRule="exact"/>
        <w:rPr>
          <w:sz w:val="20"/>
          <w:szCs w:val="20"/>
          <w:color w:val="auto"/>
        </w:rPr>
      </w:pPr>
    </w:p>
    <w:p>
      <w:pPr>
        <w:ind w:right="260"/>
        <w:spacing w:after="0" w:line="229" w:lineRule="auto"/>
        <w:rPr>
          <w:sz w:val="20"/>
          <w:szCs w:val="20"/>
          <w:color w:val="auto"/>
        </w:rPr>
      </w:pPr>
      <w:r>
        <w:rPr>
          <w:rFonts w:ascii="Arial" w:cs="Arial" w:eastAsia="Arial" w:hAnsi="Arial"/>
          <w:sz w:val="23"/>
          <w:szCs w:val="23"/>
          <w:color w:val="auto"/>
          <w:vertAlign w:val="superscript"/>
        </w:rPr>
        <w:t>2</w:t>
      </w:r>
      <w:r>
        <w:rPr>
          <w:rFonts w:ascii="Arial" w:cs="Arial" w:eastAsia="Arial" w:hAnsi="Arial"/>
          <w:sz w:val="18"/>
          <w:szCs w:val="18"/>
          <w:color w:val="auto"/>
        </w:rPr>
        <w:t>In the 2025 fourth quarter, to enhance understanding of the company’s general and administrative costs, we reclassified amounts attributable to other expenses previously reported under the “General, administrative, and other” caption to the “Owned, leased, and other expense” caption of our Income Statements. Please see the Income Statement Reclassification section of this press release for additional information.</w:t>
      </w:r>
    </w:p>
    <w:p>
      <w:pPr>
        <w:spacing w:after="0" w:line="200" w:lineRule="exact"/>
        <w:rPr>
          <w:sz w:val="20"/>
          <w:szCs w:val="20"/>
          <w:color w:val="auto"/>
        </w:rPr>
      </w:pPr>
    </w:p>
    <w:p>
      <w:pPr>
        <w:spacing w:after="0" w:line="3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20"/>
          </w:cols>
          <w:pgMar w:left="320" w:top="923" w:right="359" w:bottom="1440" w:gutter="0" w:footer="0" w:header="0"/>
        </w:sectPr>
      </w:pPr>
    </w:p>
    <w:bookmarkStart w:id="5" w:name="page6"/>
    <w:bookmarkEnd w:id="5"/>
    <w:p>
      <w:pPr>
        <w:ind w:right="40"/>
        <w:spacing w:after="0" w:line="285" w:lineRule="auto"/>
        <w:rPr>
          <w:sz w:val="20"/>
          <w:szCs w:val="20"/>
          <w:color w:val="auto"/>
        </w:rPr>
      </w:pPr>
      <w:r>
        <w:rPr>
          <w:rFonts w:ascii="Arial" w:cs="Arial" w:eastAsia="Arial" w:hAnsi="Arial"/>
          <w:sz w:val="22"/>
          <w:szCs w:val="22"/>
          <w:color w:val="auto"/>
        </w:rPr>
        <w:t>General and administrative expenses</w:t>
      </w:r>
      <w:r>
        <w:rPr>
          <w:rFonts w:ascii="Arial" w:cs="Arial" w:eastAsia="Arial" w:hAnsi="Arial"/>
          <w:sz w:val="28"/>
          <w:szCs w:val="28"/>
          <w:color w:val="auto"/>
          <w:vertAlign w:val="superscript"/>
        </w:rPr>
        <w:t>2</w:t>
      </w:r>
      <w:r>
        <w:rPr>
          <w:rFonts w:ascii="Arial" w:cs="Arial" w:eastAsia="Arial" w:hAnsi="Arial"/>
          <w:sz w:val="22"/>
          <w:szCs w:val="22"/>
          <w:color w:val="auto"/>
        </w:rPr>
        <w:t xml:space="preserve"> for the 2026 first quarter totaled $219 million, compared to $209 million in the year-ago quarter, reflecting higher compensation costs partly due to timing, partially offset by lower litigation expenses.</w:t>
      </w:r>
    </w:p>
    <w:p>
      <w:pPr>
        <w:spacing w:after="0" w:line="238" w:lineRule="exact"/>
        <w:rPr>
          <w:sz w:val="20"/>
          <w:szCs w:val="20"/>
          <w:color w:val="auto"/>
        </w:rPr>
      </w:pPr>
    </w:p>
    <w:p>
      <w:pPr>
        <w:spacing w:after="0"/>
        <w:rPr>
          <w:sz w:val="20"/>
          <w:szCs w:val="20"/>
          <w:color w:val="auto"/>
        </w:rPr>
      </w:pPr>
      <w:r>
        <w:rPr>
          <w:rFonts w:ascii="Arial" w:cs="Arial" w:eastAsia="Arial" w:hAnsi="Arial"/>
          <w:sz w:val="21"/>
          <w:szCs w:val="21"/>
          <w:color w:val="auto"/>
        </w:rPr>
        <w:t>Interest expense, net, totaled $204 million in the 2026 first quarter, compared to $183 million in the year-ago quarter.</w:t>
      </w:r>
    </w:p>
    <w:p>
      <w:pPr>
        <w:spacing w:after="0" w:line="83" w:lineRule="exact"/>
        <w:rPr>
          <w:sz w:val="20"/>
          <w:szCs w:val="20"/>
          <w:color w:val="auto"/>
        </w:rPr>
      </w:pPr>
    </w:p>
    <w:p>
      <w:pPr>
        <w:spacing w:after="0"/>
        <w:rPr>
          <w:sz w:val="20"/>
          <w:szCs w:val="20"/>
          <w:color w:val="auto"/>
        </w:rPr>
      </w:pPr>
      <w:r>
        <w:rPr>
          <w:rFonts w:ascii="Arial" w:cs="Arial" w:eastAsia="Arial" w:hAnsi="Arial"/>
          <w:sz w:val="22"/>
          <w:szCs w:val="22"/>
          <w:color w:val="auto"/>
        </w:rPr>
        <w:t>The increase was largely due to higher interest expense associated with higher debt balances.</w:t>
      </w:r>
    </w:p>
    <w:p>
      <w:pPr>
        <w:spacing w:after="0" w:line="314" w:lineRule="exact"/>
        <w:rPr>
          <w:sz w:val="20"/>
          <w:szCs w:val="20"/>
          <w:color w:val="auto"/>
        </w:rPr>
      </w:pPr>
    </w:p>
    <w:p>
      <w:pPr>
        <w:ind w:right="20"/>
        <w:spacing w:after="0" w:line="336" w:lineRule="auto"/>
        <w:rPr>
          <w:sz w:val="20"/>
          <w:szCs w:val="20"/>
          <w:color w:val="auto"/>
        </w:rPr>
      </w:pPr>
      <w:r>
        <w:rPr>
          <w:rFonts w:ascii="Arial" w:cs="Arial" w:eastAsia="Arial" w:hAnsi="Arial"/>
          <w:sz w:val="22"/>
          <w:szCs w:val="22"/>
          <w:color w:val="auto"/>
        </w:rPr>
        <w:t>In the 2026 first quarter, the provision for income taxes totaled $210 million, compared to $99 million in the 2025 first quarter, which benefited from an $86 million release of certain tax reserves.</w:t>
      </w:r>
    </w:p>
    <w:p>
      <w:pPr>
        <w:spacing w:after="0" w:line="183" w:lineRule="exact"/>
        <w:rPr>
          <w:sz w:val="20"/>
          <w:szCs w:val="20"/>
          <w:color w:val="auto"/>
        </w:rPr>
      </w:pPr>
    </w:p>
    <w:p>
      <w:pPr>
        <w:ind w:right="80"/>
        <w:spacing w:after="0" w:line="335" w:lineRule="auto"/>
        <w:rPr>
          <w:sz w:val="20"/>
          <w:szCs w:val="20"/>
          <w:color w:val="auto"/>
        </w:rPr>
      </w:pPr>
      <w:r>
        <w:rPr>
          <w:rFonts w:ascii="Arial" w:cs="Arial" w:eastAsia="Arial" w:hAnsi="Arial"/>
          <w:sz w:val="21"/>
          <w:szCs w:val="21"/>
          <w:color w:val="auto"/>
        </w:rPr>
        <w:t>Marriott’s reported operating income totaled $1,064 million in the 2026 first quarter, compared to 2025 first quarter reported operating income of $948 million. Reported net income totaled $648 million in the 2026 first quarter, a 3 percent decrease compared to 2025 first quarter reported net income of $665 million. Reported diluted earnings per share (EPS) totaled $2.43 in the quarter, compared to reported diluted EPS of $2.39 in the year-ago quarter.</w:t>
      </w:r>
    </w:p>
    <w:p>
      <w:pPr>
        <w:spacing w:after="0" w:line="191" w:lineRule="exact"/>
        <w:rPr>
          <w:sz w:val="20"/>
          <w:szCs w:val="20"/>
          <w:color w:val="auto"/>
        </w:rPr>
      </w:pPr>
    </w:p>
    <w:p>
      <w:pPr>
        <w:ind w:right="180"/>
        <w:spacing w:after="0" w:line="317" w:lineRule="auto"/>
        <w:rPr>
          <w:sz w:val="20"/>
          <w:szCs w:val="20"/>
          <w:color w:val="auto"/>
        </w:rPr>
      </w:pPr>
      <w:r>
        <w:rPr>
          <w:rFonts w:ascii="Arial" w:cs="Arial" w:eastAsia="Arial" w:hAnsi="Arial"/>
          <w:sz w:val="22"/>
          <w:szCs w:val="22"/>
          <w:color w:val="auto"/>
        </w:rPr>
        <w:t>Adjusted operating income in the 2026 first quarter totaled $1,158 million, compared to 2025 first quarter Adjusted operating income of $1,016 million. First quarter 2026 Adjusted net income totaled $726 million, compared to 2025 first quarter Adjusted net income of $645 million. Adjusted diluted EPS in the 2026 first quarter totaled $2.72, compared to Adjusted diluted EPS of $2.32 in the year-ago quarter.</w:t>
      </w:r>
    </w:p>
    <w:p>
      <w:pPr>
        <w:spacing w:after="0" w:line="202" w:lineRule="exact"/>
        <w:rPr>
          <w:sz w:val="20"/>
          <w:szCs w:val="20"/>
          <w:color w:val="auto"/>
        </w:rPr>
      </w:pPr>
    </w:p>
    <w:p>
      <w:pPr>
        <w:spacing w:after="0" w:line="335" w:lineRule="auto"/>
        <w:rPr>
          <w:sz w:val="20"/>
          <w:szCs w:val="20"/>
          <w:color w:val="auto"/>
        </w:rPr>
      </w:pPr>
      <w:r>
        <w:rPr>
          <w:rFonts w:ascii="Arial" w:cs="Arial" w:eastAsia="Arial" w:hAnsi="Arial"/>
          <w:sz w:val="21"/>
          <w:szCs w:val="21"/>
          <w:color w:val="auto"/>
        </w:rPr>
        <w:t>First quarter 2026 Adjusted results excluded cost reimbursement revenue, reimbursed expenses, restructuring and merger-related charges, and other expenses, adjustments related to the termination of our licensing agreement with Sonder Holdings Inc., and an adjustment to a gain on an asset disposition. See the press release schedules for the calculation of Adjusted results and the manner in which the Adjusted measures are determined in this press release.</w:t>
      </w:r>
    </w:p>
    <w:p>
      <w:pPr>
        <w:spacing w:after="0" w:line="191" w:lineRule="exact"/>
        <w:rPr>
          <w:sz w:val="20"/>
          <w:szCs w:val="20"/>
          <w:color w:val="auto"/>
        </w:rPr>
      </w:pPr>
    </w:p>
    <w:p>
      <w:pPr>
        <w:jc w:val="both"/>
        <w:ind w:right="40"/>
        <w:spacing w:after="0" w:line="321" w:lineRule="auto"/>
        <w:rPr>
          <w:sz w:val="20"/>
          <w:szCs w:val="20"/>
          <w:color w:val="auto"/>
        </w:rPr>
      </w:pPr>
      <w:r>
        <w:rPr>
          <w:rFonts w:ascii="Arial" w:cs="Arial" w:eastAsia="Arial" w:hAnsi="Arial"/>
          <w:sz w:val="22"/>
          <w:szCs w:val="22"/>
          <w:color w:val="auto"/>
        </w:rPr>
        <w:t>Adjusted earnings before interest, taxes, depreciation, and amortization (EBITDA) totaled $1,398 million in the 2026 first quarter, a 15 percent increase compared to first quarter 2025 Adjusted EBITDA of $1,217 million. See the press release schedules for the Adjusted EBITDA calculation.</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00"/>
          </w:cols>
          <w:pgMar w:left="320" w:top="916" w:right="479" w:bottom="1440" w:gutter="0" w:footer="0" w:header="0"/>
        </w:sectPr>
      </w:pPr>
    </w:p>
    <w:bookmarkStart w:id="6" w:name="page7"/>
    <w:bookmarkEnd w:id="6"/>
    <w:p>
      <w:pPr>
        <w:spacing w:after="0"/>
        <w:rPr>
          <w:sz w:val="20"/>
          <w:szCs w:val="20"/>
          <w:color w:val="auto"/>
        </w:rPr>
      </w:pPr>
      <w:r>
        <w:rPr>
          <w:rFonts w:ascii="Arial" w:cs="Arial" w:eastAsia="Arial" w:hAnsi="Arial"/>
          <w:sz w:val="22"/>
          <w:szCs w:val="22"/>
          <w:b w:val="1"/>
          <w:bCs w:val="1"/>
          <w:u w:val="single" w:color="auto"/>
          <w:color w:val="auto"/>
        </w:rPr>
        <w:t>Income Statement Reclassification</w:t>
      </w:r>
    </w:p>
    <w:p>
      <w:pPr>
        <w:spacing w:after="0" w:line="73" w:lineRule="exact"/>
        <w:rPr>
          <w:sz w:val="20"/>
          <w:szCs w:val="20"/>
          <w:color w:val="auto"/>
        </w:rPr>
      </w:pPr>
    </w:p>
    <w:p>
      <w:pPr>
        <w:ind w:right="20"/>
        <w:spacing w:after="0" w:line="311" w:lineRule="auto"/>
        <w:rPr>
          <w:sz w:val="20"/>
          <w:szCs w:val="20"/>
          <w:color w:val="auto"/>
        </w:rPr>
      </w:pPr>
      <w:r>
        <w:rPr>
          <w:rFonts w:ascii="Arial" w:cs="Arial" w:eastAsia="Arial" w:hAnsi="Arial"/>
          <w:sz w:val="22"/>
          <w:szCs w:val="22"/>
          <w:color w:val="auto"/>
        </w:rPr>
        <w:t>In the 2025 fourth quarter, to enhance understanding of the company’s general and administrative costs, we reclassified amounts attributable to other expenses previously reported under the “General, administrative, and other” caption to the “Owned, leased, and other expense” caption of our Income Statements. The expenses that were reclassified from “General, administrative, and other” are certain costs associated with our property-related fee revenues, such as guarantee expense, provision for credit losses, and certain brand-related or property-related expenses, as well as costs associated with certain third-party agreements. Please refer to the Expense Captions - As Reclassified section in the press release schedules for information about the affected expense captions, as reclassified, for each quarter and the full fiscal year of 2025.</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Selected Performance Information</w:t>
      </w:r>
    </w:p>
    <w:p>
      <w:pPr>
        <w:spacing w:after="0" w:line="73" w:lineRule="exact"/>
        <w:rPr>
          <w:sz w:val="20"/>
          <w:szCs w:val="20"/>
          <w:color w:val="auto"/>
        </w:rPr>
      </w:pPr>
    </w:p>
    <w:p>
      <w:pPr>
        <w:ind w:right="420"/>
        <w:spacing w:after="0" w:line="321" w:lineRule="auto"/>
        <w:rPr>
          <w:sz w:val="20"/>
          <w:szCs w:val="20"/>
          <w:color w:val="auto"/>
        </w:rPr>
      </w:pPr>
      <w:r>
        <w:rPr>
          <w:rFonts w:ascii="Arial" w:cs="Arial" w:eastAsia="Arial" w:hAnsi="Arial"/>
          <w:sz w:val="22"/>
          <w:szCs w:val="22"/>
          <w:color w:val="auto"/>
        </w:rPr>
        <w:t>The company added roughly 15,900 net rooms during the quarter, including approximately 7,500 net rooms in international markets. At the end of the quarter, Marriott’s global system totaled over 9,900 properties, with nearly 1,796,000 rooms.</w:t>
      </w:r>
    </w:p>
    <w:p>
      <w:pPr>
        <w:spacing w:after="0" w:line="200" w:lineRule="exact"/>
        <w:rPr>
          <w:sz w:val="20"/>
          <w:szCs w:val="20"/>
          <w:color w:val="auto"/>
        </w:rPr>
      </w:pPr>
    </w:p>
    <w:p>
      <w:pPr>
        <w:spacing w:after="0" w:line="314" w:lineRule="auto"/>
        <w:rPr>
          <w:sz w:val="20"/>
          <w:szCs w:val="20"/>
          <w:color w:val="auto"/>
        </w:rPr>
      </w:pPr>
      <w:r>
        <w:rPr>
          <w:rFonts w:ascii="Arial" w:cs="Arial" w:eastAsia="Arial" w:hAnsi="Arial"/>
          <w:sz w:val="22"/>
          <w:szCs w:val="22"/>
          <w:color w:val="auto"/>
        </w:rPr>
        <w:t>At the end of the quarter, the company’s worldwide development pipeline totaled 4,107 properties with nearly 618,000 rooms, including 230 properties with nearly 34,000 rooms approved for development but not yet subject to signed contracts. The quarter-end pipeline included 1,699 properties with over 268,000 rooms under construction, including hotels that are in the process of converting to our system. Over half of the rooms in the quarter-end pipeline were located in international markets.</w:t>
      </w:r>
    </w:p>
    <w:p>
      <w:pPr>
        <w:spacing w:after="0" w:line="208" w:lineRule="exact"/>
        <w:rPr>
          <w:sz w:val="20"/>
          <w:szCs w:val="20"/>
          <w:color w:val="auto"/>
        </w:rPr>
      </w:pPr>
    </w:p>
    <w:p>
      <w:pPr>
        <w:jc w:val="both"/>
        <w:ind w:right="540"/>
        <w:spacing w:after="0" w:line="317" w:lineRule="auto"/>
        <w:rPr>
          <w:sz w:val="20"/>
          <w:szCs w:val="20"/>
          <w:color w:val="auto"/>
        </w:rPr>
      </w:pPr>
      <w:r>
        <w:rPr>
          <w:rFonts w:ascii="Arial" w:cs="Arial" w:eastAsia="Arial" w:hAnsi="Arial"/>
          <w:sz w:val="22"/>
          <w:szCs w:val="22"/>
          <w:color w:val="auto"/>
        </w:rPr>
        <w:t>In the 2026 first quarter, worldwide RevPAR increased 4.2 percent (a 6.0 percent increase using actual dollars) compared to the 2025 first quarter. RevPAR in the U.S. &amp; Canada increased 4.0 percent (a 4.3 percent increase using actual dollars), and RevPAR in international markets increased 4.6 percent (a 10.1 percent increase using actual dollars) compared to the 2025 first quarter.</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Balance S</w:t>
      </w:r>
      <w:r>
        <w:rPr>
          <w:rFonts w:ascii="Arial" w:cs="Arial" w:eastAsia="Arial" w:hAnsi="Arial"/>
          <w:sz w:val="22"/>
          <w:szCs w:val="22"/>
          <w:b w:val="1"/>
          <w:bCs w:val="1"/>
          <w:u w:val="single" w:color="auto"/>
          <w:color w:val="auto"/>
          <w:highlight w:val="white"/>
        </w:rPr>
        <w:t>heet &amp; Common Stock</w:t>
      </w:r>
    </w:p>
    <w:p>
      <w:pPr>
        <w:spacing w:after="0" w:line="73" w:lineRule="exact"/>
        <w:rPr>
          <w:sz w:val="20"/>
          <w:szCs w:val="20"/>
          <w:color w:val="auto"/>
        </w:rPr>
      </w:pPr>
    </w:p>
    <w:p>
      <w:pPr>
        <w:ind w:right="900"/>
        <w:spacing w:after="0" w:line="336" w:lineRule="auto"/>
        <w:rPr>
          <w:sz w:val="20"/>
          <w:szCs w:val="20"/>
          <w:color w:val="auto"/>
        </w:rPr>
      </w:pPr>
      <w:r>
        <w:rPr>
          <w:rFonts w:ascii="Arial" w:cs="Arial" w:eastAsia="Arial" w:hAnsi="Arial"/>
          <w:sz w:val="22"/>
          <w:szCs w:val="22"/>
          <w:color w:val="auto"/>
        </w:rPr>
        <w:t>At the end of the quarter, Marriott’s total debt was $16.5 billion and cash and equivalents totaled $0.5 billion, compared to $16.2 billion in debt and $0.4 billion of cash and equivalents at year-end 2025.</w:t>
      </w:r>
    </w:p>
    <w:p>
      <w:pPr>
        <w:spacing w:after="0" w:line="183" w:lineRule="exact"/>
        <w:rPr>
          <w:sz w:val="20"/>
          <w:szCs w:val="20"/>
          <w:color w:val="auto"/>
        </w:rPr>
      </w:pPr>
    </w:p>
    <w:p>
      <w:pPr>
        <w:ind w:right="220"/>
        <w:spacing w:after="0" w:line="336" w:lineRule="auto"/>
        <w:rPr>
          <w:sz w:val="20"/>
          <w:szCs w:val="20"/>
          <w:color w:val="auto"/>
        </w:rPr>
      </w:pPr>
      <w:r>
        <w:rPr>
          <w:rFonts w:ascii="Arial" w:cs="Arial" w:eastAsia="Arial" w:hAnsi="Arial"/>
          <w:sz w:val="22"/>
          <w:szCs w:val="22"/>
          <w:color w:val="auto"/>
        </w:rPr>
        <w:t>The company repurchased 2.1 million shares of common stock in the 2026 first quarter for $0.7 billion. Year-to-date through April 29, the company has repurchased 3.1 million shares for $1.1 billion.</w:t>
      </w:r>
    </w:p>
    <w:p>
      <w:pPr>
        <w:spacing w:after="0" w:line="183" w:lineRule="exact"/>
        <w:rPr>
          <w:sz w:val="20"/>
          <w:szCs w:val="20"/>
          <w:color w:val="auto"/>
        </w:rPr>
      </w:pPr>
    </w:p>
    <w:p>
      <w:pPr>
        <w:jc w:val="both"/>
        <w:ind w:right="100"/>
        <w:spacing w:after="0" w:line="363" w:lineRule="auto"/>
        <w:rPr>
          <w:sz w:val="20"/>
          <w:szCs w:val="20"/>
          <w:color w:val="auto"/>
        </w:rPr>
      </w:pPr>
      <w:r>
        <w:rPr>
          <w:rFonts w:ascii="Arial" w:cs="Arial" w:eastAsia="Arial" w:hAnsi="Arial"/>
          <w:sz w:val="21"/>
          <w:szCs w:val="21"/>
          <w:color w:val="auto"/>
        </w:rPr>
        <w:t>In the 2026 first quarter, the company issued $600 million of Series WW Senior Notes due in 2033 with a 4.5 percent interest rate coupon and $850 million of Series XX Senior Notes due in 2038 with a 5.1 percent interest rate coupon.</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20"/>
          </w:cols>
          <w:pgMar w:left="320" w:top="921" w:right="359" w:bottom="1440" w:gutter="0" w:footer="0" w:header="0"/>
        </w:sectPr>
      </w:pPr>
    </w:p>
    <w:bookmarkStart w:id="7" w:name="page8"/>
    <w:bookmarkEnd w:id="7"/>
    <w:p>
      <w:pPr>
        <w:spacing w:after="0"/>
        <w:rPr>
          <w:sz w:val="20"/>
          <w:szCs w:val="20"/>
          <w:color w:val="auto"/>
        </w:rPr>
      </w:pPr>
      <w:r>
        <w:rPr>
          <w:rFonts w:ascii="Arial" w:cs="Arial" w:eastAsia="Arial" w:hAnsi="Arial"/>
          <w:sz w:val="22"/>
          <w:szCs w:val="22"/>
          <w:b w:val="1"/>
          <w:bCs w:val="1"/>
          <w:u w:val="single" w:color="auto"/>
          <w:color w:val="auto"/>
        </w:rPr>
        <w:t>Company Outlook</w:t>
      </w:r>
    </w:p>
    <w:p>
      <w:pPr>
        <w:spacing w:after="0" w:line="45" w:lineRule="exact"/>
        <w:rPr>
          <w:sz w:val="20"/>
          <w:szCs w:val="20"/>
          <w:color w:val="auto"/>
        </w:rPr>
      </w:pPr>
    </w:p>
    <w:p>
      <w:pPr>
        <w:jc w:val="both"/>
        <w:ind w:right="200"/>
        <w:spacing w:after="0" w:line="316" w:lineRule="auto"/>
        <w:rPr>
          <w:sz w:val="20"/>
          <w:szCs w:val="20"/>
          <w:color w:val="auto"/>
        </w:rPr>
      </w:pPr>
      <w:r>
        <w:rPr>
          <w:rFonts w:ascii="Arial" w:cs="Arial" w:eastAsia="Arial" w:hAnsi="Arial"/>
          <w:sz w:val="22"/>
          <w:szCs w:val="22"/>
          <w:color w:val="auto"/>
        </w:rPr>
        <w:t>The company's updated outlook assumes continued impact from the conflict in the Middle East and continued travel disruption, primarily impacting the Middle East region through the end of the year. The outlook does not include any impact from the renegotiation of our U.S. co-branded cards, as those discussions are still ongoing.</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720" w:type="dxa"/>
            <w:vAlign w:val="bottom"/>
            <w:shd w:val="clear" w:color="auto" w:fill="548DD4"/>
          </w:tcPr>
          <w:p>
            <w:pPr>
              <w:spacing w:after="0"/>
              <w:rPr>
                <w:sz w:val="21"/>
                <w:szCs w:val="21"/>
                <w:color w:val="auto"/>
              </w:rPr>
            </w:pPr>
          </w:p>
        </w:tc>
        <w:tc>
          <w:tcPr>
            <w:tcW w:w="3000" w:type="dxa"/>
            <w:vAlign w:val="bottom"/>
            <w:shd w:val="clear" w:color="auto" w:fill="548DD4"/>
          </w:tcPr>
          <w:p>
            <w:pPr>
              <w:ind w:left="320"/>
              <w:spacing w:after="0"/>
              <w:rPr>
                <w:sz w:val="20"/>
                <w:szCs w:val="20"/>
                <w:color w:val="auto"/>
              </w:rPr>
            </w:pPr>
            <w:r>
              <w:rPr>
                <w:rFonts w:ascii="Arial" w:cs="Arial" w:eastAsia="Arial" w:hAnsi="Arial"/>
                <w:sz w:val="22"/>
                <w:szCs w:val="22"/>
                <w:b w:val="1"/>
                <w:bCs w:val="1"/>
                <w:color w:val="FFFFFF"/>
              </w:rPr>
              <w:t>Second Quarter 2026</w:t>
            </w:r>
          </w:p>
        </w:tc>
        <w:tc>
          <w:tcPr>
            <w:tcW w:w="2520" w:type="dxa"/>
            <w:vAlign w:val="bottom"/>
            <w:shd w:val="clear" w:color="auto" w:fill="548DD4"/>
          </w:tcPr>
          <w:p>
            <w:pPr>
              <w:ind w:left="160"/>
              <w:spacing w:after="0"/>
              <w:rPr>
                <w:sz w:val="20"/>
                <w:szCs w:val="20"/>
                <w:color w:val="auto"/>
              </w:rPr>
            </w:pPr>
            <w:r>
              <w:rPr>
                <w:rFonts w:ascii="Arial" w:cs="Arial" w:eastAsia="Arial" w:hAnsi="Arial"/>
                <w:sz w:val="22"/>
                <w:szCs w:val="22"/>
                <w:b w:val="1"/>
                <w:bCs w:val="1"/>
                <w:color w:val="FFFFFF"/>
              </w:rPr>
              <w:t>Full Year 2026</w:t>
            </w:r>
          </w:p>
        </w:tc>
      </w:tr>
      <w:tr>
        <w:trPr>
          <w:trHeight w:val="298"/>
        </w:trPr>
        <w:tc>
          <w:tcPr>
            <w:tcW w:w="5720" w:type="dxa"/>
            <w:vAlign w:val="bottom"/>
            <w:shd w:val="clear" w:color="auto" w:fill="548DD4"/>
          </w:tcPr>
          <w:p>
            <w:pPr>
              <w:spacing w:after="0"/>
              <w:rPr>
                <w:sz w:val="24"/>
                <w:szCs w:val="24"/>
                <w:color w:val="auto"/>
              </w:rPr>
            </w:pPr>
          </w:p>
        </w:tc>
        <w:tc>
          <w:tcPr>
            <w:tcW w:w="3000" w:type="dxa"/>
            <w:vAlign w:val="bottom"/>
            <w:shd w:val="clear" w:color="auto" w:fill="548DD4"/>
          </w:tcPr>
          <w:p>
            <w:pPr>
              <w:ind w:left="320"/>
              <w:spacing w:after="0"/>
              <w:rPr>
                <w:sz w:val="20"/>
                <w:szCs w:val="20"/>
                <w:color w:val="auto"/>
              </w:rPr>
            </w:pPr>
            <w:r>
              <w:rPr>
                <w:rFonts w:ascii="Arial" w:cs="Arial" w:eastAsia="Arial" w:hAnsi="Arial"/>
                <w:sz w:val="22"/>
                <w:szCs w:val="22"/>
                <w:b w:val="1"/>
                <w:bCs w:val="1"/>
                <w:color w:val="FFFFFF"/>
              </w:rPr>
              <w:t>vs. Second Quarter 2025</w:t>
            </w:r>
          </w:p>
        </w:tc>
        <w:tc>
          <w:tcPr>
            <w:tcW w:w="2520" w:type="dxa"/>
            <w:vAlign w:val="bottom"/>
            <w:shd w:val="clear" w:color="auto" w:fill="548DD4"/>
          </w:tcPr>
          <w:p>
            <w:pPr>
              <w:ind w:left="160"/>
              <w:spacing w:after="0"/>
              <w:rPr>
                <w:sz w:val="20"/>
                <w:szCs w:val="20"/>
                <w:color w:val="auto"/>
              </w:rPr>
            </w:pPr>
            <w:r>
              <w:rPr>
                <w:rFonts w:ascii="Arial" w:cs="Arial" w:eastAsia="Arial" w:hAnsi="Arial"/>
                <w:sz w:val="22"/>
                <w:szCs w:val="22"/>
                <w:b w:val="1"/>
                <w:bCs w:val="1"/>
                <w:color w:val="FFFFFF"/>
              </w:rPr>
              <w:t>vs. Full Year 2025</w:t>
            </w:r>
          </w:p>
        </w:tc>
      </w:tr>
      <w:tr>
        <w:trPr>
          <w:trHeight w:val="297"/>
        </w:trPr>
        <w:tc>
          <w:tcPr>
            <w:tcW w:w="5720" w:type="dxa"/>
            <w:vAlign w:val="bottom"/>
          </w:tcPr>
          <w:p>
            <w:pPr>
              <w:ind w:left="20"/>
              <w:spacing w:after="0"/>
              <w:rPr>
                <w:sz w:val="20"/>
                <w:szCs w:val="20"/>
                <w:color w:val="auto"/>
              </w:rPr>
            </w:pPr>
            <w:r>
              <w:rPr>
                <w:rFonts w:ascii="Arial" w:cs="Arial" w:eastAsia="Arial" w:hAnsi="Arial"/>
                <w:sz w:val="22"/>
                <w:szCs w:val="22"/>
                <w:b w:val="1"/>
                <w:bCs w:val="1"/>
                <w:color w:val="auto"/>
              </w:rPr>
              <w:t>Comparable systemwide constant $ RevPAR growth</w:t>
            </w:r>
          </w:p>
        </w:tc>
        <w:tc>
          <w:tcPr>
            <w:tcW w:w="300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304"/>
        </w:trPr>
        <w:tc>
          <w:tcPr>
            <w:tcW w:w="5720" w:type="dxa"/>
            <w:vAlign w:val="bottom"/>
            <w:tcBorders>
              <w:bottom w:val="single" w:sz="8" w:color="C6D9F1"/>
            </w:tcBorders>
            <w:shd w:val="clear" w:color="auto" w:fill="C6D9F1"/>
          </w:tcPr>
          <w:p>
            <w:pPr>
              <w:ind w:left="420"/>
              <w:spacing w:after="0"/>
              <w:rPr>
                <w:sz w:val="20"/>
                <w:szCs w:val="20"/>
                <w:color w:val="auto"/>
              </w:rPr>
            </w:pPr>
            <w:r>
              <w:rPr>
                <w:rFonts w:ascii="Arial" w:cs="Arial" w:eastAsia="Arial" w:hAnsi="Arial"/>
                <w:sz w:val="22"/>
                <w:szCs w:val="22"/>
                <w:color w:val="auto"/>
              </w:rPr>
              <w:t>Worldwide</w:t>
            </w:r>
          </w:p>
        </w:tc>
        <w:tc>
          <w:tcPr>
            <w:tcW w:w="3000" w:type="dxa"/>
            <w:vAlign w:val="bottom"/>
            <w:tcBorders>
              <w:bottom w:val="single" w:sz="8" w:color="C6D9F1"/>
            </w:tcBorders>
            <w:shd w:val="clear" w:color="auto" w:fill="C6D9F1"/>
          </w:tcPr>
          <w:p>
            <w:pPr>
              <w:ind w:left="320"/>
              <w:spacing w:after="0"/>
              <w:rPr>
                <w:sz w:val="20"/>
                <w:szCs w:val="20"/>
                <w:color w:val="auto"/>
              </w:rPr>
            </w:pPr>
            <w:r>
              <w:rPr>
                <w:rFonts w:ascii="Arial" w:cs="Arial" w:eastAsia="Arial" w:hAnsi="Arial"/>
                <w:sz w:val="22"/>
                <w:szCs w:val="22"/>
                <w:color w:val="auto"/>
              </w:rPr>
              <w:t>1.5% to 2.5%</w:t>
            </w:r>
          </w:p>
        </w:tc>
        <w:tc>
          <w:tcPr>
            <w:tcW w:w="2520" w:type="dxa"/>
            <w:vAlign w:val="bottom"/>
            <w:tcBorders>
              <w:bottom w:val="single" w:sz="8" w:color="C6D9F1"/>
            </w:tcBorders>
            <w:shd w:val="clear" w:color="auto" w:fill="C6D9F1"/>
          </w:tcPr>
          <w:p>
            <w:pPr>
              <w:ind w:left="160"/>
              <w:spacing w:after="0"/>
              <w:rPr>
                <w:sz w:val="20"/>
                <w:szCs w:val="20"/>
                <w:color w:val="auto"/>
              </w:rPr>
            </w:pPr>
            <w:r>
              <w:rPr>
                <w:rFonts w:ascii="Arial" w:cs="Arial" w:eastAsia="Arial" w:hAnsi="Arial"/>
                <w:sz w:val="22"/>
                <w:szCs w:val="22"/>
                <w:color w:val="auto"/>
              </w:rPr>
              <w:t>2.0% to 3.0%</w:t>
            </w:r>
          </w:p>
        </w:tc>
      </w:tr>
      <w:tr>
        <w:trPr>
          <w:trHeight w:val="122"/>
        </w:trPr>
        <w:tc>
          <w:tcPr>
            <w:tcW w:w="572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2520" w:type="dxa"/>
            <w:vAlign w:val="bottom"/>
          </w:tcPr>
          <w:p>
            <w:pPr>
              <w:spacing w:after="0"/>
              <w:rPr>
                <w:sz w:val="10"/>
                <w:szCs w:val="10"/>
                <w:color w:val="auto"/>
              </w:rPr>
            </w:pPr>
          </w:p>
        </w:tc>
      </w:tr>
      <w:tr>
        <w:trPr>
          <w:trHeight w:val="242"/>
        </w:trPr>
        <w:tc>
          <w:tcPr>
            <w:tcW w:w="5720" w:type="dxa"/>
            <w:vAlign w:val="bottom"/>
            <w:shd w:val="clear" w:color="auto" w:fill="548DD4"/>
          </w:tcPr>
          <w:p>
            <w:pPr>
              <w:spacing w:after="0"/>
              <w:rPr>
                <w:sz w:val="21"/>
                <w:szCs w:val="21"/>
                <w:color w:val="auto"/>
              </w:rPr>
            </w:pPr>
          </w:p>
        </w:tc>
        <w:tc>
          <w:tcPr>
            <w:tcW w:w="3000" w:type="dxa"/>
            <w:vAlign w:val="bottom"/>
            <w:shd w:val="clear" w:color="auto" w:fill="548DD4"/>
          </w:tcPr>
          <w:p>
            <w:pPr>
              <w:spacing w:after="0"/>
              <w:rPr>
                <w:sz w:val="21"/>
                <w:szCs w:val="21"/>
                <w:color w:val="auto"/>
              </w:rPr>
            </w:pPr>
          </w:p>
        </w:tc>
        <w:tc>
          <w:tcPr>
            <w:tcW w:w="2520" w:type="dxa"/>
            <w:vAlign w:val="bottom"/>
            <w:shd w:val="clear" w:color="auto" w:fill="548DD4"/>
          </w:tcPr>
          <w:p>
            <w:pPr>
              <w:ind w:left="160"/>
              <w:spacing w:after="0" w:line="242" w:lineRule="exact"/>
              <w:rPr>
                <w:sz w:val="20"/>
                <w:szCs w:val="20"/>
                <w:color w:val="auto"/>
              </w:rPr>
            </w:pPr>
            <w:r>
              <w:rPr>
                <w:rFonts w:ascii="Arial" w:cs="Arial" w:eastAsia="Arial" w:hAnsi="Arial"/>
                <w:sz w:val="22"/>
                <w:szCs w:val="22"/>
                <w:b w:val="1"/>
                <w:bCs w:val="1"/>
                <w:color w:val="FFFFFF"/>
              </w:rPr>
              <w:t>Year-End 2026</w:t>
            </w:r>
          </w:p>
        </w:tc>
      </w:tr>
      <w:tr>
        <w:trPr>
          <w:trHeight w:val="298"/>
        </w:trPr>
        <w:tc>
          <w:tcPr>
            <w:tcW w:w="5720" w:type="dxa"/>
            <w:vAlign w:val="bottom"/>
            <w:shd w:val="clear" w:color="auto" w:fill="548DD4"/>
          </w:tcPr>
          <w:p>
            <w:pPr>
              <w:spacing w:after="0"/>
              <w:rPr>
                <w:sz w:val="24"/>
                <w:szCs w:val="24"/>
                <w:color w:val="auto"/>
              </w:rPr>
            </w:pPr>
          </w:p>
        </w:tc>
        <w:tc>
          <w:tcPr>
            <w:tcW w:w="3000" w:type="dxa"/>
            <w:vAlign w:val="bottom"/>
            <w:shd w:val="clear" w:color="auto" w:fill="548DD4"/>
          </w:tcPr>
          <w:p>
            <w:pPr>
              <w:spacing w:after="0"/>
              <w:rPr>
                <w:sz w:val="24"/>
                <w:szCs w:val="24"/>
                <w:color w:val="auto"/>
              </w:rPr>
            </w:pPr>
          </w:p>
        </w:tc>
        <w:tc>
          <w:tcPr>
            <w:tcW w:w="2520" w:type="dxa"/>
            <w:vAlign w:val="bottom"/>
            <w:shd w:val="clear" w:color="auto" w:fill="548DD4"/>
          </w:tcPr>
          <w:p>
            <w:pPr>
              <w:ind w:left="160"/>
              <w:spacing w:after="0"/>
              <w:rPr>
                <w:sz w:val="20"/>
                <w:szCs w:val="20"/>
                <w:color w:val="auto"/>
              </w:rPr>
            </w:pPr>
            <w:r>
              <w:rPr>
                <w:rFonts w:ascii="Arial" w:cs="Arial" w:eastAsia="Arial" w:hAnsi="Arial"/>
                <w:sz w:val="22"/>
                <w:szCs w:val="22"/>
                <w:b w:val="1"/>
                <w:bCs w:val="1"/>
                <w:color w:val="FFFFFF"/>
              </w:rPr>
              <w:t>vs. Year-End 2025</w:t>
            </w:r>
          </w:p>
        </w:tc>
      </w:tr>
      <w:tr>
        <w:trPr>
          <w:trHeight w:val="324"/>
        </w:trPr>
        <w:tc>
          <w:tcPr>
            <w:tcW w:w="5720" w:type="dxa"/>
            <w:vAlign w:val="bottom"/>
            <w:shd w:val="clear" w:color="auto" w:fill="C6D9F1"/>
          </w:tcPr>
          <w:p>
            <w:pPr>
              <w:ind w:left="20"/>
              <w:spacing w:after="0"/>
              <w:rPr>
                <w:sz w:val="20"/>
                <w:szCs w:val="20"/>
                <w:color w:val="auto"/>
              </w:rPr>
            </w:pPr>
            <w:r>
              <w:rPr>
                <w:rFonts w:ascii="Arial" w:cs="Arial" w:eastAsia="Arial" w:hAnsi="Arial"/>
                <w:sz w:val="22"/>
                <w:szCs w:val="22"/>
                <w:b w:val="1"/>
                <w:bCs w:val="1"/>
                <w:color w:val="auto"/>
              </w:rPr>
              <w:t>Net rooms growth</w:t>
            </w:r>
          </w:p>
        </w:tc>
        <w:tc>
          <w:tcPr>
            <w:tcW w:w="3000" w:type="dxa"/>
            <w:vAlign w:val="bottom"/>
            <w:shd w:val="clear" w:color="auto" w:fill="C6D9F1"/>
          </w:tcPr>
          <w:p>
            <w:pPr>
              <w:spacing w:after="0"/>
              <w:rPr>
                <w:sz w:val="24"/>
                <w:szCs w:val="24"/>
                <w:color w:val="auto"/>
              </w:rPr>
            </w:pPr>
          </w:p>
        </w:tc>
        <w:tc>
          <w:tcPr>
            <w:tcW w:w="2520" w:type="dxa"/>
            <w:vAlign w:val="bottom"/>
            <w:shd w:val="clear" w:color="auto" w:fill="C6D9F1"/>
          </w:tcPr>
          <w:p>
            <w:pPr>
              <w:ind w:left="160"/>
              <w:spacing w:after="0"/>
              <w:rPr>
                <w:sz w:val="20"/>
                <w:szCs w:val="20"/>
                <w:color w:val="auto"/>
              </w:rPr>
            </w:pPr>
            <w:r>
              <w:rPr>
                <w:rFonts w:ascii="Arial" w:cs="Arial" w:eastAsia="Arial" w:hAnsi="Arial"/>
                <w:sz w:val="22"/>
                <w:szCs w:val="22"/>
                <w:color w:val="auto"/>
              </w:rPr>
              <w:t>4.5% to 5%</w:t>
            </w:r>
          </w:p>
        </w:tc>
      </w:tr>
      <w:tr>
        <w:trPr>
          <w:trHeight w:val="121"/>
        </w:trPr>
        <w:tc>
          <w:tcPr>
            <w:tcW w:w="572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2520" w:type="dxa"/>
            <w:vAlign w:val="bottom"/>
          </w:tcPr>
          <w:p>
            <w:pPr>
              <w:spacing w:after="0"/>
              <w:rPr>
                <w:sz w:val="10"/>
                <w:szCs w:val="10"/>
                <w:color w:val="auto"/>
              </w:rPr>
            </w:pPr>
          </w:p>
        </w:tc>
      </w:tr>
      <w:tr>
        <w:trPr>
          <w:trHeight w:val="324"/>
        </w:trPr>
        <w:tc>
          <w:tcPr>
            <w:tcW w:w="5720" w:type="dxa"/>
            <w:vAlign w:val="bottom"/>
            <w:shd w:val="clear" w:color="auto" w:fill="548DD4"/>
          </w:tcPr>
          <w:p>
            <w:pPr>
              <w:ind w:left="20"/>
              <w:spacing w:after="0"/>
              <w:rPr>
                <w:sz w:val="20"/>
                <w:szCs w:val="20"/>
                <w:color w:val="auto"/>
              </w:rPr>
            </w:pPr>
            <w:r>
              <w:rPr>
                <w:rFonts w:ascii="Arial" w:cs="Arial" w:eastAsia="Arial" w:hAnsi="Arial"/>
                <w:sz w:val="22"/>
                <w:szCs w:val="22"/>
                <w:b w:val="1"/>
                <w:bCs w:val="1"/>
                <w:color w:val="FFFFFF"/>
              </w:rPr>
              <w:t>($ in millions, except EPS)</w:t>
            </w:r>
          </w:p>
        </w:tc>
        <w:tc>
          <w:tcPr>
            <w:tcW w:w="3000" w:type="dxa"/>
            <w:vAlign w:val="bottom"/>
            <w:shd w:val="clear" w:color="auto" w:fill="548DD4"/>
          </w:tcPr>
          <w:p>
            <w:pPr>
              <w:ind w:left="320"/>
              <w:spacing w:after="0"/>
              <w:rPr>
                <w:sz w:val="20"/>
                <w:szCs w:val="20"/>
                <w:color w:val="auto"/>
              </w:rPr>
            </w:pPr>
            <w:r>
              <w:rPr>
                <w:rFonts w:ascii="Arial" w:cs="Arial" w:eastAsia="Arial" w:hAnsi="Arial"/>
                <w:sz w:val="22"/>
                <w:szCs w:val="22"/>
                <w:b w:val="1"/>
                <w:bCs w:val="1"/>
                <w:color w:val="FFFFFF"/>
              </w:rPr>
              <w:t>Second Quarter 2026</w:t>
            </w:r>
          </w:p>
        </w:tc>
        <w:tc>
          <w:tcPr>
            <w:tcW w:w="2520" w:type="dxa"/>
            <w:vAlign w:val="bottom"/>
            <w:shd w:val="clear" w:color="auto" w:fill="548DD4"/>
          </w:tcPr>
          <w:p>
            <w:pPr>
              <w:ind w:left="160"/>
              <w:spacing w:after="0"/>
              <w:rPr>
                <w:sz w:val="20"/>
                <w:szCs w:val="20"/>
                <w:color w:val="auto"/>
              </w:rPr>
            </w:pPr>
            <w:r>
              <w:rPr>
                <w:rFonts w:ascii="Arial" w:cs="Arial" w:eastAsia="Arial" w:hAnsi="Arial"/>
                <w:sz w:val="22"/>
                <w:szCs w:val="22"/>
                <w:b w:val="1"/>
                <w:bCs w:val="1"/>
                <w:color w:val="FFFFFF"/>
              </w:rPr>
              <w:t>Full Year 2026</w:t>
            </w:r>
          </w:p>
        </w:tc>
      </w:tr>
      <w:tr>
        <w:trPr>
          <w:trHeight w:val="304"/>
        </w:trPr>
        <w:tc>
          <w:tcPr>
            <w:tcW w:w="5720" w:type="dxa"/>
            <w:vAlign w:val="bottom"/>
            <w:tcBorders>
              <w:bottom w:val="single" w:sz="8" w:color="C6D9F1"/>
            </w:tcBorders>
            <w:shd w:val="clear" w:color="auto" w:fill="C6D9F1"/>
          </w:tcPr>
          <w:p>
            <w:pPr>
              <w:ind w:left="20"/>
              <w:spacing w:after="0"/>
              <w:rPr>
                <w:sz w:val="20"/>
                <w:szCs w:val="20"/>
                <w:color w:val="auto"/>
              </w:rPr>
            </w:pPr>
            <w:r>
              <w:rPr>
                <w:rFonts w:ascii="Arial" w:cs="Arial" w:eastAsia="Arial" w:hAnsi="Arial"/>
                <w:sz w:val="22"/>
                <w:szCs w:val="22"/>
                <w:color w:val="auto"/>
              </w:rPr>
              <w:t>Gross fee revenues</w:t>
            </w:r>
          </w:p>
        </w:tc>
        <w:tc>
          <w:tcPr>
            <w:tcW w:w="3000" w:type="dxa"/>
            <w:vAlign w:val="bottom"/>
            <w:tcBorders>
              <w:bottom w:val="single" w:sz="8" w:color="C6D9F1"/>
            </w:tcBorders>
            <w:shd w:val="clear" w:color="auto" w:fill="C6D9F1"/>
          </w:tcPr>
          <w:p>
            <w:pPr>
              <w:ind w:left="320"/>
              <w:spacing w:after="0"/>
              <w:rPr>
                <w:sz w:val="20"/>
                <w:szCs w:val="20"/>
                <w:color w:val="auto"/>
              </w:rPr>
            </w:pPr>
            <w:r>
              <w:rPr>
                <w:rFonts w:ascii="Arial" w:cs="Arial" w:eastAsia="Arial" w:hAnsi="Arial"/>
                <w:sz w:val="22"/>
                <w:szCs w:val="22"/>
                <w:color w:val="auto"/>
              </w:rPr>
              <w:t>$1,538 to $1,553</w:t>
            </w:r>
          </w:p>
        </w:tc>
        <w:tc>
          <w:tcPr>
            <w:tcW w:w="2520" w:type="dxa"/>
            <w:vAlign w:val="bottom"/>
            <w:tcBorders>
              <w:bottom w:val="single" w:sz="8" w:color="C6D9F1"/>
            </w:tcBorders>
            <w:shd w:val="clear" w:color="auto" w:fill="C6D9F1"/>
          </w:tcPr>
          <w:p>
            <w:pPr>
              <w:ind w:left="160"/>
              <w:spacing w:after="0"/>
              <w:rPr>
                <w:sz w:val="20"/>
                <w:szCs w:val="20"/>
                <w:color w:val="auto"/>
              </w:rPr>
            </w:pPr>
            <w:r>
              <w:rPr>
                <w:rFonts w:ascii="Arial" w:cs="Arial" w:eastAsia="Arial" w:hAnsi="Arial"/>
                <w:sz w:val="22"/>
                <w:szCs w:val="22"/>
                <w:color w:val="auto"/>
              </w:rPr>
              <w:t>$5,925 to $5,985</w:t>
            </w:r>
          </w:p>
        </w:tc>
      </w:tr>
      <w:tr>
        <w:trPr>
          <w:trHeight w:val="230"/>
        </w:trPr>
        <w:tc>
          <w:tcPr>
            <w:tcW w:w="8720" w:type="dxa"/>
            <w:vAlign w:val="bottom"/>
            <w:gridSpan w:val="2"/>
          </w:tcPr>
          <w:p>
            <w:pPr>
              <w:ind w:left="20"/>
              <w:spacing w:after="0" w:line="230" w:lineRule="exact"/>
              <w:rPr>
                <w:sz w:val="20"/>
                <w:szCs w:val="20"/>
                <w:color w:val="auto"/>
              </w:rPr>
            </w:pPr>
            <w:r>
              <w:rPr>
                <w:rFonts w:ascii="Arial" w:cs="Arial" w:eastAsia="Arial" w:hAnsi="Arial"/>
                <w:sz w:val="22"/>
                <w:szCs w:val="22"/>
                <w:color w:val="auto"/>
              </w:rPr>
              <w:t>Owned, leased, and other revenue, net of owned, leased, and Approx. $60</w:t>
            </w:r>
          </w:p>
        </w:tc>
        <w:tc>
          <w:tcPr>
            <w:tcW w:w="2520" w:type="dxa"/>
            <w:vAlign w:val="bottom"/>
          </w:tcPr>
          <w:p>
            <w:pPr>
              <w:ind w:left="160"/>
              <w:spacing w:after="0" w:line="230" w:lineRule="exact"/>
              <w:rPr>
                <w:sz w:val="20"/>
                <w:szCs w:val="20"/>
                <w:color w:val="auto"/>
              </w:rPr>
            </w:pPr>
            <w:r>
              <w:rPr>
                <w:rFonts w:ascii="Arial" w:cs="Arial" w:eastAsia="Arial" w:hAnsi="Arial"/>
                <w:sz w:val="22"/>
                <w:szCs w:val="22"/>
                <w:color w:val="auto"/>
              </w:rPr>
              <w:t>$215 to $225</w:t>
            </w:r>
          </w:p>
        </w:tc>
      </w:tr>
      <w:tr>
        <w:trPr>
          <w:trHeight w:val="283"/>
        </w:trPr>
        <w:tc>
          <w:tcPr>
            <w:tcW w:w="5720" w:type="dxa"/>
            <w:vAlign w:val="bottom"/>
          </w:tcPr>
          <w:p>
            <w:pPr>
              <w:ind w:left="20"/>
              <w:spacing w:after="0"/>
              <w:rPr>
                <w:sz w:val="20"/>
                <w:szCs w:val="20"/>
                <w:color w:val="auto"/>
              </w:rPr>
            </w:pPr>
            <w:r>
              <w:rPr>
                <w:rFonts w:ascii="Arial" w:cs="Arial" w:eastAsia="Arial" w:hAnsi="Arial"/>
                <w:sz w:val="22"/>
                <w:szCs w:val="22"/>
                <w:color w:val="auto"/>
              </w:rPr>
              <w:t>other expense</w:t>
            </w:r>
          </w:p>
        </w:tc>
        <w:tc>
          <w:tcPr>
            <w:tcW w:w="300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27"/>
        </w:trPr>
        <w:tc>
          <w:tcPr>
            <w:tcW w:w="572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520" w:type="dxa"/>
            <w:vAlign w:val="bottom"/>
          </w:tcPr>
          <w:p>
            <w:pPr>
              <w:spacing w:after="0"/>
              <w:rPr>
                <w:sz w:val="2"/>
                <w:szCs w:val="2"/>
                <w:color w:val="auto"/>
              </w:rPr>
            </w:pPr>
          </w:p>
        </w:tc>
      </w:tr>
      <w:tr>
        <w:trPr>
          <w:trHeight w:val="304"/>
        </w:trPr>
        <w:tc>
          <w:tcPr>
            <w:tcW w:w="5720" w:type="dxa"/>
            <w:vAlign w:val="bottom"/>
            <w:tcBorders>
              <w:bottom w:val="single" w:sz="8" w:color="C6D9F1"/>
            </w:tcBorders>
            <w:shd w:val="clear" w:color="auto" w:fill="C6D9F1"/>
          </w:tcPr>
          <w:p>
            <w:pPr>
              <w:ind w:left="20"/>
              <w:spacing w:after="0"/>
              <w:rPr>
                <w:sz w:val="20"/>
                <w:szCs w:val="20"/>
                <w:color w:val="auto"/>
              </w:rPr>
            </w:pPr>
            <w:r>
              <w:rPr>
                <w:rFonts w:ascii="Arial" w:cs="Arial" w:eastAsia="Arial" w:hAnsi="Arial"/>
                <w:sz w:val="22"/>
                <w:szCs w:val="22"/>
                <w:color w:val="auto"/>
              </w:rPr>
              <w:t>General and administrative expenses</w:t>
            </w:r>
          </w:p>
        </w:tc>
        <w:tc>
          <w:tcPr>
            <w:tcW w:w="3000" w:type="dxa"/>
            <w:vAlign w:val="bottom"/>
            <w:tcBorders>
              <w:bottom w:val="single" w:sz="8" w:color="C6D9F1"/>
            </w:tcBorders>
            <w:shd w:val="clear" w:color="auto" w:fill="C6D9F1"/>
          </w:tcPr>
          <w:p>
            <w:pPr>
              <w:ind w:left="320"/>
              <w:spacing w:after="0"/>
              <w:rPr>
                <w:sz w:val="20"/>
                <w:szCs w:val="20"/>
                <w:color w:val="auto"/>
              </w:rPr>
            </w:pPr>
            <w:r>
              <w:rPr>
                <w:rFonts w:ascii="Arial" w:cs="Arial" w:eastAsia="Arial" w:hAnsi="Arial"/>
                <w:sz w:val="22"/>
                <w:szCs w:val="22"/>
                <w:color w:val="auto"/>
              </w:rPr>
              <w:t>$230 to $220</w:t>
            </w:r>
          </w:p>
        </w:tc>
        <w:tc>
          <w:tcPr>
            <w:tcW w:w="2520" w:type="dxa"/>
            <w:vAlign w:val="bottom"/>
            <w:tcBorders>
              <w:bottom w:val="single" w:sz="8" w:color="C6D9F1"/>
            </w:tcBorders>
            <w:shd w:val="clear" w:color="auto" w:fill="C6D9F1"/>
          </w:tcPr>
          <w:p>
            <w:pPr>
              <w:ind w:left="160"/>
              <w:spacing w:after="0"/>
              <w:rPr>
                <w:sz w:val="20"/>
                <w:szCs w:val="20"/>
                <w:color w:val="auto"/>
              </w:rPr>
            </w:pPr>
            <w:r>
              <w:rPr>
                <w:rFonts w:ascii="Arial" w:cs="Arial" w:eastAsia="Arial" w:hAnsi="Arial"/>
                <w:sz w:val="22"/>
                <w:szCs w:val="22"/>
                <w:color w:val="auto"/>
              </w:rPr>
              <w:t>$895 to $875</w:t>
            </w:r>
          </w:p>
        </w:tc>
      </w:tr>
      <w:tr>
        <w:trPr>
          <w:trHeight w:val="324"/>
        </w:trPr>
        <w:tc>
          <w:tcPr>
            <w:tcW w:w="5720" w:type="dxa"/>
            <w:vAlign w:val="bottom"/>
          </w:tcPr>
          <w:p>
            <w:pPr>
              <w:ind w:left="20"/>
              <w:spacing w:after="0"/>
              <w:rPr>
                <w:sz w:val="20"/>
                <w:szCs w:val="20"/>
                <w:color w:val="auto"/>
              </w:rPr>
            </w:pPr>
            <w:r>
              <w:rPr>
                <w:rFonts w:ascii="Arial" w:cs="Arial" w:eastAsia="Arial" w:hAnsi="Arial"/>
                <w:sz w:val="22"/>
                <w:szCs w:val="22"/>
                <w:color w:val="auto"/>
              </w:rPr>
              <w:t>Adjusted EBITDA</w:t>
            </w:r>
            <w:r>
              <w:rPr>
                <w:rFonts w:ascii="Arial" w:cs="Arial" w:eastAsia="Arial" w:hAnsi="Arial"/>
                <w:sz w:val="28"/>
                <w:szCs w:val="28"/>
                <w:color w:val="auto"/>
                <w:vertAlign w:val="superscript"/>
              </w:rPr>
              <w:t>1,2</w:t>
            </w:r>
          </w:p>
        </w:tc>
        <w:tc>
          <w:tcPr>
            <w:tcW w:w="3000" w:type="dxa"/>
            <w:vAlign w:val="bottom"/>
          </w:tcPr>
          <w:p>
            <w:pPr>
              <w:ind w:left="320"/>
              <w:spacing w:after="0"/>
              <w:rPr>
                <w:sz w:val="20"/>
                <w:szCs w:val="20"/>
                <w:color w:val="auto"/>
              </w:rPr>
            </w:pPr>
            <w:r>
              <w:rPr>
                <w:rFonts w:ascii="Arial" w:cs="Arial" w:eastAsia="Arial" w:hAnsi="Arial"/>
                <w:sz w:val="22"/>
                <w:szCs w:val="22"/>
                <w:color w:val="auto"/>
              </w:rPr>
              <w:t>$1,525 to $1,550</w:t>
            </w:r>
          </w:p>
        </w:tc>
        <w:tc>
          <w:tcPr>
            <w:tcW w:w="2520" w:type="dxa"/>
            <w:vAlign w:val="bottom"/>
          </w:tcPr>
          <w:p>
            <w:pPr>
              <w:ind w:left="160"/>
              <w:spacing w:after="0"/>
              <w:rPr>
                <w:sz w:val="20"/>
                <w:szCs w:val="20"/>
                <w:color w:val="auto"/>
              </w:rPr>
            </w:pPr>
            <w:r>
              <w:rPr>
                <w:rFonts w:ascii="Arial" w:cs="Arial" w:eastAsia="Arial" w:hAnsi="Arial"/>
                <w:sz w:val="22"/>
                <w:szCs w:val="22"/>
                <w:color w:val="auto"/>
              </w:rPr>
              <w:t>$5,880 to $5,970</w:t>
            </w:r>
          </w:p>
        </w:tc>
      </w:tr>
      <w:tr>
        <w:trPr>
          <w:trHeight w:val="324"/>
        </w:trPr>
        <w:tc>
          <w:tcPr>
            <w:tcW w:w="5720" w:type="dxa"/>
            <w:vAlign w:val="bottom"/>
            <w:shd w:val="clear" w:color="auto" w:fill="C6D9F1"/>
          </w:tcPr>
          <w:p>
            <w:pPr>
              <w:ind w:left="20"/>
              <w:spacing w:after="0"/>
              <w:rPr>
                <w:sz w:val="20"/>
                <w:szCs w:val="20"/>
                <w:color w:val="auto"/>
              </w:rPr>
            </w:pPr>
            <w:r>
              <w:rPr>
                <w:rFonts w:ascii="Arial" w:cs="Arial" w:eastAsia="Arial" w:hAnsi="Arial"/>
                <w:sz w:val="22"/>
                <w:szCs w:val="22"/>
                <w:color w:val="auto"/>
              </w:rPr>
              <w:t>Adjusted EPS – diluted</w:t>
            </w:r>
            <w:r>
              <w:rPr>
                <w:rFonts w:ascii="Arial" w:cs="Arial" w:eastAsia="Arial" w:hAnsi="Arial"/>
                <w:sz w:val="28"/>
                <w:szCs w:val="28"/>
                <w:color w:val="auto"/>
                <w:vertAlign w:val="superscript"/>
              </w:rPr>
              <w:t>2,3</w:t>
            </w:r>
          </w:p>
        </w:tc>
        <w:tc>
          <w:tcPr>
            <w:tcW w:w="3000" w:type="dxa"/>
            <w:vAlign w:val="bottom"/>
            <w:shd w:val="clear" w:color="auto" w:fill="C6D9F1"/>
          </w:tcPr>
          <w:p>
            <w:pPr>
              <w:ind w:left="320"/>
              <w:spacing w:after="0"/>
              <w:rPr>
                <w:sz w:val="20"/>
                <w:szCs w:val="20"/>
                <w:color w:val="auto"/>
              </w:rPr>
            </w:pPr>
            <w:r>
              <w:rPr>
                <w:rFonts w:ascii="Arial" w:cs="Arial" w:eastAsia="Arial" w:hAnsi="Arial"/>
                <w:sz w:val="22"/>
                <w:szCs w:val="22"/>
                <w:color w:val="auto"/>
              </w:rPr>
              <w:t>$2.99 to $3.06</w:t>
            </w:r>
          </w:p>
        </w:tc>
        <w:tc>
          <w:tcPr>
            <w:tcW w:w="2520" w:type="dxa"/>
            <w:vAlign w:val="bottom"/>
            <w:shd w:val="clear" w:color="auto" w:fill="C6D9F1"/>
          </w:tcPr>
          <w:p>
            <w:pPr>
              <w:ind w:left="160"/>
              <w:spacing w:after="0"/>
              <w:rPr>
                <w:sz w:val="20"/>
                <w:szCs w:val="20"/>
                <w:color w:val="auto"/>
              </w:rPr>
            </w:pPr>
            <w:r>
              <w:rPr>
                <w:rFonts w:ascii="Arial" w:cs="Arial" w:eastAsia="Arial" w:hAnsi="Arial"/>
                <w:sz w:val="22"/>
                <w:szCs w:val="22"/>
                <w:color w:val="auto"/>
              </w:rPr>
              <w:t>$11.38 to $11.63</w:t>
            </w:r>
          </w:p>
        </w:tc>
      </w:tr>
      <w:tr>
        <w:trPr>
          <w:trHeight w:val="324"/>
        </w:trPr>
        <w:tc>
          <w:tcPr>
            <w:tcW w:w="5720" w:type="dxa"/>
            <w:vAlign w:val="bottom"/>
          </w:tcPr>
          <w:p>
            <w:pPr>
              <w:ind w:left="20"/>
              <w:spacing w:after="0"/>
              <w:rPr>
                <w:sz w:val="20"/>
                <w:szCs w:val="20"/>
                <w:color w:val="auto"/>
              </w:rPr>
            </w:pPr>
            <w:r>
              <w:rPr>
                <w:rFonts w:ascii="Arial" w:cs="Arial" w:eastAsia="Arial" w:hAnsi="Arial"/>
                <w:sz w:val="22"/>
                <w:szCs w:val="22"/>
                <w:color w:val="auto"/>
              </w:rPr>
              <w:t>Adjusted effective tax rate</w:t>
            </w:r>
            <w:r>
              <w:rPr>
                <w:rFonts w:ascii="Arial" w:cs="Arial" w:eastAsia="Arial" w:hAnsi="Arial"/>
                <w:sz w:val="28"/>
                <w:szCs w:val="28"/>
                <w:color w:val="auto"/>
                <w:vertAlign w:val="superscript"/>
              </w:rPr>
              <w:t>2</w:t>
            </w:r>
          </w:p>
        </w:tc>
        <w:tc>
          <w:tcPr>
            <w:tcW w:w="3000" w:type="dxa"/>
            <w:vAlign w:val="bottom"/>
          </w:tcPr>
          <w:p>
            <w:pPr>
              <w:ind w:left="320"/>
              <w:spacing w:after="0"/>
              <w:rPr>
                <w:sz w:val="20"/>
                <w:szCs w:val="20"/>
                <w:color w:val="auto"/>
              </w:rPr>
            </w:pPr>
            <w:r>
              <w:rPr>
                <w:rFonts w:ascii="Arial" w:cs="Arial" w:eastAsia="Arial" w:hAnsi="Arial"/>
                <w:sz w:val="22"/>
                <w:szCs w:val="22"/>
                <w:color w:val="auto"/>
              </w:rPr>
              <w:t>Approx. 26.5%</w:t>
            </w:r>
          </w:p>
        </w:tc>
        <w:tc>
          <w:tcPr>
            <w:tcW w:w="2520" w:type="dxa"/>
            <w:vAlign w:val="bottom"/>
          </w:tcPr>
          <w:p>
            <w:pPr>
              <w:ind w:left="160"/>
              <w:spacing w:after="0"/>
              <w:rPr>
                <w:sz w:val="20"/>
                <w:szCs w:val="20"/>
                <w:color w:val="auto"/>
              </w:rPr>
            </w:pPr>
            <w:r>
              <w:rPr>
                <w:rFonts w:ascii="Arial" w:cs="Arial" w:eastAsia="Arial" w:hAnsi="Arial"/>
                <w:sz w:val="22"/>
                <w:szCs w:val="22"/>
                <w:color w:val="auto"/>
              </w:rPr>
              <w:t>26.0% to 26.5%</w:t>
            </w:r>
          </w:p>
        </w:tc>
      </w:tr>
      <w:tr>
        <w:trPr>
          <w:trHeight w:val="324"/>
        </w:trPr>
        <w:tc>
          <w:tcPr>
            <w:tcW w:w="5720" w:type="dxa"/>
            <w:vAlign w:val="bottom"/>
            <w:shd w:val="clear" w:color="auto" w:fill="C6D9F1"/>
          </w:tcPr>
          <w:p>
            <w:pPr>
              <w:ind w:left="20"/>
              <w:spacing w:after="0"/>
              <w:rPr>
                <w:sz w:val="20"/>
                <w:szCs w:val="20"/>
                <w:color w:val="auto"/>
              </w:rPr>
            </w:pPr>
            <w:r>
              <w:rPr>
                <w:rFonts w:ascii="Arial" w:cs="Arial" w:eastAsia="Arial" w:hAnsi="Arial"/>
                <w:sz w:val="22"/>
                <w:szCs w:val="22"/>
                <w:color w:val="auto"/>
              </w:rPr>
              <w:t>Investment spending</w:t>
            </w:r>
            <w:r>
              <w:rPr>
                <w:rFonts w:ascii="Arial" w:cs="Arial" w:eastAsia="Arial" w:hAnsi="Arial"/>
                <w:sz w:val="28"/>
                <w:szCs w:val="28"/>
                <w:color w:val="auto"/>
                <w:vertAlign w:val="superscript"/>
              </w:rPr>
              <w:t>4</w:t>
            </w:r>
          </w:p>
        </w:tc>
        <w:tc>
          <w:tcPr>
            <w:tcW w:w="3000" w:type="dxa"/>
            <w:vAlign w:val="bottom"/>
            <w:shd w:val="clear" w:color="auto" w:fill="C6D9F1"/>
          </w:tcPr>
          <w:p>
            <w:pPr>
              <w:spacing w:after="0"/>
              <w:rPr>
                <w:sz w:val="24"/>
                <w:szCs w:val="24"/>
                <w:color w:val="auto"/>
              </w:rPr>
            </w:pPr>
          </w:p>
        </w:tc>
        <w:tc>
          <w:tcPr>
            <w:tcW w:w="2520" w:type="dxa"/>
            <w:vAlign w:val="bottom"/>
            <w:shd w:val="clear" w:color="auto" w:fill="C6D9F1"/>
          </w:tcPr>
          <w:p>
            <w:pPr>
              <w:ind w:left="160"/>
              <w:spacing w:after="0"/>
              <w:rPr>
                <w:sz w:val="20"/>
                <w:szCs w:val="20"/>
                <w:color w:val="auto"/>
              </w:rPr>
            </w:pPr>
            <w:r>
              <w:rPr>
                <w:rFonts w:ascii="Arial" w:cs="Arial" w:eastAsia="Arial" w:hAnsi="Arial"/>
                <w:sz w:val="22"/>
                <w:szCs w:val="22"/>
                <w:color w:val="auto"/>
              </w:rPr>
              <w:t>$1,050 to $1,150</w:t>
            </w:r>
          </w:p>
        </w:tc>
      </w:tr>
      <w:tr>
        <w:trPr>
          <w:trHeight w:val="383"/>
        </w:trPr>
        <w:tc>
          <w:tcPr>
            <w:tcW w:w="5720" w:type="dxa"/>
            <w:vAlign w:val="bottom"/>
          </w:tcPr>
          <w:p>
            <w:pPr>
              <w:ind w:left="20"/>
              <w:spacing w:after="0"/>
              <w:rPr>
                <w:sz w:val="20"/>
                <w:szCs w:val="20"/>
                <w:color w:val="auto"/>
              </w:rPr>
            </w:pPr>
            <w:r>
              <w:rPr>
                <w:rFonts w:ascii="Arial" w:cs="Arial" w:eastAsia="Arial" w:hAnsi="Arial"/>
                <w:sz w:val="22"/>
                <w:szCs w:val="22"/>
                <w:color w:val="auto"/>
              </w:rPr>
              <w:t>Capital return to shareholders</w:t>
            </w:r>
            <w:r>
              <w:rPr>
                <w:rFonts w:ascii="Arial" w:cs="Arial" w:eastAsia="Arial" w:hAnsi="Arial"/>
                <w:sz w:val="28"/>
                <w:szCs w:val="28"/>
                <w:color w:val="auto"/>
                <w:vertAlign w:val="superscript"/>
              </w:rPr>
              <w:t>5</w:t>
            </w:r>
          </w:p>
        </w:tc>
        <w:tc>
          <w:tcPr>
            <w:tcW w:w="3000" w:type="dxa"/>
            <w:vAlign w:val="bottom"/>
          </w:tcPr>
          <w:p>
            <w:pPr>
              <w:spacing w:after="0"/>
              <w:rPr>
                <w:sz w:val="24"/>
                <w:szCs w:val="24"/>
                <w:color w:val="auto"/>
              </w:rPr>
            </w:pPr>
          </w:p>
        </w:tc>
        <w:tc>
          <w:tcPr>
            <w:tcW w:w="2520" w:type="dxa"/>
            <w:vAlign w:val="bottom"/>
          </w:tcPr>
          <w:p>
            <w:pPr>
              <w:ind w:left="160"/>
              <w:spacing w:after="0"/>
              <w:rPr>
                <w:sz w:val="20"/>
                <w:szCs w:val="20"/>
                <w:color w:val="auto"/>
              </w:rPr>
            </w:pPr>
            <w:r>
              <w:rPr>
                <w:rFonts w:ascii="Arial" w:cs="Arial" w:eastAsia="Arial" w:hAnsi="Arial"/>
                <w:sz w:val="22"/>
                <w:szCs w:val="22"/>
                <w:color w:val="auto"/>
              </w:rPr>
              <w:t>Over $4,400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3839845</wp:posOffset>
            </wp:positionH>
            <wp:positionV relativeFrom="paragraph">
              <wp:posOffset>-3166110</wp:posOffset>
            </wp:positionV>
            <wp:extent cx="29438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943860" cy="8255"/>
                    </a:xfrm>
                    <a:prstGeom prst="rect">
                      <a:avLst/>
                    </a:prstGeom>
                    <a:noFill/>
                  </pic:spPr>
                </pic:pic>
              </a:graphicData>
            </a:graphic>
          </wp:anchor>
        </w:drawing>
        <w:drawing>
          <wp:anchor simplePos="0" relativeHeight="251657728" behindDoc="1" locked="0" layoutInCell="0" allowOverlap="1">
            <wp:simplePos x="0" y="0"/>
            <wp:positionH relativeFrom="column">
              <wp:posOffset>5640070</wp:posOffset>
            </wp:positionH>
            <wp:positionV relativeFrom="paragraph">
              <wp:posOffset>-2351405</wp:posOffset>
            </wp:positionV>
            <wp:extent cx="11664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166495" cy="8255"/>
                    </a:xfrm>
                    <a:prstGeom prst="rect">
                      <a:avLst/>
                    </a:prstGeom>
                    <a:noFill/>
                  </pic:spPr>
                </pic:pic>
              </a:graphicData>
            </a:graphic>
          </wp:anchor>
        </w:drawing>
        <w:drawing>
          <wp:anchor simplePos="0" relativeHeight="251657728" behindDoc="1" locked="0" layoutInCell="0" allowOverlap="1">
            <wp:simplePos x="0" y="0"/>
            <wp:positionH relativeFrom="column">
              <wp:posOffset>3839845</wp:posOffset>
            </wp:positionH>
            <wp:positionV relativeFrom="paragraph">
              <wp:posOffset>-1871345</wp:posOffset>
            </wp:positionV>
            <wp:extent cx="27152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715260" cy="8255"/>
                    </a:xfrm>
                    <a:prstGeom prst="rect">
                      <a:avLst/>
                    </a:prstGeom>
                    <a:noFill/>
                  </pic:spPr>
                </pic:pic>
              </a:graphicData>
            </a:graphic>
          </wp:anchor>
        </w:drawing>
      </w:r>
    </w:p>
    <w:p>
      <w:pPr>
        <w:spacing w:after="0" w:line="230" w:lineRule="auto"/>
        <w:rPr>
          <w:sz w:val="20"/>
          <w:szCs w:val="20"/>
          <w:color w:val="auto"/>
        </w:rPr>
      </w:pPr>
      <w:r>
        <w:rPr>
          <w:rFonts w:ascii="Arial" w:cs="Arial" w:eastAsia="Arial" w:hAnsi="Arial"/>
          <w:sz w:val="23"/>
          <w:szCs w:val="23"/>
          <w:color w:val="auto"/>
          <w:vertAlign w:val="superscript"/>
        </w:rPr>
        <w:t>1</w:t>
      </w:r>
      <w:r>
        <w:rPr>
          <w:rFonts w:ascii="Arial" w:cs="Arial" w:eastAsia="Arial" w:hAnsi="Arial"/>
          <w:sz w:val="18"/>
          <w:szCs w:val="18"/>
          <w:color w:val="auto"/>
        </w:rPr>
        <w:t>See the press release schedules for the Adjusted EBITDA calculations.</w:t>
      </w:r>
    </w:p>
    <w:p>
      <w:pPr>
        <w:ind w:right="620"/>
        <w:spacing w:after="0" w:line="215" w:lineRule="auto"/>
        <w:rPr>
          <w:sz w:val="20"/>
          <w:szCs w:val="20"/>
          <w:color w:val="auto"/>
        </w:rPr>
      </w:pPr>
      <w:r>
        <w:rPr>
          <w:rFonts w:ascii="Arial" w:cs="Arial" w:eastAsia="Arial" w:hAnsi="Arial"/>
          <w:sz w:val="22"/>
          <w:szCs w:val="22"/>
          <w:color w:val="auto"/>
          <w:vertAlign w:val="superscript"/>
        </w:rPr>
        <w:t>2</w:t>
      </w:r>
      <w:r>
        <w:rPr>
          <w:rFonts w:ascii="Arial" w:cs="Arial" w:eastAsia="Arial" w:hAnsi="Arial"/>
          <w:sz w:val="17"/>
          <w:szCs w:val="17"/>
          <w:color w:val="auto"/>
        </w:rPr>
        <w:t>Adjusted EBITDA, Adjusted EPS – diluted, and Adjusted effective tax rate for second quarter and full year 2026 do not include cost reimbursement revenue, reimbursed expenses, and restructuring and merger-related charges, and other expenses, each of which the</w:t>
      </w:r>
    </w:p>
    <w:p>
      <w:pPr>
        <w:ind w:right="20"/>
        <w:spacing w:after="0" w:line="235" w:lineRule="auto"/>
        <w:rPr>
          <w:sz w:val="20"/>
          <w:szCs w:val="20"/>
          <w:color w:val="auto"/>
        </w:rPr>
      </w:pPr>
      <w:r>
        <w:rPr>
          <w:rFonts w:ascii="Arial" w:cs="Arial" w:eastAsia="Arial" w:hAnsi="Arial"/>
          <w:sz w:val="18"/>
          <w:szCs w:val="18"/>
          <w:color w:val="auto"/>
        </w:rPr>
        <w:t>company cannot forecast with sufficient accuracy and without unreasonable efforts, and which may be significant. Our outlook includes the impact of our planned sale of a U.S. &amp; Canada hotel (but adjusted for the related expected impairment charge of approximately $65 million to $70 million), which we assume will occur later in the 2026 second quarter, as well as our planned investment in Lefay, which we assume will occur later this year. Our outlook excludes any other potential asset sales or property or brand acquisitions that may occur during the year, each of which the company cannot forecast with sufficient accuracy and without unreasonable efforts, and which may be significant. In addition, our full year 2026 outlook excludes the first quarter 2026 adjustments related to the Sonder termination of $2 million and adjustment to a gain on an asset disposition of $(8) million.</w:t>
      </w:r>
    </w:p>
    <w:p>
      <w:pPr>
        <w:spacing w:after="0" w:line="182" w:lineRule="auto"/>
        <w:rPr>
          <w:sz w:val="20"/>
          <w:szCs w:val="20"/>
          <w:color w:val="auto"/>
        </w:rPr>
      </w:pPr>
      <w:r>
        <w:rPr>
          <w:rFonts w:ascii="Arial" w:cs="Arial" w:eastAsia="Arial" w:hAnsi="Arial"/>
          <w:sz w:val="23"/>
          <w:szCs w:val="23"/>
          <w:color w:val="auto"/>
          <w:vertAlign w:val="superscript"/>
        </w:rPr>
        <w:t>3</w:t>
      </w:r>
      <w:r>
        <w:rPr>
          <w:rFonts w:ascii="Arial" w:cs="Arial" w:eastAsia="Arial" w:hAnsi="Arial"/>
          <w:sz w:val="18"/>
          <w:szCs w:val="18"/>
          <w:color w:val="auto"/>
        </w:rPr>
        <w:t>Assumes the level of capital return to shareholders noted above.</w:t>
      </w:r>
    </w:p>
    <w:p>
      <w:pPr>
        <w:spacing w:after="0" w:line="1" w:lineRule="exact"/>
        <w:rPr>
          <w:sz w:val="20"/>
          <w:szCs w:val="20"/>
          <w:color w:val="auto"/>
        </w:rPr>
      </w:pPr>
    </w:p>
    <w:p>
      <w:pPr>
        <w:ind w:right="140"/>
        <w:spacing w:after="0" w:line="211" w:lineRule="auto"/>
        <w:rPr>
          <w:sz w:val="20"/>
          <w:szCs w:val="20"/>
          <w:color w:val="auto"/>
        </w:rPr>
      </w:pPr>
      <w:r>
        <w:rPr>
          <w:rFonts w:ascii="Arial" w:cs="Arial" w:eastAsia="Arial" w:hAnsi="Arial"/>
          <w:sz w:val="23"/>
          <w:szCs w:val="23"/>
          <w:color w:val="auto"/>
          <w:vertAlign w:val="superscript"/>
        </w:rPr>
        <w:t>4</w:t>
      </w:r>
      <w:r>
        <w:rPr>
          <w:rFonts w:ascii="Arial" w:cs="Arial" w:eastAsia="Arial" w:hAnsi="Arial"/>
          <w:sz w:val="18"/>
          <w:szCs w:val="18"/>
          <w:color w:val="auto"/>
        </w:rPr>
        <w:t>Investment spending includes capital and technology expenditures, loan advances, contract acquisition costs, and other investing activities (including our planned investment in Lefay, which we assume will occur later this year), but excludes any potential property or brand acquisitions, which we cannot forecast with sufficient accuracy and which may be significant.</w:t>
      </w:r>
    </w:p>
    <w:p>
      <w:pPr>
        <w:spacing w:after="0" w:line="1" w:lineRule="exact"/>
        <w:rPr>
          <w:sz w:val="20"/>
          <w:szCs w:val="20"/>
          <w:color w:val="auto"/>
        </w:rPr>
      </w:pPr>
    </w:p>
    <w:p>
      <w:pPr>
        <w:ind w:right="120"/>
        <w:spacing w:after="0" w:line="220" w:lineRule="auto"/>
        <w:rPr>
          <w:sz w:val="20"/>
          <w:szCs w:val="20"/>
          <w:color w:val="auto"/>
        </w:rPr>
      </w:pPr>
      <w:r>
        <w:rPr>
          <w:rFonts w:ascii="Arial" w:cs="Arial" w:eastAsia="Arial" w:hAnsi="Arial"/>
          <w:sz w:val="23"/>
          <w:szCs w:val="23"/>
          <w:color w:val="auto"/>
          <w:vertAlign w:val="superscript"/>
        </w:rPr>
        <w:t>5</w:t>
      </w:r>
      <w:r>
        <w:rPr>
          <w:rFonts w:ascii="Arial" w:cs="Arial" w:eastAsia="Arial" w:hAnsi="Arial"/>
          <w:sz w:val="18"/>
          <w:szCs w:val="18"/>
          <w:color w:val="auto"/>
        </w:rPr>
        <w:t>Assumes the level of investment spending noted above, our planned sale of a U.S. &amp; Canada hotel, and that no other asset sales, property acquisitions or brand acquisitions occur during the year.</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894" w:right="339" w:bottom="1440" w:gutter="0" w:footer="0" w:header="0"/>
        </w:sectPr>
      </w:pPr>
    </w:p>
    <w:bookmarkStart w:id="8" w:name="page9"/>
    <w:bookmarkEnd w:id="8"/>
    <w:p>
      <w:pPr>
        <w:spacing w:after="0" w:line="314" w:lineRule="auto"/>
        <w:rPr>
          <w:sz w:val="20"/>
          <w:szCs w:val="20"/>
          <w:color w:val="auto"/>
        </w:rPr>
      </w:pPr>
      <w:r>
        <w:rPr>
          <w:rFonts w:ascii="Arial" w:cs="Arial" w:eastAsia="Arial" w:hAnsi="Arial"/>
          <w:sz w:val="22"/>
          <w:szCs w:val="22"/>
          <w:color w:val="auto"/>
        </w:rPr>
        <w:t xml:space="preserve">Marriott International, Inc. (Nasdaq: MAR) will conduct its quarterly earnings review for the investment community and news media on Wednesday, May 6, 2026, at 8:30 a.m. Eastern Time (ET). The conference call will be webcast simultaneously via Marriott’s investor relations website at </w:t>
      </w:r>
      <w:r>
        <w:rPr>
          <w:rFonts w:ascii="Arial" w:cs="Arial" w:eastAsia="Arial" w:hAnsi="Arial"/>
          <w:sz w:val="22"/>
          <w:szCs w:val="22"/>
          <w:u w:val="single" w:color="auto"/>
          <w:color w:val="auto"/>
        </w:rPr>
        <w:t>www.marriott.com/investor</w:t>
      </w:r>
      <w:r>
        <w:rPr>
          <w:rFonts w:ascii="Arial" w:cs="Arial" w:eastAsia="Arial" w:hAnsi="Arial"/>
          <w:sz w:val="22"/>
          <w:szCs w:val="22"/>
          <w:color w:val="auto"/>
        </w:rPr>
        <w:t xml:space="preserve"> (click on “Events &amp; Presentations” and click on the quarterly conference call link). A replay will be available at that same website until May 6, 2027.</w:t>
      </w:r>
    </w:p>
    <w:p>
      <w:pPr>
        <w:spacing w:after="0" w:line="208" w:lineRule="exact"/>
        <w:rPr>
          <w:sz w:val="20"/>
          <w:szCs w:val="20"/>
          <w:color w:val="auto"/>
        </w:rPr>
      </w:pPr>
    </w:p>
    <w:p>
      <w:pPr>
        <w:ind w:right="40"/>
        <w:spacing w:after="0" w:line="336" w:lineRule="auto"/>
        <w:rPr>
          <w:sz w:val="20"/>
          <w:szCs w:val="20"/>
          <w:color w:val="auto"/>
        </w:rPr>
      </w:pPr>
      <w:r>
        <w:rPr>
          <w:rFonts w:ascii="Arial" w:cs="Arial" w:eastAsia="Arial" w:hAnsi="Arial"/>
          <w:sz w:val="22"/>
          <w:szCs w:val="22"/>
          <w:color w:val="auto"/>
        </w:rPr>
        <w:t>The telephone dial-in number for the conference call is US Toll Free: 800-267-6316, or Global: +1 203-518-9783. The conference ID is MAR1Q26.</w:t>
      </w:r>
    </w:p>
    <w:p>
      <w:pPr>
        <w:spacing w:after="0" w:line="140" w:lineRule="exact"/>
        <w:rPr>
          <w:sz w:val="20"/>
          <w:szCs w:val="20"/>
          <w:color w:val="auto"/>
        </w:rPr>
      </w:pPr>
    </w:p>
    <w:p>
      <w:pPr>
        <w:ind w:right="80"/>
        <w:spacing w:after="0" w:line="244" w:lineRule="auto"/>
        <w:rPr>
          <w:sz w:val="20"/>
          <w:szCs w:val="20"/>
          <w:color w:val="auto"/>
        </w:rPr>
      </w:pPr>
      <w:r>
        <w:rPr>
          <w:rFonts w:ascii="Arial" w:cs="Arial" w:eastAsia="Arial" w:hAnsi="Arial"/>
          <w:sz w:val="21"/>
          <w:szCs w:val="21"/>
          <w:b w:val="1"/>
          <w:bCs w:val="1"/>
          <w:u w:val="single" w:color="auto"/>
          <w:color w:val="auto"/>
        </w:rPr>
        <w:t>Note on forward-looking statements:</w:t>
      </w:r>
      <w:r>
        <w:rPr>
          <w:rFonts w:ascii="Arial" w:cs="Arial" w:eastAsia="Arial" w:hAnsi="Arial"/>
          <w:sz w:val="21"/>
          <w:szCs w:val="21"/>
          <w:b w:val="1"/>
          <w:bCs w:val="1"/>
          <w:color w:val="auto"/>
        </w:rPr>
        <w:t xml:space="preserve"> </w:t>
      </w:r>
      <w:r>
        <w:rPr>
          <w:rFonts w:ascii="Arial" w:cs="Arial" w:eastAsia="Arial" w:hAnsi="Arial"/>
          <w:sz w:val="21"/>
          <w:szCs w:val="21"/>
          <w:color w:val="auto"/>
        </w:rPr>
        <w:t>All statements in this press release and the accompanying schedules are</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made as of May 6, 2026. We undertake no obligation to publicly update or revise these statements, whether as a result of new information, future events or otherwise. This press release and the accompanying schedules contain "forward-looking statements" within the meaning of federal securities laws, including statements related to our RevPAR, rooms growth and other financial metric estimates, outlook and assumptions; shareholder returns; our growth prospects; our development pipeline; our expectations about the conflict in the Middle East; our planned hotel sale; our anticipated investment in Lefay; and similar statements concerning anticipated future events and expectations that are not historical facts. We caution you that these statements are not guarantees of future performance and are subject to numerous evolving risks and uncertainties that we may not be able to accurately predict or assess, including the risk factors that we describe in our U.S. Securities and Exchange Commission filings, including our most recent Annual Report on Form </w:t>
      </w:r>
      <w:r>
        <w:rPr>
          <w:rFonts w:ascii="Arial" w:cs="Arial" w:eastAsia="Arial" w:hAnsi="Arial"/>
          <w:sz w:val="21"/>
          <w:szCs w:val="21"/>
          <w:color w:val="1C1C1C"/>
        </w:rPr>
        <w:t>10-K or Quarterly Report on Form 10-Q. Any of these factors could</w:t>
      </w:r>
      <w:r>
        <w:rPr>
          <w:rFonts w:ascii="Arial" w:cs="Arial" w:eastAsia="Arial" w:hAnsi="Arial"/>
          <w:sz w:val="21"/>
          <w:szCs w:val="21"/>
          <w:color w:val="auto"/>
        </w:rPr>
        <w:t xml:space="preserve"> </w:t>
      </w:r>
      <w:r>
        <w:rPr>
          <w:rFonts w:ascii="Arial" w:cs="Arial" w:eastAsia="Arial" w:hAnsi="Arial"/>
          <w:sz w:val="21"/>
          <w:szCs w:val="21"/>
          <w:color w:val="1C1C1C"/>
        </w:rPr>
        <w:t>cause actual results to differ materially from the expectations we express or imply in this press release.</w:t>
      </w:r>
    </w:p>
    <w:p>
      <w:pPr>
        <w:spacing w:after="0" w:line="199" w:lineRule="exact"/>
        <w:rPr>
          <w:sz w:val="20"/>
          <w:szCs w:val="20"/>
          <w:color w:val="auto"/>
        </w:rPr>
      </w:pPr>
    </w:p>
    <w:p>
      <w:pPr>
        <w:ind w:right="100"/>
        <w:spacing w:after="0" w:line="234" w:lineRule="auto"/>
        <w:rPr>
          <w:sz w:val="20"/>
          <w:szCs w:val="20"/>
          <w:color w:val="auto"/>
        </w:rPr>
      </w:pPr>
      <w:r>
        <w:rPr>
          <w:rFonts w:ascii="Arial" w:cs="Arial" w:eastAsia="Arial" w:hAnsi="Arial"/>
          <w:sz w:val="22"/>
          <w:szCs w:val="22"/>
          <w:b w:val="1"/>
          <w:bCs w:val="1"/>
          <w:color w:val="auto"/>
        </w:rPr>
        <w:t xml:space="preserve">Marriott International, Inc. </w:t>
      </w:r>
      <w:r>
        <w:rPr>
          <w:rFonts w:ascii="Arial" w:cs="Arial" w:eastAsia="Arial" w:hAnsi="Arial"/>
          <w:sz w:val="22"/>
          <w:szCs w:val="22"/>
          <w:color w:val="auto"/>
        </w:rPr>
        <w:t>(Nasdaq: MAR) is based in Bethesda, Maryland, USA, and encompasses a portfolio of</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compelling brands across luxury, premium, select, midscale, extended stay, and all-inclusive, with over 9,900 properties in 146 countries and territories, as of March 31, 2026. Marriott franchises, operates, and licenses hotel, residential, timeshare, yacht, outdoor, and other lodging products all around the world. The company offers Marriott Bonvoy®, its highly awarded travel platform. For more information, please visit our website at </w:t>
      </w:r>
      <w:r>
        <w:rPr>
          <w:rFonts w:ascii="Arial" w:cs="Arial" w:eastAsia="Arial" w:hAnsi="Arial"/>
          <w:sz w:val="22"/>
          <w:szCs w:val="22"/>
          <w:u w:val="single" w:color="auto"/>
          <w:color w:val="auto"/>
        </w:rPr>
        <w:t>www.marriott.com</w:t>
      </w:r>
      <w:r>
        <w:rPr>
          <w:rFonts w:ascii="Arial" w:cs="Arial" w:eastAsia="Arial" w:hAnsi="Arial"/>
          <w:sz w:val="22"/>
          <w:szCs w:val="22"/>
          <w:color w:val="auto"/>
        </w:rPr>
        <w:t xml:space="preserve">, and for the latest company news, visit www.marriottnewscenter.com. </w:t>
      </w:r>
      <w:r>
        <w:rPr>
          <w:rFonts w:ascii="Arial" w:cs="Arial" w:eastAsia="Arial" w:hAnsi="Arial"/>
          <w:sz w:val="22"/>
          <w:szCs w:val="22"/>
          <w:color w:val="auto"/>
          <w:highlight w:val="white"/>
        </w:rPr>
        <w:t>In</w:t>
      </w:r>
      <w:r>
        <w:rPr>
          <w:rFonts w:ascii="Arial" w:cs="Arial" w:eastAsia="Arial" w:hAnsi="Arial"/>
          <w:sz w:val="22"/>
          <w:szCs w:val="22"/>
          <w:color w:val="auto"/>
        </w:rPr>
        <w:t xml:space="preserve"> addition, connect with us on </w:t>
      </w:r>
      <w:r>
        <w:rPr>
          <w:rFonts w:ascii="Arial" w:cs="Arial" w:eastAsia="Arial" w:hAnsi="Arial"/>
          <w:sz w:val="22"/>
          <w:szCs w:val="22"/>
          <w:u w:val="single" w:color="auto"/>
          <w:color w:val="auto"/>
        </w:rPr>
        <w:t>Facebook</w:t>
      </w:r>
      <w:r>
        <w:rPr>
          <w:rFonts w:ascii="Arial" w:cs="Arial" w:eastAsia="Arial" w:hAnsi="Arial"/>
          <w:sz w:val="22"/>
          <w:szCs w:val="22"/>
          <w:color w:val="auto"/>
        </w:rPr>
        <w:t xml:space="preserve"> and @MarriottIntl on </w:t>
      </w:r>
      <w:r>
        <w:rPr>
          <w:rFonts w:ascii="Arial" w:cs="Arial" w:eastAsia="Arial" w:hAnsi="Arial"/>
          <w:sz w:val="22"/>
          <w:szCs w:val="22"/>
          <w:u w:val="single" w:color="auto"/>
          <w:color w:val="auto"/>
        </w:rPr>
        <w:t>X</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Instagram</w:t>
      </w:r>
      <w:r>
        <w:rPr>
          <w:rFonts w:ascii="Arial" w:cs="Arial" w:eastAsia="Arial" w:hAnsi="Arial"/>
          <w:sz w:val="22"/>
          <w:szCs w:val="22"/>
          <w:color w:val="auto"/>
        </w:rPr>
        <w:t>.</w:t>
      </w:r>
    </w:p>
    <w:p>
      <w:pPr>
        <w:spacing w:after="0" w:line="206" w:lineRule="exact"/>
        <w:rPr>
          <w:sz w:val="20"/>
          <w:szCs w:val="20"/>
          <w:color w:val="auto"/>
        </w:rPr>
      </w:pPr>
    </w:p>
    <w:p>
      <w:pPr>
        <w:ind w:right="40"/>
        <w:spacing w:after="0" w:line="238" w:lineRule="auto"/>
        <w:rPr>
          <w:sz w:val="20"/>
          <w:szCs w:val="20"/>
          <w:color w:val="auto"/>
        </w:rPr>
      </w:pPr>
      <w:r>
        <w:rPr>
          <w:rFonts w:ascii="Arial" w:cs="Arial" w:eastAsia="Arial" w:hAnsi="Arial"/>
          <w:sz w:val="22"/>
          <w:szCs w:val="22"/>
          <w:color w:val="auto"/>
        </w:rPr>
        <w:t xml:space="preserve">Marriott encourages investors, the media, and others interested in the company to review and subscribe to the information Marriott posts on its investor relations website at </w:t>
      </w:r>
      <w:r>
        <w:rPr>
          <w:rFonts w:ascii="Arial" w:cs="Arial" w:eastAsia="Arial" w:hAnsi="Arial"/>
          <w:sz w:val="22"/>
          <w:szCs w:val="22"/>
          <w:u w:val="single" w:color="auto"/>
          <w:color w:val="auto"/>
        </w:rPr>
        <w:t>www.marriott.com/investor</w:t>
      </w:r>
      <w:r>
        <w:rPr>
          <w:rFonts w:ascii="Arial" w:cs="Arial" w:eastAsia="Arial" w:hAnsi="Arial"/>
          <w:sz w:val="22"/>
          <w:szCs w:val="22"/>
          <w:color w:val="auto"/>
        </w:rPr>
        <w:t xml:space="preserve"> or Marriott’s news center website at </w:t>
      </w:r>
      <w:r>
        <w:rPr>
          <w:rFonts w:ascii="Arial" w:cs="Arial" w:eastAsia="Arial" w:hAnsi="Arial"/>
          <w:sz w:val="22"/>
          <w:szCs w:val="22"/>
          <w:u w:val="single" w:color="auto"/>
          <w:color w:val="auto"/>
        </w:rPr>
        <w:t>www.marriottnewscenter.com</w:t>
      </w:r>
      <w:r>
        <w:rPr>
          <w:rFonts w:ascii="Arial" w:cs="Arial" w:eastAsia="Arial" w:hAnsi="Arial"/>
          <w:sz w:val="22"/>
          <w:szCs w:val="22"/>
          <w:color w:val="auto"/>
        </w:rPr>
        <w:t>, which may be material. The contents of these websites are not incorporated by reference into this press release or any report or document Marriott files with the U.S. Securities and Exchange Commission, and any references to the websites are intended to be inactive textual references only.</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923" w:right="339" w:bottom="1440" w:gutter="0" w:footer="0" w:header="0"/>
        </w:sectPr>
      </w:pPr>
    </w:p>
    <w:bookmarkStart w:id="9" w:name="page10"/>
    <w:bookmarkEnd w:id="9"/>
    <w:p>
      <w:pPr>
        <w:spacing w:after="0"/>
        <w:rPr>
          <w:sz w:val="20"/>
          <w:szCs w:val="20"/>
          <w:color w:val="auto"/>
        </w:rPr>
      </w:pPr>
      <w:r>
        <w:rPr>
          <w:rFonts w:ascii="Arial" w:cs="Arial" w:eastAsia="Arial" w:hAnsi="Arial"/>
          <w:sz w:val="22"/>
          <w:szCs w:val="22"/>
          <w:b w:val="1"/>
          <w:bCs w:val="1"/>
          <w:color w:val="auto"/>
        </w:rPr>
        <w:t>MEDIA &amp; INVESTOR RELATIONS CONTACTS:</w:t>
      </w:r>
    </w:p>
    <w:p>
      <w:pPr>
        <w:spacing w:after="0" w:line="46" w:lineRule="exact"/>
        <w:rPr>
          <w:sz w:val="20"/>
          <w:szCs w:val="20"/>
          <w:color w:val="auto"/>
        </w:rPr>
      </w:pPr>
    </w:p>
    <w:p>
      <w:pPr>
        <w:spacing w:after="0"/>
        <w:rPr>
          <w:sz w:val="20"/>
          <w:szCs w:val="20"/>
          <w:color w:val="auto"/>
        </w:rPr>
      </w:pPr>
      <w:r>
        <w:rPr>
          <w:rFonts w:ascii="Arial" w:cs="Arial" w:eastAsia="Arial" w:hAnsi="Arial"/>
          <w:sz w:val="22"/>
          <w:szCs w:val="22"/>
          <w:color w:val="auto"/>
        </w:rPr>
        <w:t>Melissa Froehlich Flood</w:t>
      </w:r>
    </w:p>
    <w:p>
      <w:pPr>
        <w:spacing w:after="0" w:line="31" w:lineRule="exact"/>
        <w:rPr>
          <w:sz w:val="20"/>
          <w:szCs w:val="20"/>
          <w:color w:val="auto"/>
        </w:rPr>
      </w:pPr>
    </w:p>
    <w:p>
      <w:pPr>
        <w:spacing w:after="0"/>
        <w:rPr>
          <w:sz w:val="20"/>
          <w:szCs w:val="20"/>
          <w:color w:val="auto"/>
        </w:rPr>
      </w:pPr>
      <w:r>
        <w:rPr>
          <w:rFonts w:ascii="Arial" w:cs="Arial" w:eastAsia="Arial" w:hAnsi="Arial"/>
          <w:sz w:val="21"/>
          <w:szCs w:val="21"/>
          <w:color w:val="auto"/>
        </w:rPr>
        <w:t>Senior Vice President, Global Corporate Communications &amp; Public Policy</w:t>
      </w:r>
    </w:p>
    <w:p>
      <w:pPr>
        <w:spacing w:after="0" w:line="42" w:lineRule="exact"/>
        <w:rPr>
          <w:sz w:val="20"/>
          <w:szCs w:val="20"/>
          <w:color w:val="auto"/>
        </w:rPr>
      </w:pPr>
    </w:p>
    <w:p>
      <w:pPr>
        <w:spacing w:after="0"/>
        <w:rPr>
          <w:sz w:val="20"/>
          <w:szCs w:val="20"/>
          <w:color w:val="auto"/>
        </w:rPr>
      </w:pPr>
      <w:r>
        <w:rPr>
          <w:rFonts w:ascii="Arial" w:cs="Arial" w:eastAsia="Arial" w:hAnsi="Arial"/>
          <w:sz w:val="22"/>
          <w:szCs w:val="22"/>
          <w:color w:val="auto"/>
        </w:rPr>
        <w:t>Marriott International</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newsroom@marriott.com</w:t>
      </w: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color w:val="auto"/>
        </w:rPr>
        <w:t>Jackie Burka McConagha</w:t>
      </w:r>
    </w:p>
    <w:p>
      <w:pPr>
        <w:spacing w:after="0" w:line="31" w:lineRule="exact"/>
        <w:rPr>
          <w:sz w:val="20"/>
          <w:szCs w:val="20"/>
          <w:color w:val="auto"/>
        </w:rPr>
      </w:pPr>
    </w:p>
    <w:p>
      <w:pPr>
        <w:spacing w:after="0"/>
        <w:rPr>
          <w:sz w:val="20"/>
          <w:szCs w:val="20"/>
          <w:color w:val="auto"/>
        </w:rPr>
      </w:pPr>
      <w:r>
        <w:rPr>
          <w:rFonts w:ascii="Arial" w:cs="Arial" w:eastAsia="Arial" w:hAnsi="Arial"/>
          <w:sz w:val="22"/>
          <w:szCs w:val="22"/>
          <w:color w:val="auto"/>
        </w:rPr>
        <w:t>Senior Vice President, Investor Relations</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Marriott International</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jackie.mcconagha@marriott.com</w:t>
      </w: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color w:val="auto"/>
        </w:rPr>
        <w:t>Pilar Fernandez</w:t>
      </w:r>
    </w:p>
    <w:p>
      <w:pPr>
        <w:spacing w:after="0" w:line="31" w:lineRule="exact"/>
        <w:rPr>
          <w:sz w:val="20"/>
          <w:szCs w:val="20"/>
          <w:color w:val="auto"/>
        </w:rPr>
      </w:pPr>
    </w:p>
    <w:p>
      <w:pPr>
        <w:spacing w:after="0"/>
        <w:rPr>
          <w:sz w:val="20"/>
          <w:szCs w:val="20"/>
          <w:color w:val="auto"/>
        </w:rPr>
      </w:pPr>
      <w:r>
        <w:rPr>
          <w:rFonts w:ascii="Arial" w:cs="Arial" w:eastAsia="Arial" w:hAnsi="Arial"/>
          <w:sz w:val="22"/>
          <w:szCs w:val="22"/>
          <w:color w:val="auto"/>
        </w:rPr>
        <w:t>Senior Director, Investor Relations</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Marriott International</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pilar.fernandez@marriott.com</w:t>
      </w:r>
    </w:p>
    <w:p>
      <w:pPr>
        <w:spacing w:after="0" w:line="96" w:lineRule="exact"/>
        <w:rPr>
          <w:sz w:val="20"/>
          <w:szCs w:val="20"/>
          <w:color w:val="auto"/>
        </w:rPr>
      </w:pPr>
    </w:p>
    <w:p>
      <w:pPr>
        <w:jc w:val="center"/>
        <w:ind w:right="-1080"/>
        <w:spacing w:after="0"/>
        <w:rPr>
          <w:sz w:val="20"/>
          <w:szCs w:val="20"/>
          <w:color w:val="auto"/>
        </w:rPr>
      </w:pPr>
      <w:r>
        <w:rPr>
          <w:rFonts w:ascii="Arial" w:cs="Arial" w:eastAsia="Arial" w:hAnsi="Arial"/>
          <w:sz w:val="22"/>
          <w:szCs w:val="22"/>
          <w:b w:val="1"/>
          <w:bCs w:val="1"/>
          <w:color w:val="auto"/>
        </w:rPr>
        <w:t>IRPR#1</w:t>
      </w:r>
    </w:p>
    <w:p>
      <w:pPr>
        <w:spacing w:after="0" w:line="26" w:lineRule="exact"/>
        <w:rPr>
          <w:sz w:val="20"/>
          <w:szCs w:val="20"/>
          <w:color w:val="auto"/>
        </w:rPr>
      </w:pPr>
    </w:p>
    <w:p>
      <w:pPr>
        <w:jc w:val="center"/>
        <w:ind w:right="-1080"/>
        <w:spacing w:after="0"/>
        <w:rPr>
          <w:sz w:val="20"/>
          <w:szCs w:val="20"/>
          <w:color w:val="auto"/>
        </w:rPr>
      </w:pPr>
      <w:r>
        <w:rPr>
          <w:rFonts w:ascii="Arial" w:cs="Arial" w:eastAsia="Arial" w:hAnsi="Arial"/>
          <w:sz w:val="22"/>
          <w:szCs w:val="22"/>
          <w:i w:val="1"/>
          <w:iCs w:val="1"/>
          <w:color w:val="auto"/>
        </w:rPr>
        <w:t>Tables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119"/>
          </w:cols>
          <w:pgMar w:left="340" w:top="935" w:right="1440" w:bottom="1440" w:gutter="0" w:footer="0" w:header="0"/>
        </w:sectPr>
      </w:pPr>
    </w:p>
    <w:bookmarkStart w:id="10" w:name="page11"/>
    <w:bookmarkEnd w:id="10"/>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900" w:type="dxa"/>
            <w:vAlign w:val="bottom"/>
          </w:tcPr>
          <w:p>
            <w:pPr>
              <w:jc w:val="center"/>
              <w:ind w:left="610"/>
              <w:spacing w:after="0"/>
              <w:rPr>
                <w:sz w:val="20"/>
                <w:szCs w:val="20"/>
                <w:color w:val="auto"/>
              </w:rPr>
            </w:pPr>
            <w:r>
              <w:rPr>
                <w:rFonts w:ascii="Arial" w:cs="Arial" w:eastAsia="Arial" w:hAnsi="Arial"/>
                <w:sz w:val="18"/>
                <w:szCs w:val="18"/>
                <w:b w:val="1"/>
                <w:bCs w:val="1"/>
                <w:color w:val="auto"/>
                <w:w w:val="99"/>
              </w:rPr>
              <w:t>MARRIOTT INTERNATIONAL, INC.</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9900" w:type="dxa"/>
            <w:vAlign w:val="bottom"/>
          </w:tcPr>
          <w:p>
            <w:pPr>
              <w:jc w:val="center"/>
              <w:ind w:left="610"/>
              <w:spacing w:after="0"/>
              <w:rPr>
                <w:sz w:val="20"/>
                <w:szCs w:val="20"/>
                <w:color w:val="auto"/>
              </w:rPr>
            </w:pPr>
            <w:r>
              <w:rPr>
                <w:rFonts w:ascii="Arial" w:cs="Arial" w:eastAsia="Arial" w:hAnsi="Arial"/>
                <w:sz w:val="18"/>
                <w:szCs w:val="18"/>
                <w:b w:val="1"/>
                <w:bCs w:val="1"/>
                <w:color w:val="auto"/>
              </w:rPr>
              <w:t>PRESS RELEASE SCHEDULES</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9900" w:type="dxa"/>
            <w:vAlign w:val="bottom"/>
          </w:tcPr>
          <w:p>
            <w:pPr>
              <w:jc w:val="center"/>
              <w:ind w:left="610"/>
              <w:spacing w:after="0"/>
              <w:rPr>
                <w:sz w:val="20"/>
                <w:szCs w:val="20"/>
                <w:color w:val="auto"/>
              </w:rPr>
            </w:pPr>
            <w:r>
              <w:rPr>
                <w:rFonts w:ascii="Arial" w:cs="Arial" w:eastAsia="Arial" w:hAnsi="Arial"/>
                <w:sz w:val="18"/>
                <w:szCs w:val="18"/>
                <w:b w:val="1"/>
                <w:bCs w:val="1"/>
                <w:color w:val="auto"/>
                <w:w w:val="98"/>
              </w:rPr>
              <w:t>TABLE OF CONTENTS</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7"/>
        </w:trPr>
        <w:tc>
          <w:tcPr>
            <w:tcW w:w="9900" w:type="dxa"/>
            <w:vAlign w:val="bottom"/>
          </w:tcPr>
          <w:p>
            <w:pPr>
              <w:jc w:val="center"/>
              <w:ind w:left="630"/>
              <w:spacing w:after="0"/>
              <w:rPr>
                <w:sz w:val="20"/>
                <w:szCs w:val="20"/>
                <w:color w:val="auto"/>
              </w:rPr>
            </w:pPr>
            <w:r>
              <w:rPr>
                <w:rFonts w:ascii="Arial" w:cs="Arial" w:eastAsia="Arial" w:hAnsi="Arial"/>
                <w:sz w:val="18"/>
                <w:szCs w:val="18"/>
                <w:b w:val="1"/>
                <w:bCs w:val="1"/>
                <w:color w:val="auto"/>
                <w:w w:val="99"/>
              </w:rPr>
              <w:t>QUARTER 1, 2026</w:t>
            </w: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447"/>
        </w:trPr>
        <w:tc>
          <w:tcPr>
            <w:tcW w:w="9900" w:type="dxa"/>
            <w:vAlign w:val="bottom"/>
          </w:tcPr>
          <w:p>
            <w:pPr>
              <w:spacing w:after="0"/>
              <w:rPr>
                <w:sz w:val="20"/>
                <w:szCs w:val="20"/>
                <w:color w:val="auto"/>
              </w:rPr>
            </w:pPr>
            <w:r>
              <w:rPr>
                <w:rFonts w:ascii="Arial" w:cs="Arial" w:eastAsia="Arial" w:hAnsi="Arial"/>
                <w:sz w:val="18"/>
                <w:szCs w:val="18"/>
                <w:color w:val="auto"/>
              </w:rPr>
              <w:t>Consolidated Statements of Income</w:t>
            </w:r>
          </w:p>
        </w:tc>
        <w:tc>
          <w:tcPr>
            <w:tcW w:w="380" w:type="dxa"/>
            <w:vAlign w:val="bottom"/>
            <w:gridSpan w:val="2"/>
          </w:tcPr>
          <w:p>
            <w:pPr>
              <w:spacing w:after="0"/>
              <w:rPr>
                <w:sz w:val="20"/>
                <w:szCs w:val="20"/>
                <w:color w:val="auto"/>
              </w:rPr>
            </w:pPr>
            <w:r>
              <w:rPr>
                <w:rFonts w:ascii="Arial" w:cs="Arial" w:eastAsia="Arial" w:hAnsi="Arial"/>
                <w:sz w:val="18"/>
                <w:szCs w:val="18"/>
                <w:color w:val="0000FF"/>
              </w:rPr>
              <w:t>A-2</w:t>
            </w:r>
          </w:p>
        </w:tc>
      </w:tr>
      <w:tr>
        <w:trPr>
          <w:trHeight w:val="20"/>
        </w:trPr>
        <w:tc>
          <w:tcPr>
            <w:tcW w:w="990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9900" w:type="dxa"/>
            <w:vAlign w:val="bottom"/>
          </w:tcPr>
          <w:p>
            <w:pPr>
              <w:spacing w:after="0"/>
              <w:rPr>
                <w:sz w:val="20"/>
                <w:szCs w:val="20"/>
                <w:color w:val="auto"/>
              </w:rPr>
            </w:pPr>
            <w:r>
              <w:rPr>
                <w:rFonts w:ascii="Arial" w:cs="Arial" w:eastAsia="Arial" w:hAnsi="Arial"/>
                <w:sz w:val="18"/>
                <w:szCs w:val="18"/>
                <w:color w:val="auto"/>
              </w:rPr>
              <w:t>Non-GAAP Financial Measures</w:t>
            </w:r>
          </w:p>
        </w:tc>
        <w:tc>
          <w:tcPr>
            <w:tcW w:w="380" w:type="dxa"/>
            <w:vAlign w:val="bottom"/>
            <w:gridSpan w:val="2"/>
          </w:tcPr>
          <w:p>
            <w:pPr>
              <w:spacing w:after="0"/>
              <w:rPr>
                <w:sz w:val="20"/>
                <w:szCs w:val="20"/>
                <w:color w:val="auto"/>
              </w:rPr>
            </w:pPr>
            <w:r>
              <w:rPr>
                <w:rFonts w:ascii="Arial" w:cs="Arial" w:eastAsia="Arial" w:hAnsi="Arial"/>
                <w:sz w:val="18"/>
                <w:szCs w:val="18"/>
                <w:color w:val="0000FF"/>
              </w:rPr>
              <w:t>A-3</w:t>
            </w:r>
          </w:p>
        </w:tc>
      </w:tr>
      <w:tr>
        <w:trPr>
          <w:trHeight w:val="20"/>
        </w:trPr>
        <w:tc>
          <w:tcPr>
            <w:tcW w:w="990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9900" w:type="dxa"/>
            <w:vAlign w:val="bottom"/>
          </w:tcPr>
          <w:p>
            <w:pPr>
              <w:spacing w:after="0"/>
              <w:rPr>
                <w:sz w:val="20"/>
                <w:szCs w:val="20"/>
                <w:color w:val="auto"/>
              </w:rPr>
            </w:pPr>
            <w:r>
              <w:rPr>
                <w:rFonts w:ascii="Arial" w:cs="Arial" w:eastAsia="Arial" w:hAnsi="Arial"/>
                <w:sz w:val="18"/>
                <w:szCs w:val="18"/>
                <w:color w:val="auto"/>
              </w:rPr>
              <w:t>Expense Captions - As Reclassified</w:t>
            </w:r>
          </w:p>
        </w:tc>
        <w:tc>
          <w:tcPr>
            <w:tcW w:w="380" w:type="dxa"/>
            <w:vAlign w:val="bottom"/>
            <w:gridSpan w:val="2"/>
          </w:tcPr>
          <w:p>
            <w:pPr>
              <w:spacing w:after="0"/>
              <w:rPr>
                <w:sz w:val="20"/>
                <w:szCs w:val="20"/>
                <w:color w:val="auto"/>
              </w:rPr>
            </w:pPr>
            <w:r>
              <w:rPr>
                <w:rFonts w:ascii="Arial" w:cs="Arial" w:eastAsia="Arial" w:hAnsi="Arial"/>
                <w:sz w:val="18"/>
                <w:szCs w:val="18"/>
                <w:color w:val="0000FF"/>
              </w:rPr>
              <w:t>A-4</w:t>
            </w:r>
          </w:p>
        </w:tc>
      </w:tr>
      <w:tr>
        <w:trPr>
          <w:trHeight w:val="20"/>
        </w:trPr>
        <w:tc>
          <w:tcPr>
            <w:tcW w:w="990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9900" w:type="dxa"/>
            <w:vAlign w:val="bottom"/>
          </w:tcPr>
          <w:p>
            <w:pPr>
              <w:spacing w:after="0"/>
              <w:rPr>
                <w:sz w:val="20"/>
                <w:szCs w:val="20"/>
                <w:color w:val="auto"/>
              </w:rPr>
            </w:pPr>
            <w:r>
              <w:rPr>
                <w:rFonts w:ascii="Arial" w:cs="Arial" w:eastAsia="Arial" w:hAnsi="Arial"/>
                <w:sz w:val="18"/>
                <w:szCs w:val="18"/>
                <w:color w:val="auto"/>
              </w:rPr>
              <w:t>Total Lodging Products by Ownership Type</w:t>
            </w:r>
          </w:p>
        </w:tc>
        <w:tc>
          <w:tcPr>
            <w:tcW w:w="380" w:type="dxa"/>
            <w:vAlign w:val="bottom"/>
            <w:gridSpan w:val="2"/>
          </w:tcPr>
          <w:p>
            <w:pPr>
              <w:spacing w:after="0"/>
              <w:rPr>
                <w:sz w:val="20"/>
                <w:szCs w:val="20"/>
                <w:color w:val="auto"/>
              </w:rPr>
            </w:pPr>
            <w:r>
              <w:rPr>
                <w:rFonts w:ascii="Arial" w:cs="Arial" w:eastAsia="Arial" w:hAnsi="Arial"/>
                <w:sz w:val="18"/>
                <w:szCs w:val="18"/>
                <w:color w:val="0000FF"/>
              </w:rPr>
              <w:t>A-5</w:t>
            </w:r>
          </w:p>
        </w:tc>
      </w:tr>
      <w:tr>
        <w:trPr>
          <w:trHeight w:val="20"/>
        </w:trPr>
        <w:tc>
          <w:tcPr>
            <w:tcW w:w="990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9900" w:type="dxa"/>
            <w:vAlign w:val="bottom"/>
          </w:tcPr>
          <w:p>
            <w:pPr>
              <w:spacing w:after="0"/>
              <w:rPr>
                <w:sz w:val="20"/>
                <w:szCs w:val="20"/>
                <w:color w:val="auto"/>
              </w:rPr>
            </w:pPr>
            <w:r>
              <w:rPr>
                <w:rFonts w:ascii="Arial" w:cs="Arial" w:eastAsia="Arial" w:hAnsi="Arial"/>
                <w:sz w:val="18"/>
                <w:szCs w:val="18"/>
                <w:color w:val="auto"/>
              </w:rPr>
              <w:t>Total Lodging Products by Tier</w:t>
            </w:r>
          </w:p>
        </w:tc>
        <w:tc>
          <w:tcPr>
            <w:tcW w:w="380" w:type="dxa"/>
            <w:vAlign w:val="bottom"/>
            <w:gridSpan w:val="2"/>
          </w:tcPr>
          <w:p>
            <w:pPr>
              <w:spacing w:after="0"/>
              <w:rPr>
                <w:sz w:val="20"/>
                <w:szCs w:val="20"/>
                <w:color w:val="auto"/>
              </w:rPr>
            </w:pPr>
            <w:r>
              <w:rPr>
                <w:rFonts w:ascii="Arial" w:cs="Arial" w:eastAsia="Arial" w:hAnsi="Arial"/>
                <w:sz w:val="18"/>
                <w:szCs w:val="18"/>
                <w:color w:val="0000FF"/>
              </w:rPr>
              <w:t>A-7</w:t>
            </w:r>
          </w:p>
        </w:tc>
      </w:tr>
      <w:tr>
        <w:trPr>
          <w:trHeight w:val="20"/>
        </w:trPr>
        <w:tc>
          <w:tcPr>
            <w:tcW w:w="990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9900" w:type="dxa"/>
            <w:vAlign w:val="bottom"/>
          </w:tcPr>
          <w:p>
            <w:pPr>
              <w:spacing w:after="0"/>
              <w:rPr>
                <w:sz w:val="20"/>
                <w:szCs w:val="20"/>
                <w:color w:val="auto"/>
              </w:rPr>
            </w:pPr>
            <w:r>
              <w:rPr>
                <w:rFonts w:ascii="Arial" w:cs="Arial" w:eastAsia="Arial" w:hAnsi="Arial"/>
                <w:sz w:val="18"/>
                <w:szCs w:val="18"/>
                <w:color w:val="auto"/>
              </w:rPr>
              <w:t>Key Lodging Statistics</w:t>
            </w:r>
          </w:p>
        </w:tc>
        <w:tc>
          <w:tcPr>
            <w:tcW w:w="380" w:type="dxa"/>
            <w:vAlign w:val="bottom"/>
            <w:gridSpan w:val="2"/>
          </w:tcPr>
          <w:p>
            <w:pPr>
              <w:spacing w:after="0"/>
              <w:rPr>
                <w:sz w:val="20"/>
                <w:szCs w:val="20"/>
                <w:color w:val="auto"/>
              </w:rPr>
            </w:pPr>
            <w:r>
              <w:rPr>
                <w:rFonts w:ascii="Arial" w:cs="Arial" w:eastAsia="Arial" w:hAnsi="Arial"/>
                <w:sz w:val="18"/>
                <w:szCs w:val="18"/>
                <w:color w:val="0000FF"/>
              </w:rPr>
              <w:t>A-9</w:t>
            </w:r>
          </w:p>
        </w:tc>
      </w:tr>
      <w:tr>
        <w:trPr>
          <w:trHeight w:val="20"/>
        </w:trPr>
        <w:tc>
          <w:tcPr>
            <w:tcW w:w="990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9900" w:type="dxa"/>
            <w:vAlign w:val="bottom"/>
          </w:tcPr>
          <w:p>
            <w:pPr>
              <w:spacing w:after="0"/>
              <w:rPr>
                <w:sz w:val="20"/>
                <w:szCs w:val="20"/>
                <w:color w:val="auto"/>
              </w:rPr>
            </w:pPr>
            <w:r>
              <w:rPr>
                <w:rFonts w:ascii="Arial" w:cs="Arial" w:eastAsia="Arial" w:hAnsi="Arial"/>
                <w:sz w:val="18"/>
                <w:szCs w:val="18"/>
                <w:color w:val="auto"/>
              </w:rPr>
              <w:t>Adjusted EBITDA</w:t>
            </w:r>
          </w:p>
        </w:tc>
        <w:tc>
          <w:tcPr>
            <w:tcW w:w="38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94"/>
              </w:rPr>
              <w:t>A-11</w:t>
            </w:r>
          </w:p>
        </w:tc>
      </w:tr>
      <w:tr>
        <w:trPr>
          <w:trHeight w:val="210"/>
        </w:trPr>
        <w:tc>
          <w:tcPr>
            <w:tcW w:w="9900" w:type="dxa"/>
            <w:vAlign w:val="bottom"/>
          </w:tcPr>
          <w:p>
            <w:pPr>
              <w:spacing w:after="0"/>
              <w:rPr>
                <w:sz w:val="20"/>
                <w:szCs w:val="20"/>
                <w:color w:val="auto"/>
              </w:rPr>
            </w:pPr>
            <w:r>
              <w:rPr>
                <w:rFonts w:ascii="Arial" w:cs="Arial" w:eastAsia="Arial" w:hAnsi="Arial"/>
                <w:sz w:val="18"/>
                <w:szCs w:val="18"/>
                <w:color w:val="auto"/>
              </w:rPr>
              <w:t>Adjusted EBITDA Forecast - Second Quarter 2026</w:t>
            </w:r>
          </w:p>
        </w:tc>
        <w:tc>
          <w:tcPr>
            <w:tcW w:w="38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94"/>
              </w:rPr>
              <w:t>A-12</w:t>
            </w:r>
          </w:p>
        </w:tc>
      </w:tr>
      <w:tr>
        <w:trPr>
          <w:trHeight w:val="209"/>
        </w:trPr>
        <w:tc>
          <w:tcPr>
            <w:tcW w:w="9900" w:type="dxa"/>
            <w:vAlign w:val="bottom"/>
          </w:tcPr>
          <w:p>
            <w:pPr>
              <w:spacing w:after="0"/>
              <w:rPr>
                <w:sz w:val="20"/>
                <w:szCs w:val="20"/>
                <w:color w:val="auto"/>
              </w:rPr>
            </w:pPr>
            <w:r>
              <w:rPr>
                <w:rFonts w:ascii="Arial" w:cs="Arial" w:eastAsia="Arial" w:hAnsi="Arial"/>
                <w:sz w:val="18"/>
                <w:szCs w:val="18"/>
                <w:color w:val="auto"/>
              </w:rPr>
              <w:t>Adjusted EBITDA Forecast - Full Year 2026</w:t>
            </w:r>
          </w:p>
        </w:tc>
        <w:tc>
          <w:tcPr>
            <w:tcW w:w="38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94"/>
              </w:rPr>
              <w:t>A-13</w:t>
            </w:r>
          </w:p>
        </w:tc>
      </w:tr>
      <w:tr>
        <w:trPr>
          <w:trHeight w:val="210"/>
        </w:trPr>
        <w:tc>
          <w:tcPr>
            <w:tcW w:w="9900" w:type="dxa"/>
            <w:vAlign w:val="bottom"/>
          </w:tcPr>
          <w:p>
            <w:pPr>
              <w:spacing w:after="0"/>
              <w:rPr>
                <w:sz w:val="20"/>
                <w:szCs w:val="20"/>
                <w:color w:val="auto"/>
              </w:rPr>
            </w:pPr>
            <w:r>
              <w:rPr>
                <w:rFonts w:ascii="Arial" w:cs="Arial" w:eastAsia="Arial" w:hAnsi="Arial"/>
                <w:sz w:val="18"/>
                <w:szCs w:val="18"/>
                <w:color w:val="auto"/>
              </w:rPr>
              <w:t>Explanation of Non-GAAP Financial and Performance Measures</w:t>
            </w:r>
          </w:p>
        </w:tc>
        <w:tc>
          <w:tcPr>
            <w:tcW w:w="38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94"/>
              </w:rPr>
              <w:t>A-14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319"/>
        <w:spacing w:after="0"/>
        <w:rPr>
          <w:sz w:val="20"/>
          <w:szCs w:val="20"/>
          <w:color w:val="auto"/>
        </w:rPr>
      </w:pPr>
      <w:r>
        <w:rPr>
          <w:rFonts w:ascii="Arial" w:cs="Arial" w:eastAsia="Arial" w:hAnsi="Arial"/>
          <w:sz w:val="14"/>
          <w:szCs w:val="14"/>
          <w:color w:val="auto"/>
        </w:rPr>
        <w:t>A-1</w:t>
      </w:r>
    </w:p>
    <w:p>
      <w:pPr>
        <w:sectPr>
          <w:pgSz w:w="11900" w:h="16838" w:orient="portrait"/>
          <w:cols w:equalWidth="0" w:num="1">
            <w:col w:w="10280"/>
          </w:cols>
          <w:pgMar w:left="640" w:top="1440" w:right="979" w:bottom="1440" w:gutter="0" w:footer="0" w:header="0"/>
        </w:sectPr>
      </w:pPr>
    </w:p>
    <w:bookmarkStart w:id="11" w:name="page12"/>
    <w:bookmarkEnd w:id="11"/>
    <w:p>
      <w:pPr>
        <w:jc w:val="center"/>
        <w:ind w:right="-2"/>
        <w:spacing w:after="0"/>
        <w:rPr>
          <w:sz w:val="20"/>
          <w:szCs w:val="20"/>
          <w:color w:val="auto"/>
        </w:rPr>
      </w:pPr>
      <w:r>
        <w:rPr>
          <w:rFonts w:ascii="Arial" w:cs="Arial" w:eastAsia="Arial" w:hAnsi="Arial"/>
          <w:sz w:val="16"/>
          <w:szCs w:val="16"/>
          <w:b w:val="1"/>
          <w:bCs w:val="1"/>
          <w:color w:val="auto"/>
        </w:rPr>
        <w:t>MARRIOTT INTERNATIONAL, INC.</w:t>
      </w:r>
    </w:p>
    <w:p>
      <w:pPr>
        <w:spacing w:after="0" w:line="39" w:lineRule="exact"/>
        <w:rPr>
          <w:sz w:val="20"/>
          <w:szCs w:val="20"/>
          <w:color w:val="auto"/>
        </w:rPr>
      </w:pPr>
    </w:p>
    <w:p>
      <w:pPr>
        <w:jc w:val="center"/>
        <w:ind w:right="-2"/>
        <w:spacing w:after="0"/>
        <w:rPr>
          <w:sz w:val="20"/>
          <w:szCs w:val="20"/>
          <w:color w:val="auto"/>
        </w:rPr>
      </w:pPr>
      <w:r>
        <w:rPr>
          <w:rFonts w:ascii="Arial" w:cs="Arial" w:eastAsia="Arial" w:hAnsi="Arial"/>
          <w:sz w:val="16"/>
          <w:szCs w:val="16"/>
          <w:b w:val="1"/>
          <w:bCs w:val="1"/>
          <w:color w:val="auto"/>
        </w:rPr>
        <w:t>CONSOLIDATED STATEMENTS OF INCOME</w:t>
      </w:r>
    </w:p>
    <w:p>
      <w:pPr>
        <w:spacing w:after="0" w:line="32" w:lineRule="exact"/>
        <w:rPr>
          <w:sz w:val="20"/>
          <w:szCs w:val="20"/>
          <w:color w:val="auto"/>
        </w:rPr>
      </w:pPr>
    </w:p>
    <w:p>
      <w:pPr>
        <w:jc w:val="center"/>
        <w:ind w:right="-2"/>
        <w:spacing w:after="0"/>
        <w:rPr>
          <w:sz w:val="20"/>
          <w:szCs w:val="20"/>
          <w:color w:val="auto"/>
        </w:rPr>
      </w:pPr>
      <w:r>
        <w:rPr>
          <w:rFonts w:ascii="Arial" w:cs="Arial" w:eastAsia="Arial" w:hAnsi="Arial"/>
          <w:sz w:val="16"/>
          <w:szCs w:val="16"/>
          <w:b w:val="1"/>
          <w:bCs w:val="1"/>
          <w:color w:val="auto"/>
        </w:rPr>
        <w:t>FIRST QUARTER 2026 AND 2025</w:t>
      </w:r>
    </w:p>
    <w:p>
      <w:pPr>
        <w:spacing w:after="0" w:line="32" w:lineRule="exact"/>
        <w:rPr>
          <w:sz w:val="20"/>
          <w:szCs w:val="20"/>
          <w:color w:val="auto"/>
        </w:rPr>
      </w:pPr>
    </w:p>
    <w:p>
      <w:pPr>
        <w:jc w:val="center"/>
        <w:ind w:right="-2"/>
        <w:spacing w:after="0"/>
        <w:rPr>
          <w:sz w:val="20"/>
          <w:szCs w:val="20"/>
          <w:color w:val="auto"/>
        </w:rPr>
      </w:pPr>
      <w:r>
        <w:rPr>
          <w:rFonts w:ascii="Arial" w:cs="Arial" w:eastAsia="Arial" w:hAnsi="Arial"/>
          <w:sz w:val="14"/>
          <w:szCs w:val="14"/>
          <w:color w:val="auto"/>
        </w:rPr>
        <w:t>($ in millions except per share amounts, unaudited)</w:t>
      </w:r>
    </w:p>
    <w:p>
      <w:pPr>
        <w:spacing w:after="0" w:line="94" w:lineRule="exact"/>
        <w:rPr>
          <w:sz w:val="20"/>
          <w:szCs w:val="20"/>
          <w:color w:val="auto"/>
        </w:rPr>
      </w:pPr>
    </w:p>
    <w:tbl>
      <w:tblPr>
        <w:tblLayout w:type="fixed"/>
        <w:tblInd w:w="3" w:type="dxa"/>
        <w:tblCellMar>
          <w:top w:w="0" w:type="dxa"/>
          <w:left w:w="0" w:type="dxa"/>
          <w:bottom w:w="0" w:type="dxa"/>
          <w:right w:w="0" w:type="dxa"/>
        </w:tblCellMar>
      </w:tblPr>
      <w:tr>
        <w:trPr>
          <w:trHeight w:val="196"/>
        </w:trPr>
        <w:tc>
          <w:tcPr>
            <w:tcW w:w="4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03"/>
        </w:trPr>
        <w:tc>
          <w:tcPr>
            <w:tcW w:w="4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7"/>
                <w:szCs w:val="17"/>
                <w:color w:val="auto"/>
              </w:rPr>
            </w:pPr>
          </w:p>
        </w:tc>
        <w:tc>
          <w:tcPr>
            <w:tcW w:w="1820" w:type="dxa"/>
            <w:vAlign w:val="bottom"/>
          </w:tcPr>
          <w:p>
            <w:pPr>
              <w:jc w:val="right"/>
              <w:ind w:right="228"/>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7"/>
                <w:szCs w:val="17"/>
                <w:color w:val="auto"/>
              </w:rPr>
            </w:pP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rPr>
              <w:t>Better/(Worse)</w:t>
            </w:r>
          </w:p>
        </w:tc>
        <w:tc>
          <w:tcPr>
            <w:tcW w:w="0" w:type="dxa"/>
            <w:vAlign w:val="bottom"/>
          </w:tcPr>
          <w:p>
            <w:pPr>
              <w:spacing w:after="0"/>
              <w:rPr>
                <w:sz w:val="1"/>
                <w:szCs w:val="1"/>
                <w:color w:val="auto"/>
              </w:rPr>
            </w:pPr>
          </w:p>
        </w:tc>
      </w:tr>
      <w:tr>
        <w:trPr>
          <w:trHeight w:val="203"/>
        </w:trPr>
        <w:tc>
          <w:tcPr>
            <w:tcW w:w="4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March 31, 2026</w:t>
            </w:r>
          </w:p>
        </w:tc>
        <w:tc>
          <w:tcPr>
            <w:tcW w:w="200" w:type="dxa"/>
            <w:vAlign w:val="bottom"/>
          </w:tcPr>
          <w:p>
            <w:pPr>
              <w:spacing w:after="0"/>
              <w:rPr>
                <w:sz w:val="17"/>
                <w:szCs w:val="17"/>
                <w:color w:val="auto"/>
              </w:rPr>
            </w:pPr>
          </w:p>
        </w:tc>
        <w:tc>
          <w:tcPr>
            <w:tcW w:w="1820" w:type="dxa"/>
            <w:vAlign w:val="bottom"/>
          </w:tcPr>
          <w:p>
            <w:pPr>
              <w:jc w:val="right"/>
              <w:ind w:right="428"/>
              <w:spacing w:after="0"/>
              <w:rPr>
                <w:sz w:val="20"/>
                <w:szCs w:val="20"/>
                <w:color w:val="auto"/>
              </w:rPr>
            </w:pPr>
            <w:r>
              <w:rPr>
                <w:rFonts w:ascii="Arial" w:cs="Arial" w:eastAsia="Arial" w:hAnsi="Arial"/>
                <w:sz w:val="14"/>
                <w:szCs w:val="14"/>
                <w:b w:val="1"/>
                <w:bCs w:val="1"/>
                <w:color w:val="auto"/>
              </w:rPr>
              <w:t>March 31, 2025</w:t>
            </w:r>
          </w:p>
        </w:tc>
        <w:tc>
          <w:tcPr>
            <w:tcW w:w="120" w:type="dxa"/>
            <w:vAlign w:val="bottom"/>
          </w:tcPr>
          <w:p>
            <w:pPr>
              <w:spacing w:after="0"/>
              <w:rPr>
                <w:sz w:val="17"/>
                <w:szCs w:val="17"/>
                <w:color w:val="auto"/>
              </w:rPr>
            </w:pP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rPr>
              <w:t>2026 vs. 2025</w:t>
            </w:r>
          </w:p>
        </w:tc>
        <w:tc>
          <w:tcPr>
            <w:tcW w:w="0" w:type="dxa"/>
            <w:vAlign w:val="bottom"/>
          </w:tcPr>
          <w:p>
            <w:pPr>
              <w:spacing w:after="0"/>
              <w:rPr>
                <w:sz w:val="1"/>
                <w:szCs w:val="1"/>
                <w:color w:val="auto"/>
              </w:rPr>
            </w:pPr>
          </w:p>
        </w:tc>
      </w:tr>
      <w:tr>
        <w:trPr>
          <w:trHeight w:val="183"/>
        </w:trPr>
        <w:tc>
          <w:tcPr>
            <w:tcW w:w="4160" w:type="dxa"/>
            <w:vAlign w:val="bottom"/>
          </w:tcPr>
          <w:p>
            <w:pPr>
              <w:spacing w:after="0"/>
              <w:rPr>
                <w:sz w:val="20"/>
                <w:szCs w:val="20"/>
                <w:color w:val="auto"/>
              </w:rPr>
            </w:pPr>
            <w:r>
              <w:rPr>
                <w:rFonts w:ascii="Arial" w:cs="Arial" w:eastAsia="Arial" w:hAnsi="Arial"/>
                <w:sz w:val="14"/>
                <w:szCs w:val="14"/>
                <w:b w:val="1"/>
                <w:bCs w:val="1"/>
                <w:color w:val="auto"/>
              </w:rPr>
              <w:t>REVENUES</w:t>
            </w:r>
          </w:p>
        </w:tc>
        <w:tc>
          <w:tcPr>
            <w:tcW w:w="200" w:type="dxa"/>
            <w:vAlign w:val="bottom"/>
            <w:tcBorders>
              <w:top w:val="single" w:sz="8" w:color="auto"/>
            </w:tcBorders>
          </w:tcPr>
          <w:p>
            <w:pPr>
              <w:spacing w:after="0"/>
              <w:rPr>
                <w:sz w:val="15"/>
                <w:szCs w:val="15"/>
                <w:color w:val="auto"/>
              </w:rPr>
            </w:pPr>
          </w:p>
        </w:tc>
        <w:tc>
          <w:tcPr>
            <w:tcW w:w="18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8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160" w:type="dxa"/>
            <w:vAlign w:val="bottom"/>
          </w:tcPr>
          <w:p>
            <w:pPr>
              <w:spacing w:after="0"/>
              <w:rPr>
                <w:sz w:val="20"/>
                <w:szCs w:val="20"/>
                <w:color w:val="auto"/>
              </w:rPr>
            </w:pPr>
            <w:r>
              <w:rPr>
                <w:rFonts w:ascii="Arial" w:cs="Arial" w:eastAsia="Arial" w:hAnsi="Arial"/>
                <w:sz w:val="14"/>
                <w:szCs w:val="14"/>
                <w:color w:val="auto"/>
              </w:rPr>
              <w:t>Franchise fees</w:t>
            </w:r>
            <w:r>
              <w:rPr>
                <w:rFonts w:ascii="Arial" w:cs="Arial" w:eastAsia="Arial" w:hAnsi="Arial"/>
                <w:sz w:val="18"/>
                <w:szCs w:val="18"/>
                <w:color w:val="auto"/>
                <w:vertAlign w:val="superscript"/>
              </w:rPr>
              <w:t>1</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40" w:type="dxa"/>
            <w:vAlign w:val="bottom"/>
          </w:tcPr>
          <w:p>
            <w:pPr>
              <w:jc w:val="right"/>
              <w:spacing w:after="0"/>
              <w:rPr>
                <w:sz w:val="20"/>
                <w:szCs w:val="20"/>
                <w:color w:val="auto"/>
              </w:rPr>
            </w:pPr>
            <w:r>
              <w:rPr>
                <w:rFonts w:ascii="Arial" w:cs="Arial" w:eastAsia="Arial" w:hAnsi="Arial"/>
                <w:sz w:val="14"/>
                <w:szCs w:val="14"/>
                <w:color w:val="auto"/>
              </w:rPr>
              <w:t>872</w:t>
            </w:r>
          </w:p>
        </w:tc>
        <w:tc>
          <w:tcPr>
            <w:tcW w:w="120" w:type="dxa"/>
            <w:vAlign w:val="bottom"/>
          </w:tcPr>
          <w:p>
            <w:pPr>
              <w:spacing w:after="0"/>
              <w:rPr>
                <w:sz w:val="18"/>
                <w:szCs w:val="18"/>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820" w:type="dxa"/>
            <w:vAlign w:val="bottom"/>
          </w:tcPr>
          <w:p>
            <w:pPr>
              <w:jc w:val="right"/>
              <w:spacing w:after="0"/>
              <w:rPr>
                <w:sz w:val="20"/>
                <w:szCs w:val="20"/>
                <w:color w:val="auto"/>
              </w:rPr>
            </w:pPr>
            <w:r>
              <w:rPr>
                <w:rFonts w:ascii="Arial" w:cs="Arial" w:eastAsia="Arial" w:hAnsi="Arial"/>
                <w:sz w:val="14"/>
                <w:szCs w:val="14"/>
                <w:color w:val="auto"/>
              </w:rPr>
              <w:t>746</w:t>
            </w:r>
          </w:p>
        </w:tc>
        <w:tc>
          <w:tcPr>
            <w:tcW w:w="2160" w:type="dxa"/>
            <w:vAlign w:val="bottom"/>
            <w:gridSpan w:val="2"/>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90"/>
        </w:trPr>
        <w:tc>
          <w:tcPr>
            <w:tcW w:w="4160" w:type="dxa"/>
            <w:vAlign w:val="bottom"/>
          </w:tcPr>
          <w:p>
            <w:pPr>
              <w:spacing w:after="0"/>
              <w:rPr>
                <w:sz w:val="20"/>
                <w:szCs w:val="20"/>
                <w:color w:val="auto"/>
              </w:rPr>
            </w:pPr>
            <w:r>
              <w:rPr>
                <w:rFonts w:ascii="Arial" w:cs="Arial" w:eastAsia="Arial" w:hAnsi="Arial"/>
                <w:sz w:val="14"/>
                <w:szCs w:val="14"/>
                <w:color w:val="auto"/>
              </w:rPr>
              <w:t>Base management fees</w:t>
            </w:r>
          </w:p>
        </w:tc>
        <w:tc>
          <w:tcPr>
            <w:tcW w:w="200" w:type="dxa"/>
            <w:vAlign w:val="bottom"/>
          </w:tcPr>
          <w:p>
            <w:pPr>
              <w:spacing w:after="0"/>
              <w:rPr>
                <w:sz w:val="16"/>
                <w:szCs w:val="16"/>
                <w:color w:val="auto"/>
              </w:rPr>
            </w:pPr>
          </w:p>
        </w:tc>
        <w:tc>
          <w:tcPr>
            <w:tcW w:w="1840" w:type="dxa"/>
            <w:vAlign w:val="bottom"/>
          </w:tcPr>
          <w:p>
            <w:pPr>
              <w:jc w:val="right"/>
              <w:spacing w:after="0"/>
              <w:rPr>
                <w:sz w:val="20"/>
                <w:szCs w:val="20"/>
                <w:color w:val="auto"/>
              </w:rPr>
            </w:pPr>
            <w:r>
              <w:rPr>
                <w:rFonts w:ascii="Arial" w:cs="Arial" w:eastAsia="Arial" w:hAnsi="Arial"/>
                <w:sz w:val="14"/>
                <w:szCs w:val="14"/>
                <w:color w:val="auto"/>
              </w:rPr>
              <w:t>339</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20" w:type="dxa"/>
            <w:vAlign w:val="bottom"/>
          </w:tcPr>
          <w:p>
            <w:pPr>
              <w:jc w:val="right"/>
              <w:spacing w:after="0"/>
              <w:rPr>
                <w:sz w:val="20"/>
                <w:szCs w:val="20"/>
                <w:color w:val="auto"/>
              </w:rPr>
            </w:pPr>
            <w:r>
              <w:rPr>
                <w:rFonts w:ascii="Arial" w:cs="Arial" w:eastAsia="Arial" w:hAnsi="Arial"/>
                <w:sz w:val="14"/>
                <w:szCs w:val="14"/>
                <w:color w:val="auto"/>
              </w:rPr>
              <w:t>325</w:t>
            </w:r>
          </w:p>
        </w:tc>
        <w:tc>
          <w:tcPr>
            <w:tcW w:w="2160" w:type="dxa"/>
            <w:vAlign w:val="bottom"/>
            <w:gridSpan w:val="2"/>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04"/>
        </w:trPr>
        <w:tc>
          <w:tcPr>
            <w:tcW w:w="4160" w:type="dxa"/>
            <w:vAlign w:val="bottom"/>
          </w:tcPr>
          <w:p>
            <w:pPr>
              <w:spacing w:after="0"/>
              <w:rPr>
                <w:sz w:val="20"/>
                <w:szCs w:val="20"/>
                <w:color w:val="auto"/>
              </w:rPr>
            </w:pPr>
            <w:r>
              <w:rPr>
                <w:rFonts w:ascii="Arial" w:cs="Arial" w:eastAsia="Arial" w:hAnsi="Arial"/>
                <w:sz w:val="14"/>
                <w:szCs w:val="14"/>
                <w:color w:val="auto"/>
              </w:rPr>
              <w:t>Incentive management fees</w:t>
            </w:r>
          </w:p>
        </w:tc>
        <w:tc>
          <w:tcPr>
            <w:tcW w:w="20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222</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204</w:t>
            </w:r>
          </w:p>
        </w:tc>
        <w:tc>
          <w:tcPr>
            <w:tcW w:w="2160" w:type="dxa"/>
            <w:vAlign w:val="bottom"/>
            <w:gridSpan w:val="2"/>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200"/>
        </w:trPr>
        <w:tc>
          <w:tcPr>
            <w:tcW w:w="4160" w:type="dxa"/>
            <w:vAlign w:val="bottom"/>
          </w:tcPr>
          <w:p>
            <w:pPr>
              <w:ind w:left="220"/>
              <w:spacing w:after="0"/>
              <w:rPr>
                <w:sz w:val="20"/>
                <w:szCs w:val="20"/>
                <w:color w:val="auto"/>
              </w:rPr>
            </w:pPr>
            <w:r>
              <w:rPr>
                <w:rFonts w:ascii="Arial" w:cs="Arial" w:eastAsia="Arial" w:hAnsi="Arial"/>
                <w:sz w:val="14"/>
                <w:szCs w:val="14"/>
                <w:b w:val="1"/>
                <w:bCs w:val="1"/>
                <w:color w:val="auto"/>
              </w:rPr>
              <w:t>Gross fee revenues</w:t>
            </w:r>
          </w:p>
        </w:tc>
        <w:tc>
          <w:tcPr>
            <w:tcW w:w="200" w:type="dxa"/>
            <w:vAlign w:val="bottom"/>
          </w:tcPr>
          <w:p>
            <w:pPr>
              <w:spacing w:after="0"/>
              <w:rPr>
                <w:sz w:val="17"/>
                <w:szCs w:val="17"/>
                <w:color w:val="auto"/>
              </w:rPr>
            </w:pPr>
          </w:p>
        </w:tc>
        <w:tc>
          <w:tcPr>
            <w:tcW w:w="1840" w:type="dxa"/>
            <w:vAlign w:val="bottom"/>
          </w:tcPr>
          <w:p>
            <w:pPr>
              <w:jc w:val="right"/>
              <w:spacing w:after="0"/>
              <w:rPr>
                <w:sz w:val="20"/>
                <w:szCs w:val="20"/>
                <w:color w:val="auto"/>
              </w:rPr>
            </w:pPr>
            <w:r>
              <w:rPr>
                <w:rFonts w:ascii="Arial" w:cs="Arial" w:eastAsia="Arial" w:hAnsi="Arial"/>
                <w:sz w:val="14"/>
                <w:szCs w:val="14"/>
                <w:b w:val="1"/>
                <w:bCs w:val="1"/>
                <w:color w:val="auto"/>
              </w:rPr>
              <w:t>1,433</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20" w:type="dxa"/>
            <w:vAlign w:val="bottom"/>
          </w:tcPr>
          <w:p>
            <w:pPr>
              <w:jc w:val="right"/>
              <w:spacing w:after="0"/>
              <w:rPr>
                <w:sz w:val="20"/>
                <w:szCs w:val="20"/>
                <w:color w:val="auto"/>
              </w:rPr>
            </w:pPr>
            <w:r>
              <w:rPr>
                <w:rFonts w:ascii="Arial" w:cs="Arial" w:eastAsia="Arial" w:hAnsi="Arial"/>
                <w:sz w:val="14"/>
                <w:szCs w:val="14"/>
                <w:b w:val="1"/>
                <w:bCs w:val="1"/>
                <w:color w:val="auto"/>
              </w:rPr>
              <w:t>1,275</w:t>
            </w:r>
          </w:p>
        </w:tc>
        <w:tc>
          <w:tcPr>
            <w:tcW w:w="2160" w:type="dxa"/>
            <w:vAlign w:val="bottom"/>
            <w:gridSpan w:val="2"/>
          </w:tcPr>
          <w:p>
            <w:pPr>
              <w:jc w:val="right"/>
              <w:spacing w:after="0"/>
              <w:rPr>
                <w:sz w:val="20"/>
                <w:szCs w:val="20"/>
                <w:color w:val="auto"/>
              </w:rPr>
            </w:pPr>
            <w:r>
              <w:rPr>
                <w:rFonts w:ascii="Arial" w:cs="Arial" w:eastAsia="Arial" w:hAnsi="Arial"/>
                <w:sz w:val="14"/>
                <w:szCs w:val="14"/>
                <w:b w:val="1"/>
                <w:bCs w:val="1"/>
                <w:color w:val="auto"/>
              </w:rPr>
              <w:t>12</w:t>
            </w:r>
          </w:p>
        </w:tc>
        <w:tc>
          <w:tcPr>
            <w:tcW w:w="0" w:type="dxa"/>
            <w:vAlign w:val="bottom"/>
          </w:tcPr>
          <w:p>
            <w:pPr>
              <w:spacing w:after="0"/>
              <w:rPr>
                <w:sz w:val="1"/>
                <w:szCs w:val="1"/>
                <w:color w:val="auto"/>
              </w:rPr>
            </w:pPr>
          </w:p>
        </w:tc>
      </w:tr>
      <w:tr>
        <w:trPr>
          <w:trHeight w:val="205"/>
        </w:trPr>
        <w:tc>
          <w:tcPr>
            <w:tcW w:w="4160" w:type="dxa"/>
            <w:vAlign w:val="bottom"/>
          </w:tcPr>
          <w:p>
            <w:pPr>
              <w:spacing w:after="0" w:line="205" w:lineRule="exact"/>
              <w:rPr>
                <w:sz w:val="20"/>
                <w:szCs w:val="20"/>
                <w:color w:val="auto"/>
              </w:rPr>
            </w:pPr>
            <w:r>
              <w:rPr>
                <w:rFonts w:ascii="Arial" w:cs="Arial" w:eastAsia="Arial" w:hAnsi="Arial"/>
                <w:sz w:val="14"/>
                <w:szCs w:val="14"/>
                <w:color w:val="auto"/>
              </w:rPr>
              <w:t>Contract investment amortization</w:t>
            </w:r>
            <w:r>
              <w:rPr>
                <w:rFonts w:ascii="Arial" w:cs="Arial" w:eastAsia="Arial" w:hAnsi="Arial"/>
                <w:sz w:val="18"/>
                <w:szCs w:val="18"/>
                <w:color w:val="auto"/>
                <w:vertAlign w:val="superscript"/>
              </w:rPr>
              <w:t>2</w:t>
            </w:r>
          </w:p>
        </w:tc>
        <w:tc>
          <w:tcPr>
            <w:tcW w:w="20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w:t>
            </w:r>
          </w:p>
        </w:tc>
        <w:tc>
          <w:tcPr>
            <w:tcW w:w="2160" w:type="dxa"/>
            <w:vAlign w:val="bottom"/>
            <w:gridSpan w:val="2"/>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94"/>
        </w:trPr>
        <w:tc>
          <w:tcPr>
            <w:tcW w:w="4160" w:type="dxa"/>
            <w:vAlign w:val="bottom"/>
          </w:tcPr>
          <w:p>
            <w:pPr>
              <w:ind w:left="220"/>
              <w:spacing w:after="0"/>
              <w:rPr>
                <w:sz w:val="20"/>
                <w:szCs w:val="20"/>
                <w:color w:val="auto"/>
              </w:rPr>
            </w:pPr>
            <w:r>
              <w:rPr>
                <w:rFonts w:ascii="Arial" w:cs="Arial" w:eastAsia="Arial" w:hAnsi="Arial"/>
                <w:sz w:val="14"/>
                <w:szCs w:val="14"/>
                <w:b w:val="1"/>
                <w:bCs w:val="1"/>
                <w:color w:val="auto"/>
              </w:rPr>
              <w:t>Net fee revenues</w:t>
            </w:r>
          </w:p>
        </w:tc>
        <w:tc>
          <w:tcPr>
            <w:tcW w:w="200" w:type="dxa"/>
            <w:vAlign w:val="bottom"/>
          </w:tcPr>
          <w:p>
            <w:pPr>
              <w:spacing w:after="0"/>
              <w:rPr>
                <w:sz w:val="16"/>
                <w:szCs w:val="16"/>
                <w:color w:val="auto"/>
              </w:rPr>
            </w:pPr>
          </w:p>
        </w:tc>
        <w:tc>
          <w:tcPr>
            <w:tcW w:w="1840" w:type="dxa"/>
            <w:vAlign w:val="bottom"/>
          </w:tcPr>
          <w:p>
            <w:pPr>
              <w:jc w:val="right"/>
              <w:spacing w:after="0"/>
              <w:rPr>
                <w:sz w:val="20"/>
                <w:szCs w:val="20"/>
                <w:color w:val="auto"/>
              </w:rPr>
            </w:pPr>
            <w:r>
              <w:rPr>
                <w:rFonts w:ascii="Arial" w:cs="Arial" w:eastAsia="Arial" w:hAnsi="Arial"/>
                <w:sz w:val="14"/>
                <w:szCs w:val="14"/>
                <w:b w:val="1"/>
                <w:bCs w:val="1"/>
                <w:color w:val="auto"/>
              </w:rPr>
              <w:t>1,398</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20" w:type="dxa"/>
            <w:vAlign w:val="bottom"/>
          </w:tcPr>
          <w:p>
            <w:pPr>
              <w:jc w:val="right"/>
              <w:spacing w:after="0"/>
              <w:rPr>
                <w:sz w:val="20"/>
                <w:szCs w:val="20"/>
                <w:color w:val="auto"/>
              </w:rPr>
            </w:pPr>
            <w:r>
              <w:rPr>
                <w:rFonts w:ascii="Arial" w:cs="Arial" w:eastAsia="Arial" w:hAnsi="Arial"/>
                <w:sz w:val="14"/>
                <w:szCs w:val="14"/>
                <w:b w:val="1"/>
                <w:bCs w:val="1"/>
                <w:color w:val="auto"/>
              </w:rPr>
              <w:t>1,247</w:t>
            </w:r>
          </w:p>
        </w:tc>
        <w:tc>
          <w:tcPr>
            <w:tcW w:w="2160" w:type="dxa"/>
            <w:vAlign w:val="bottom"/>
            <w:gridSpan w:val="2"/>
          </w:tcPr>
          <w:p>
            <w:pPr>
              <w:jc w:val="right"/>
              <w:spacing w:after="0"/>
              <w:rPr>
                <w:sz w:val="20"/>
                <w:szCs w:val="20"/>
                <w:color w:val="auto"/>
              </w:rPr>
            </w:pPr>
            <w:r>
              <w:rPr>
                <w:rFonts w:ascii="Arial" w:cs="Arial" w:eastAsia="Arial" w:hAnsi="Arial"/>
                <w:sz w:val="14"/>
                <w:szCs w:val="14"/>
                <w:b w:val="1"/>
                <w:bCs w:val="1"/>
                <w:color w:val="auto"/>
              </w:rPr>
              <w:t>12</w:t>
            </w:r>
          </w:p>
        </w:tc>
        <w:tc>
          <w:tcPr>
            <w:tcW w:w="0" w:type="dxa"/>
            <w:vAlign w:val="bottom"/>
          </w:tcPr>
          <w:p>
            <w:pPr>
              <w:spacing w:after="0"/>
              <w:rPr>
                <w:sz w:val="1"/>
                <w:szCs w:val="1"/>
                <w:color w:val="auto"/>
              </w:rPr>
            </w:pPr>
          </w:p>
        </w:tc>
      </w:tr>
      <w:tr>
        <w:trPr>
          <w:trHeight w:val="206"/>
        </w:trPr>
        <w:tc>
          <w:tcPr>
            <w:tcW w:w="4160" w:type="dxa"/>
            <w:vAlign w:val="bottom"/>
          </w:tcPr>
          <w:p>
            <w:pPr>
              <w:spacing w:after="0"/>
              <w:rPr>
                <w:sz w:val="20"/>
                <w:szCs w:val="20"/>
                <w:color w:val="auto"/>
              </w:rPr>
            </w:pPr>
            <w:r>
              <w:rPr>
                <w:rFonts w:ascii="Arial" w:cs="Arial" w:eastAsia="Arial" w:hAnsi="Arial"/>
                <w:sz w:val="14"/>
                <w:szCs w:val="14"/>
                <w:color w:val="auto"/>
              </w:rPr>
              <w:t>Owned, leased, and other revenue</w:t>
            </w:r>
            <w:r>
              <w:rPr>
                <w:rFonts w:ascii="Arial" w:cs="Arial" w:eastAsia="Arial" w:hAnsi="Arial"/>
                <w:sz w:val="18"/>
                <w:szCs w:val="18"/>
                <w:color w:val="auto"/>
                <w:vertAlign w:val="superscript"/>
              </w:rPr>
              <w:t>3</w:t>
            </w:r>
          </w:p>
        </w:tc>
        <w:tc>
          <w:tcPr>
            <w:tcW w:w="200" w:type="dxa"/>
            <w:vAlign w:val="bottom"/>
          </w:tcPr>
          <w:p>
            <w:pPr>
              <w:spacing w:after="0"/>
              <w:rPr>
                <w:sz w:val="17"/>
                <w:szCs w:val="17"/>
                <w:color w:val="auto"/>
              </w:rPr>
            </w:pPr>
          </w:p>
        </w:tc>
        <w:tc>
          <w:tcPr>
            <w:tcW w:w="1840" w:type="dxa"/>
            <w:vAlign w:val="bottom"/>
          </w:tcPr>
          <w:p>
            <w:pPr>
              <w:jc w:val="right"/>
              <w:spacing w:after="0"/>
              <w:rPr>
                <w:sz w:val="20"/>
                <w:szCs w:val="20"/>
                <w:color w:val="auto"/>
              </w:rPr>
            </w:pPr>
            <w:r>
              <w:rPr>
                <w:rFonts w:ascii="Arial" w:cs="Arial" w:eastAsia="Arial" w:hAnsi="Arial"/>
                <w:sz w:val="14"/>
                <w:szCs w:val="14"/>
                <w:color w:val="auto"/>
              </w:rPr>
              <w:t>412</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20" w:type="dxa"/>
            <w:vAlign w:val="bottom"/>
          </w:tcPr>
          <w:p>
            <w:pPr>
              <w:jc w:val="right"/>
              <w:spacing w:after="0"/>
              <w:rPr>
                <w:sz w:val="20"/>
                <w:szCs w:val="20"/>
                <w:color w:val="auto"/>
              </w:rPr>
            </w:pPr>
            <w:r>
              <w:rPr>
                <w:rFonts w:ascii="Arial" w:cs="Arial" w:eastAsia="Arial" w:hAnsi="Arial"/>
                <w:sz w:val="14"/>
                <w:szCs w:val="14"/>
                <w:color w:val="auto"/>
              </w:rPr>
              <w:t>361</w:t>
            </w:r>
          </w:p>
        </w:tc>
        <w:tc>
          <w:tcPr>
            <w:tcW w:w="2160" w:type="dxa"/>
            <w:vAlign w:val="bottom"/>
            <w:gridSpan w:val="2"/>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201"/>
        </w:trPr>
        <w:tc>
          <w:tcPr>
            <w:tcW w:w="4160" w:type="dxa"/>
            <w:vAlign w:val="bottom"/>
          </w:tcPr>
          <w:p>
            <w:pPr>
              <w:spacing w:after="0" w:line="201" w:lineRule="exact"/>
              <w:rPr>
                <w:sz w:val="20"/>
                <w:szCs w:val="20"/>
                <w:color w:val="auto"/>
              </w:rPr>
            </w:pPr>
            <w:r>
              <w:rPr>
                <w:rFonts w:ascii="Arial" w:cs="Arial" w:eastAsia="Arial" w:hAnsi="Arial"/>
                <w:sz w:val="14"/>
                <w:szCs w:val="14"/>
                <w:color w:val="auto"/>
              </w:rPr>
              <w:t>Cost reimbursement revenue</w:t>
            </w:r>
            <w:r>
              <w:rPr>
                <w:rFonts w:ascii="Arial" w:cs="Arial" w:eastAsia="Arial" w:hAnsi="Arial"/>
                <w:sz w:val="18"/>
                <w:szCs w:val="18"/>
                <w:color w:val="auto"/>
                <w:vertAlign w:val="superscript"/>
              </w:rPr>
              <w:t>4</w:t>
            </w:r>
          </w:p>
        </w:tc>
        <w:tc>
          <w:tcPr>
            <w:tcW w:w="20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4,844</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4,655</w:t>
            </w:r>
          </w:p>
        </w:tc>
        <w:tc>
          <w:tcPr>
            <w:tcW w:w="2160" w:type="dxa"/>
            <w:vAlign w:val="bottom"/>
            <w:gridSpan w:val="2"/>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94"/>
        </w:trPr>
        <w:tc>
          <w:tcPr>
            <w:tcW w:w="4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40" w:type="dxa"/>
            <w:vAlign w:val="bottom"/>
          </w:tcPr>
          <w:p>
            <w:pPr>
              <w:jc w:val="right"/>
              <w:spacing w:after="0"/>
              <w:rPr>
                <w:sz w:val="20"/>
                <w:szCs w:val="20"/>
                <w:color w:val="auto"/>
              </w:rPr>
            </w:pPr>
            <w:r>
              <w:rPr>
                <w:rFonts w:ascii="Arial" w:cs="Arial" w:eastAsia="Arial" w:hAnsi="Arial"/>
                <w:sz w:val="14"/>
                <w:szCs w:val="14"/>
                <w:b w:val="1"/>
                <w:bCs w:val="1"/>
                <w:color w:val="auto"/>
              </w:rPr>
              <w:t>6,654</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20" w:type="dxa"/>
            <w:vAlign w:val="bottom"/>
          </w:tcPr>
          <w:p>
            <w:pPr>
              <w:jc w:val="right"/>
              <w:spacing w:after="0"/>
              <w:rPr>
                <w:sz w:val="20"/>
                <w:szCs w:val="20"/>
                <w:color w:val="auto"/>
              </w:rPr>
            </w:pPr>
            <w:r>
              <w:rPr>
                <w:rFonts w:ascii="Arial" w:cs="Arial" w:eastAsia="Arial" w:hAnsi="Arial"/>
                <w:sz w:val="14"/>
                <w:szCs w:val="14"/>
                <w:b w:val="1"/>
                <w:bCs w:val="1"/>
                <w:color w:val="auto"/>
              </w:rPr>
              <w:t>6,263</w:t>
            </w:r>
          </w:p>
        </w:tc>
        <w:tc>
          <w:tcPr>
            <w:tcW w:w="2160" w:type="dxa"/>
            <w:vAlign w:val="bottom"/>
            <w:gridSpan w:val="2"/>
          </w:tcPr>
          <w:p>
            <w:pPr>
              <w:jc w:val="right"/>
              <w:spacing w:after="0"/>
              <w:rPr>
                <w:sz w:val="20"/>
                <w:szCs w:val="20"/>
                <w:color w:val="auto"/>
              </w:rPr>
            </w:pPr>
            <w:r>
              <w:rPr>
                <w:rFonts w:ascii="Arial" w:cs="Arial" w:eastAsia="Arial" w:hAnsi="Arial"/>
                <w:sz w:val="14"/>
                <w:szCs w:val="14"/>
                <w:b w:val="1"/>
                <w:bCs w:val="1"/>
                <w:color w:val="auto"/>
              </w:rPr>
              <w:t>6</w:t>
            </w:r>
          </w:p>
        </w:tc>
        <w:tc>
          <w:tcPr>
            <w:tcW w:w="0" w:type="dxa"/>
            <w:vAlign w:val="bottom"/>
          </w:tcPr>
          <w:p>
            <w:pPr>
              <w:spacing w:after="0"/>
              <w:rPr>
                <w:sz w:val="1"/>
                <w:szCs w:val="1"/>
                <w:color w:val="auto"/>
              </w:rPr>
            </w:pPr>
          </w:p>
        </w:tc>
      </w:tr>
      <w:tr>
        <w:trPr>
          <w:trHeight w:val="257"/>
        </w:trPr>
        <w:tc>
          <w:tcPr>
            <w:tcW w:w="4160" w:type="dxa"/>
            <w:vAlign w:val="bottom"/>
          </w:tcPr>
          <w:p>
            <w:pPr>
              <w:spacing w:after="0"/>
              <w:rPr>
                <w:sz w:val="20"/>
                <w:szCs w:val="20"/>
                <w:color w:val="auto"/>
              </w:rPr>
            </w:pPr>
            <w:r>
              <w:rPr>
                <w:rFonts w:ascii="Arial" w:cs="Arial" w:eastAsia="Arial" w:hAnsi="Arial"/>
                <w:sz w:val="14"/>
                <w:szCs w:val="14"/>
                <w:b w:val="1"/>
                <w:bCs w:val="1"/>
                <w:color w:val="auto"/>
              </w:rPr>
              <w:t>OPERATING COSTS AND EXPENSES</w:t>
            </w:r>
          </w:p>
        </w:tc>
        <w:tc>
          <w:tcPr>
            <w:tcW w:w="20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6"/>
        </w:trPr>
        <w:tc>
          <w:tcPr>
            <w:tcW w:w="4160" w:type="dxa"/>
            <w:vAlign w:val="bottom"/>
          </w:tcPr>
          <w:p>
            <w:pPr>
              <w:spacing w:after="0"/>
              <w:rPr>
                <w:sz w:val="20"/>
                <w:szCs w:val="20"/>
                <w:color w:val="auto"/>
              </w:rPr>
            </w:pPr>
            <w:r>
              <w:rPr>
                <w:rFonts w:ascii="Arial" w:cs="Arial" w:eastAsia="Arial" w:hAnsi="Arial"/>
                <w:sz w:val="14"/>
                <w:szCs w:val="14"/>
                <w:color w:val="auto"/>
              </w:rPr>
              <w:t>Owned, leased, and other expense</w:t>
            </w:r>
            <w:r>
              <w:rPr>
                <w:rFonts w:ascii="Arial" w:cs="Arial" w:eastAsia="Arial" w:hAnsi="Arial"/>
                <w:sz w:val="18"/>
                <w:szCs w:val="18"/>
                <w:color w:val="auto"/>
                <w:vertAlign w:val="superscript"/>
              </w:rPr>
              <w:t>5</w:t>
            </w: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840" w:type="dxa"/>
            <w:vAlign w:val="bottom"/>
          </w:tcPr>
          <w:p>
            <w:pPr>
              <w:jc w:val="right"/>
              <w:spacing w:after="0"/>
              <w:rPr>
                <w:sz w:val="20"/>
                <w:szCs w:val="20"/>
                <w:color w:val="auto"/>
              </w:rPr>
            </w:pPr>
            <w:r>
              <w:rPr>
                <w:rFonts w:ascii="Arial" w:cs="Arial" w:eastAsia="Arial" w:hAnsi="Arial"/>
                <w:sz w:val="14"/>
                <w:szCs w:val="14"/>
                <w:color w:val="auto"/>
              </w:rPr>
              <w:t>377</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20" w:type="dxa"/>
            <w:vAlign w:val="bottom"/>
          </w:tcPr>
          <w:p>
            <w:pPr>
              <w:jc w:val="right"/>
              <w:spacing w:after="0"/>
              <w:rPr>
                <w:sz w:val="20"/>
                <w:szCs w:val="20"/>
                <w:color w:val="auto"/>
              </w:rPr>
            </w:pPr>
            <w:r>
              <w:rPr>
                <w:rFonts w:ascii="Arial" w:cs="Arial" w:eastAsia="Arial" w:hAnsi="Arial"/>
                <w:sz w:val="14"/>
                <w:szCs w:val="14"/>
                <w:color w:val="auto"/>
              </w:rPr>
              <w:t>332</w:t>
            </w:r>
          </w:p>
        </w:tc>
        <w:tc>
          <w:tcPr>
            <w:tcW w:w="2160" w:type="dxa"/>
            <w:vAlign w:val="bottom"/>
            <w:gridSpan w:val="2"/>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203"/>
        </w:trPr>
        <w:tc>
          <w:tcPr>
            <w:tcW w:w="4160" w:type="dxa"/>
            <w:vAlign w:val="bottom"/>
          </w:tcPr>
          <w:p>
            <w:pPr>
              <w:spacing w:after="0" w:line="202" w:lineRule="exact"/>
              <w:rPr>
                <w:sz w:val="20"/>
                <w:szCs w:val="20"/>
                <w:color w:val="auto"/>
              </w:rPr>
            </w:pPr>
            <w:r>
              <w:rPr>
                <w:rFonts w:ascii="Arial" w:cs="Arial" w:eastAsia="Arial" w:hAnsi="Arial"/>
                <w:sz w:val="14"/>
                <w:szCs w:val="14"/>
                <w:color w:val="auto"/>
              </w:rPr>
              <w:t>Depreciation, amortization, and other</w:t>
            </w:r>
            <w:r>
              <w:rPr>
                <w:rFonts w:ascii="Arial" w:cs="Arial" w:eastAsia="Arial" w:hAnsi="Arial"/>
                <w:sz w:val="18"/>
                <w:szCs w:val="18"/>
                <w:color w:val="auto"/>
                <w:vertAlign w:val="superscript"/>
              </w:rPr>
              <w:t>6</w:t>
            </w:r>
          </w:p>
        </w:tc>
        <w:tc>
          <w:tcPr>
            <w:tcW w:w="200" w:type="dxa"/>
            <w:vAlign w:val="bottom"/>
          </w:tcPr>
          <w:p>
            <w:pPr>
              <w:spacing w:after="0"/>
              <w:rPr>
                <w:sz w:val="17"/>
                <w:szCs w:val="17"/>
                <w:color w:val="auto"/>
              </w:rPr>
            </w:pPr>
          </w:p>
        </w:tc>
        <w:tc>
          <w:tcPr>
            <w:tcW w:w="1840" w:type="dxa"/>
            <w:vAlign w:val="bottom"/>
          </w:tcPr>
          <w:p>
            <w:pPr>
              <w:jc w:val="right"/>
              <w:spacing w:after="0"/>
              <w:rPr>
                <w:sz w:val="20"/>
                <w:szCs w:val="20"/>
                <w:color w:val="auto"/>
              </w:rPr>
            </w:pPr>
            <w:r>
              <w:rPr>
                <w:rFonts w:ascii="Arial" w:cs="Arial" w:eastAsia="Arial" w:hAnsi="Arial"/>
                <w:sz w:val="14"/>
                <w:szCs w:val="14"/>
                <w:color w:val="auto"/>
              </w:rPr>
              <w:t>54</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20" w:type="dxa"/>
            <w:vAlign w:val="bottom"/>
          </w:tcPr>
          <w:p>
            <w:pPr>
              <w:jc w:val="right"/>
              <w:spacing w:after="0"/>
              <w:rPr>
                <w:sz w:val="20"/>
                <w:szCs w:val="20"/>
                <w:color w:val="auto"/>
              </w:rPr>
            </w:pPr>
            <w:r>
              <w:rPr>
                <w:rFonts w:ascii="Arial" w:cs="Arial" w:eastAsia="Arial" w:hAnsi="Arial"/>
                <w:sz w:val="14"/>
                <w:szCs w:val="14"/>
                <w:color w:val="auto"/>
              </w:rPr>
              <w:t>51</w:t>
            </w:r>
          </w:p>
        </w:tc>
        <w:tc>
          <w:tcPr>
            <w:tcW w:w="2160" w:type="dxa"/>
            <w:vAlign w:val="bottom"/>
            <w:gridSpan w:val="2"/>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205"/>
        </w:trPr>
        <w:tc>
          <w:tcPr>
            <w:tcW w:w="4160" w:type="dxa"/>
            <w:vAlign w:val="bottom"/>
          </w:tcPr>
          <w:p>
            <w:pPr>
              <w:spacing w:after="0" w:line="205" w:lineRule="exact"/>
              <w:rPr>
                <w:sz w:val="20"/>
                <w:szCs w:val="20"/>
                <w:color w:val="auto"/>
              </w:rPr>
            </w:pPr>
            <w:r>
              <w:rPr>
                <w:rFonts w:ascii="Arial" w:cs="Arial" w:eastAsia="Arial" w:hAnsi="Arial"/>
                <w:sz w:val="14"/>
                <w:szCs w:val="14"/>
                <w:color w:val="auto"/>
              </w:rPr>
              <w:t>General and administrative</w:t>
            </w:r>
            <w:r>
              <w:rPr>
                <w:rFonts w:ascii="Arial" w:cs="Arial" w:eastAsia="Arial" w:hAnsi="Arial"/>
                <w:sz w:val="18"/>
                <w:szCs w:val="18"/>
                <w:color w:val="auto"/>
                <w:vertAlign w:val="superscript"/>
              </w:rPr>
              <w:t>7</w:t>
            </w: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840" w:type="dxa"/>
            <w:vAlign w:val="bottom"/>
          </w:tcPr>
          <w:p>
            <w:pPr>
              <w:jc w:val="right"/>
              <w:spacing w:after="0"/>
              <w:rPr>
                <w:sz w:val="20"/>
                <w:szCs w:val="20"/>
                <w:color w:val="auto"/>
              </w:rPr>
            </w:pPr>
            <w:r>
              <w:rPr>
                <w:rFonts w:ascii="Arial" w:cs="Arial" w:eastAsia="Arial" w:hAnsi="Arial"/>
                <w:sz w:val="14"/>
                <w:szCs w:val="14"/>
                <w:color w:val="auto"/>
              </w:rPr>
              <w:t>219</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20" w:type="dxa"/>
            <w:vAlign w:val="bottom"/>
          </w:tcPr>
          <w:p>
            <w:pPr>
              <w:jc w:val="right"/>
              <w:spacing w:after="0"/>
              <w:rPr>
                <w:sz w:val="20"/>
                <w:szCs w:val="20"/>
                <w:color w:val="auto"/>
              </w:rPr>
            </w:pPr>
            <w:r>
              <w:rPr>
                <w:rFonts w:ascii="Arial" w:cs="Arial" w:eastAsia="Arial" w:hAnsi="Arial"/>
                <w:sz w:val="14"/>
                <w:szCs w:val="14"/>
                <w:color w:val="auto"/>
              </w:rPr>
              <w:t>209</w:t>
            </w:r>
          </w:p>
        </w:tc>
        <w:tc>
          <w:tcPr>
            <w:tcW w:w="2160" w:type="dxa"/>
            <w:vAlign w:val="bottom"/>
            <w:gridSpan w:val="2"/>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90"/>
        </w:trPr>
        <w:tc>
          <w:tcPr>
            <w:tcW w:w="4160" w:type="dxa"/>
            <w:vAlign w:val="bottom"/>
          </w:tcPr>
          <w:p>
            <w:pPr>
              <w:spacing w:after="0"/>
              <w:rPr>
                <w:sz w:val="20"/>
                <w:szCs w:val="20"/>
                <w:color w:val="auto"/>
              </w:rPr>
            </w:pPr>
            <w:r>
              <w:rPr>
                <w:rFonts w:ascii="Arial" w:cs="Arial" w:eastAsia="Arial" w:hAnsi="Arial"/>
                <w:sz w:val="14"/>
                <w:szCs w:val="14"/>
                <w:color w:val="auto"/>
              </w:rPr>
              <w:t>Restructuring and merger-related charges, and other</w:t>
            </w:r>
          </w:p>
        </w:tc>
        <w:tc>
          <w:tcPr>
            <w:tcW w:w="200" w:type="dxa"/>
            <w:vAlign w:val="bottom"/>
          </w:tcPr>
          <w:p>
            <w:pPr>
              <w:spacing w:after="0"/>
              <w:rPr>
                <w:sz w:val="16"/>
                <w:szCs w:val="16"/>
                <w:color w:val="auto"/>
              </w:rPr>
            </w:pPr>
          </w:p>
        </w:tc>
        <w:tc>
          <w:tcPr>
            <w:tcW w:w="1840" w:type="dxa"/>
            <w:vAlign w:val="bottom"/>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20" w:type="dxa"/>
            <w:vAlign w:val="bottom"/>
          </w:tcPr>
          <w:p>
            <w:pPr>
              <w:jc w:val="right"/>
              <w:spacing w:after="0"/>
              <w:rPr>
                <w:sz w:val="20"/>
                <w:szCs w:val="20"/>
                <w:color w:val="auto"/>
              </w:rPr>
            </w:pPr>
            <w:r>
              <w:rPr>
                <w:rFonts w:ascii="Arial" w:cs="Arial" w:eastAsia="Arial" w:hAnsi="Arial"/>
                <w:sz w:val="14"/>
                <w:szCs w:val="14"/>
                <w:color w:val="auto"/>
              </w:rPr>
              <w:t>1</w:t>
            </w:r>
          </w:p>
        </w:tc>
        <w:tc>
          <w:tcPr>
            <w:tcW w:w="2160" w:type="dxa"/>
            <w:vAlign w:val="bottom"/>
            <w:gridSpan w:val="2"/>
          </w:tcPr>
          <w:p>
            <w:pPr>
              <w:jc w:val="right"/>
              <w:spacing w:after="0"/>
              <w:rPr>
                <w:sz w:val="20"/>
                <w:szCs w:val="20"/>
                <w:color w:val="auto"/>
              </w:rPr>
            </w:pPr>
            <w:r>
              <w:rPr>
                <w:rFonts w:ascii="Arial" w:cs="Arial" w:eastAsia="Arial" w:hAnsi="Arial"/>
                <w:sz w:val="14"/>
                <w:szCs w:val="14"/>
                <w:color w:val="auto"/>
              </w:rPr>
              <w:t>(300)</w:t>
            </w:r>
          </w:p>
        </w:tc>
        <w:tc>
          <w:tcPr>
            <w:tcW w:w="0" w:type="dxa"/>
            <w:vAlign w:val="bottom"/>
          </w:tcPr>
          <w:p>
            <w:pPr>
              <w:spacing w:after="0"/>
              <w:rPr>
                <w:sz w:val="1"/>
                <w:szCs w:val="1"/>
                <w:color w:val="auto"/>
              </w:rPr>
            </w:pPr>
          </w:p>
        </w:tc>
      </w:tr>
      <w:tr>
        <w:trPr>
          <w:trHeight w:val="211"/>
        </w:trPr>
        <w:tc>
          <w:tcPr>
            <w:tcW w:w="4160" w:type="dxa"/>
            <w:vAlign w:val="bottom"/>
          </w:tcPr>
          <w:p>
            <w:pPr>
              <w:spacing w:after="0"/>
              <w:rPr>
                <w:sz w:val="20"/>
                <w:szCs w:val="20"/>
                <w:color w:val="auto"/>
              </w:rPr>
            </w:pPr>
            <w:r>
              <w:rPr>
                <w:rFonts w:ascii="Arial" w:cs="Arial" w:eastAsia="Arial" w:hAnsi="Arial"/>
                <w:sz w:val="14"/>
                <w:szCs w:val="14"/>
                <w:color w:val="auto"/>
              </w:rPr>
              <w:t>Reimbursed expenses</w:t>
            </w:r>
            <w:r>
              <w:rPr>
                <w:rFonts w:ascii="Arial" w:cs="Arial" w:eastAsia="Arial" w:hAnsi="Arial"/>
                <w:sz w:val="18"/>
                <w:szCs w:val="18"/>
                <w:color w:val="auto"/>
                <w:vertAlign w:val="superscript"/>
              </w:rPr>
              <w:t>4</w:t>
            </w:r>
          </w:p>
        </w:tc>
        <w:tc>
          <w:tcPr>
            <w:tcW w:w="20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4"/>
                <w:szCs w:val="14"/>
                <w:color w:val="auto"/>
              </w:rPr>
              <w:t>4,936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4"/>
                <w:szCs w:val="14"/>
                <w:color w:val="auto"/>
              </w:rPr>
              <w:t>4,722</w:t>
            </w:r>
          </w:p>
        </w:tc>
        <w:tc>
          <w:tcPr>
            <w:tcW w:w="2160" w:type="dxa"/>
            <w:vAlign w:val="bottom"/>
            <w:gridSpan w:val="2"/>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94"/>
        </w:trPr>
        <w:tc>
          <w:tcPr>
            <w:tcW w:w="41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8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5,590</w:t>
            </w: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8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5,315</w:t>
            </w:r>
          </w:p>
        </w:tc>
        <w:tc>
          <w:tcPr>
            <w:tcW w:w="120" w:type="dxa"/>
            <w:vAlign w:val="bottom"/>
            <w:tcBorders>
              <w:top w:val="single" w:sz="8" w:color="auto"/>
            </w:tcBorders>
          </w:tcPr>
          <w:p>
            <w:pPr>
              <w:spacing w:after="0"/>
              <w:rPr>
                <w:sz w:val="16"/>
                <w:szCs w:val="16"/>
                <w:color w:val="auto"/>
              </w:rPr>
            </w:pPr>
          </w:p>
        </w:tc>
        <w:tc>
          <w:tcPr>
            <w:tcW w:w="2040" w:type="dxa"/>
            <w:vAlign w:val="bottom"/>
          </w:tcPr>
          <w:p>
            <w:pPr>
              <w:jc w:val="right"/>
              <w:spacing w:after="0"/>
              <w:rPr>
                <w:sz w:val="20"/>
                <w:szCs w:val="20"/>
                <w:color w:val="auto"/>
              </w:rPr>
            </w:pPr>
            <w:r>
              <w:rPr>
                <w:rFonts w:ascii="Arial" w:cs="Arial" w:eastAsia="Arial" w:hAnsi="Arial"/>
                <w:sz w:val="14"/>
                <w:szCs w:val="14"/>
                <w:b w:val="1"/>
                <w:bCs w:val="1"/>
                <w:color w:val="auto"/>
              </w:rPr>
              <w:t>(5)</w:t>
            </w:r>
          </w:p>
        </w:tc>
        <w:tc>
          <w:tcPr>
            <w:tcW w:w="0" w:type="dxa"/>
            <w:vAlign w:val="bottom"/>
          </w:tcPr>
          <w:p>
            <w:pPr>
              <w:spacing w:after="0"/>
              <w:rPr>
                <w:sz w:val="1"/>
                <w:szCs w:val="1"/>
                <w:color w:val="auto"/>
              </w:rPr>
            </w:pPr>
          </w:p>
        </w:tc>
      </w:tr>
      <w:tr>
        <w:trPr>
          <w:trHeight w:val="257"/>
        </w:trPr>
        <w:tc>
          <w:tcPr>
            <w:tcW w:w="4160" w:type="dxa"/>
            <w:vAlign w:val="bottom"/>
          </w:tcPr>
          <w:p>
            <w:pPr>
              <w:spacing w:after="0"/>
              <w:rPr>
                <w:sz w:val="20"/>
                <w:szCs w:val="20"/>
                <w:color w:val="auto"/>
              </w:rPr>
            </w:pPr>
            <w:r>
              <w:rPr>
                <w:rFonts w:ascii="Arial" w:cs="Arial" w:eastAsia="Arial" w:hAnsi="Arial"/>
                <w:sz w:val="14"/>
                <w:szCs w:val="14"/>
                <w:b w:val="1"/>
                <w:bCs w:val="1"/>
                <w:color w:val="auto"/>
              </w:rPr>
              <w:t>OPERATING INCOME</w:t>
            </w:r>
          </w:p>
        </w:tc>
        <w:tc>
          <w:tcPr>
            <w:tcW w:w="200" w:type="dxa"/>
            <w:vAlign w:val="bottom"/>
          </w:tcPr>
          <w:p>
            <w:pPr>
              <w:spacing w:after="0"/>
              <w:rPr>
                <w:sz w:val="22"/>
                <w:szCs w:val="22"/>
                <w:color w:val="auto"/>
              </w:rPr>
            </w:pPr>
          </w:p>
        </w:tc>
        <w:tc>
          <w:tcPr>
            <w:tcW w:w="1840" w:type="dxa"/>
            <w:vAlign w:val="bottom"/>
          </w:tcPr>
          <w:p>
            <w:pPr>
              <w:jc w:val="right"/>
              <w:spacing w:after="0"/>
              <w:rPr>
                <w:sz w:val="20"/>
                <w:szCs w:val="20"/>
                <w:color w:val="auto"/>
              </w:rPr>
            </w:pPr>
            <w:r>
              <w:rPr>
                <w:rFonts w:ascii="Arial" w:cs="Arial" w:eastAsia="Arial" w:hAnsi="Arial"/>
                <w:sz w:val="14"/>
                <w:szCs w:val="14"/>
                <w:b w:val="1"/>
                <w:bCs w:val="1"/>
                <w:color w:val="auto"/>
              </w:rPr>
              <w:t>1,064</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20" w:type="dxa"/>
            <w:vAlign w:val="bottom"/>
          </w:tcPr>
          <w:p>
            <w:pPr>
              <w:jc w:val="right"/>
              <w:spacing w:after="0"/>
              <w:rPr>
                <w:sz w:val="20"/>
                <w:szCs w:val="20"/>
                <w:color w:val="auto"/>
              </w:rPr>
            </w:pPr>
            <w:r>
              <w:rPr>
                <w:rFonts w:ascii="Arial" w:cs="Arial" w:eastAsia="Arial" w:hAnsi="Arial"/>
                <w:sz w:val="14"/>
                <w:szCs w:val="14"/>
                <w:b w:val="1"/>
                <w:bCs w:val="1"/>
                <w:color w:val="auto"/>
              </w:rPr>
              <w:t>948</w:t>
            </w:r>
          </w:p>
        </w:tc>
        <w:tc>
          <w:tcPr>
            <w:tcW w:w="2160" w:type="dxa"/>
            <w:vAlign w:val="bottom"/>
            <w:gridSpan w:val="2"/>
          </w:tcPr>
          <w:p>
            <w:pPr>
              <w:jc w:val="right"/>
              <w:spacing w:after="0"/>
              <w:rPr>
                <w:sz w:val="20"/>
                <w:szCs w:val="20"/>
                <w:color w:val="auto"/>
              </w:rPr>
            </w:pPr>
            <w:r>
              <w:rPr>
                <w:rFonts w:ascii="Arial" w:cs="Arial" w:eastAsia="Arial" w:hAnsi="Arial"/>
                <w:sz w:val="14"/>
                <w:szCs w:val="14"/>
                <w:b w:val="1"/>
                <w:bCs w:val="1"/>
                <w:color w:val="auto"/>
              </w:rPr>
              <w:t>12</w:t>
            </w:r>
          </w:p>
        </w:tc>
        <w:tc>
          <w:tcPr>
            <w:tcW w:w="0" w:type="dxa"/>
            <w:vAlign w:val="bottom"/>
          </w:tcPr>
          <w:p>
            <w:pPr>
              <w:spacing w:after="0"/>
              <w:rPr>
                <w:sz w:val="1"/>
                <w:szCs w:val="1"/>
                <w:color w:val="auto"/>
              </w:rPr>
            </w:pPr>
          </w:p>
        </w:tc>
      </w:tr>
      <w:tr>
        <w:trPr>
          <w:trHeight w:val="263"/>
        </w:trPr>
        <w:tc>
          <w:tcPr>
            <w:tcW w:w="4160" w:type="dxa"/>
            <w:vAlign w:val="bottom"/>
          </w:tcPr>
          <w:p>
            <w:pPr>
              <w:spacing w:after="0"/>
              <w:rPr>
                <w:sz w:val="20"/>
                <w:szCs w:val="20"/>
                <w:color w:val="auto"/>
              </w:rPr>
            </w:pPr>
            <w:r>
              <w:rPr>
                <w:rFonts w:ascii="Arial" w:cs="Arial" w:eastAsia="Arial" w:hAnsi="Arial"/>
                <w:sz w:val="14"/>
                <w:szCs w:val="14"/>
                <w:color w:val="auto"/>
              </w:rPr>
              <w:t>Gains (losses) and other income, net</w:t>
            </w:r>
            <w:r>
              <w:rPr>
                <w:rFonts w:ascii="Arial" w:cs="Arial" w:eastAsia="Arial" w:hAnsi="Arial"/>
                <w:sz w:val="18"/>
                <w:szCs w:val="18"/>
                <w:color w:val="auto"/>
                <w:vertAlign w:val="superscript"/>
              </w:rPr>
              <w:t>8</w:t>
            </w:r>
          </w:p>
        </w:tc>
        <w:tc>
          <w:tcPr>
            <w:tcW w:w="200" w:type="dxa"/>
            <w:vAlign w:val="bottom"/>
          </w:tcPr>
          <w:p>
            <w:pPr>
              <w:spacing w:after="0"/>
              <w:rPr>
                <w:sz w:val="22"/>
                <w:szCs w:val="22"/>
                <w:color w:val="auto"/>
              </w:rPr>
            </w:pPr>
          </w:p>
        </w:tc>
        <w:tc>
          <w:tcPr>
            <w:tcW w:w="1840" w:type="dxa"/>
            <w:vAlign w:val="bottom"/>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20" w:type="dxa"/>
            <w:vAlign w:val="bottom"/>
          </w:tcPr>
          <w:p>
            <w:pPr>
              <w:jc w:val="right"/>
              <w:spacing w:after="0"/>
              <w:rPr>
                <w:sz w:val="20"/>
                <w:szCs w:val="20"/>
                <w:color w:val="auto"/>
              </w:rPr>
            </w:pPr>
            <w:r>
              <w:rPr>
                <w:rFonts w:ascii="Arial" w:cs="Arial" w:eastAsia="Arial" w:hAnsi="Arial"/>
                <w:sz w:val="14"/>
                <w:szCs w:val="14"/>
                <w:color w:val="auto"/>
              </w:rPr>
              <w:t>(2)</w:t>
            </w:r>
          </w:p>
        </w:tc>
        <w:tc>
          <w:tcPr>
            <w:tcW w:w="2160" w:type="dxa"/>
            <w:vAlign w:val="bottom"/>
            <w:gridSpan w:val="2"/>
          </w:tcPr>
          <w:p>
            <w:pPr>
              <w:jc w:val="right"/>
              <w:spacing w:after="0"/>
              <w:rPr>
                <w:sz w:val="20"/>
                <w:szCs w:val="20"/>
                <w:color w:val="auto"/>
              </w:rPr>
            </w:pPr>
            <w:r>
              <w:rPr>
                <w:rFonts w:ascii="Arial" w:cs="Arial" w:eastAsia="Arial" w:hAnsi="Arial"/>
                <w:sz w:val="14"/>
                <w:szCs w:val="14"/>
                <w:color w:val="auto"/>
              </w:rPr>
              <w:t>250</w:t>
            </w:r>
          </w:p>
        </w:tc>
        <w:tc>
          <w:tcPr>
            <w:tcW w:w="0" w:type="dxa"/>
            <w:vAlign w:val="bottom"/>
          </w:tcPr>
          <w:p>
            <w:pPr>
              <w:spacing w:after="0"/>
              <w:rPr>
                <w:sz w:val="1"/>
                <w:szCs w:val="1"/>
                <w:color w:val="auto"/>
              </w:rPr>
            </w:pPr>
          </w:p>
        </w:tc>
      </w:tr>
      <w:tr>
        <w:trPr>
          <w:trHeight w:val="190"/>
        </w:trPr>
        <w:tc>
          <w:tcPr>
            <w:tcW w:w="4160" w:type="dxa"/>
            <w:vAlign w:val="bottom"/>
          </w:tcPr>
          <w:p>
            <w:pPr>
              <w:spacing w:after="0"/>
              <w:rPr>
                <w:sz w:val="20"/>
                <w:szCs w:val="20"/>
                <w:color w:val="auto"/>
              </w:rPr>
            </w:pPr>
            <w:r>
              <w:rPr>
                <w:rFonts w:ascii="Arial" w:cs="Arial" w:eastAsia="Arial" w:hAnsi="Arial"/>
                <w:sz w:val="14"/>
                <w:szCs w:val="14"/>
                <w:color w:val="auto"/>
              </w:rPr>
              <w:t>Interest expense</w:t>
            </w:r>
          </w:p>
        </w:tc>
        <w:tc>
          <w:tcPr>
            <w:tcW w:w="200" w:type="dxa"/>
            <w:vAlign w:val="bottom"/>
          </w:tcPr>
          <w:p>
            <w:pPr>
              <w:spacing w:after="0"/>
              <w:rPr>
                <w:sz w:val="16"/>
                <w:szCs w:val="16"/>
                <w:color w:val="auto"/>
              </w:rPr>
            </w:pPr>
          </w:p>
        </w:tc>
        <w:tc>
          <w:tcPr>
            <w:tcW w:w="1840" w:type="dxa"/>
            <w:vAlign w:val="bottom"/>
          </w:tcPr>
          <w:p>
            <w:pPr>
              <w:jc w:val="right"/>
              <w:spacing w:after="0"/>
              <w:rPr>
                <w:sz w:val="20"/>
                <w:szCs w:val="20"/>
                <w:color w:val="auto"/>
              </w:rPr>
            </w:pPr>
            <w:r>
              <w:rPr>
                <w:rFonts w:ascii="Arial" w:cs="Arial" w:eastAsia="Arial" w:hAnsi="Arial"/>
                <w:sz w:val="14"/>
                <w:szCs w:val="14"/>
                <w:color w:val="auto"/>
              </w:rPr>
              <w:t>(214)</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20" w:type="dxa"/>
            <w:vAlign w:val="bottom"/>
          </w:tcPr>
          <w:p>
            <w:pPr>
              <w:jc w:val="right"/>
              <w:spacing w:after="0"/>
              <w:rPr>
                <w:sz w:val="20"/>
                <w:szCs w:val="20"/>
                <w:color w:val="auto"/>
              </w:rPr>
            </w:pPr>
            <w:r>
              <w:rPr>
                <w:rFonts w:ascii="Arial" w:cs="Arial" w:eastAsia="Arial" w:hAnsi="Arial"/>
                <w:sz w:val="14"/>
                <w:szCs w:val="14"/>
                <w:color w:val="auto"/>
              </w:rPr>
              <w:t>(192)</w:t>
            </w:r>
          </w:p>
        </w:tc>
        <w:tc>
          <w:tcPr>
            <w:tcW w:w="2160" w:type="dxa"/>
            <w:vAlign w:val="bottom"/>
            <w:gridSpan w:val="2"/>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03"/>
        </w:trPr>
        <w:tc>
          <w:tcPr>
            <w:tcW w:w="4160" w:type="dxa"/>
            <w:vAlign w:val="bottom"/>
          </w:tcPr>
          <w:p>
            <w:pPr>
              <w:spacing w:after="0"/>
              <w:rPr>
                <w:sz w:val="20"/>
                <w:szCs w:val="20"/>
                <w:color w:val="auto"/>
              </w:rPr>
            </w:pPr>
            <w:r>
              <w:rPr>
                <w:rFonts w:ascii="Arial" w:cs="Arial" w:eastAsia="Arial" w:hAnsi="Arial"/>
                <w:sz w:val="14"/>
                <w:szCs w:val="14"/>
                <w:color w:val="auto"/>
              </w:rPr>
              <w:t>Interest income</w:t>
            </w:r>
          </w:p>
        </w:tc>
        <w:tc>
          <w:tcPr>
            <w:tcW w:w="200" w:type="dxa"/>
            <w:vAlign w:val="bottom"/>
          </w:tcPr>
          <w:p>
            <w:pPr>
              <w:spacing w:after="0"/>
              <w:rPr>
                <w:sz w:val="17"/>
                <w:szCs w:val="17"/>
                <w:color w:val="auto"/>
              </w:rPr>
            </w:pPr>
          </w:p>
        </w:tc>
        <w:tc>
          <w:tcPr>
            <w:tcW w:w="1840" w:type="dxa"/>
            <w:vAlign w:val="bottom"/>
          </w:tcPr>
          <w:p>
            <w:pPr>
              <w:jc w:val="right"/>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20" w:type="dxa"/>
            <w:vAlign w:val="bottom"/>
          </w:tcPr>
          <w:p>
            <w:pPr>
              <w:jc w:val="right"/>
              <w:spacing w:after="0"/>
              <w:rPr>
                <w:sz w:val="20"/>
                <w:szCs w:val="20"/>
                <w:color w:val="auto"/>
              </w:rPr>
            </w:pPr>
            <w:r>
              <w:rPr>
                <w:rFonts w:ascii="Arial" w:cs="Arial" w:eastAsia="Arial" w:hAnsi="Arial"/>
                <w:sz w:val="14"/>
                <w:szCs w:val="14"/>
                <w:color w:val="auto"/>
              </w:rPr>
              <w:t>9</w:t>
            </w:r>
          </w:p>
        </w:tc>
        <w:tc>
          <w:tcPr>
            <w:tcW w:w="2160" w:type="dxa"/>
            <w:vAlign w:val="bottom"/>
            <w:gridSpan w:val="2"/>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11"/>
        </w:trPr>
        <w:tc>
          <w:tcPr>
            <w:tcW w:w="4160" w:type="dxa"/>
            <w:vAlign w:val="bottom"/>
          </w:tcPr>
          <w:p>
            <w:pPr>
              <w:spacing w:after="0"/>
              <w:rPr>
                <w:sz w:val="20"/>
                <w:szCs w:val="20"/>
                <w:color w:val="auto"/>
              </w:rPr>
            </w:pPr>
            <w:r>
              <w:rPr>
                <w:rFonts w:ascii="Arial" w:cs="Arial" w:eastAsia="Arial" w:hAnsi="Arial"/>
                <w:sz w:val="14"/>
                <w:szCs w:val="14"/>
                <w:color w:val="auto"/>
              </w:rPr>
              <w:t>Equity in (losses) earnings</w:t>
            </w:r>
            <w:r>
              <w:rPr>
                <w:rFonts w:ascii="Arial" w:cs="Arial" w:eastAsia="Arial" w:hAnsi="Arial"/>
                <w:sz w:val="18"/>
                <w:szCs w:val="18"/>
                <w:color w:val="auto"/>
                <w:vertAlign w:val="superscript"/>
              </w:rPr>
              <w:t>9</w:t>
            </w:r>
          </w:p>
        </w:tc>
        <w:tc>
          <w:tcPr>
            <w:tcW w:w="20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2160" w:type="dxa"/>
            <w:vAlign w:val="bottom"/>
            <w:gridSpan w:val="2"/>
          </w:tcPr>
          <w:p>
            <w:pPr>
              <w:jc w:val="right"/>
              <w:spacing w:after="0"/>
              <w:rPr>
                <w:sz w:val="20"/>
                <w:szCs w:val="20"/>
                <w:color w:val="auto"/>
              </w:rPr>
            </w:pPr>
            <w:r>
              <w:rPr>
                <w:rFonts w:ascii="Arial" w:cs="Arial" w:eastAsia="Arial" w:hAnsi="Arial"/>
                <w:sz w:val="14"/>
                <w:szCs w:val="14"/>
                <w:color w:val="auto"/>
              </w:rPr>
              <w:t>(600)</w:t>
            </w:r>
          </w:p>
        </w:tc>
        <w:tc>
          <w:tcPr>
            <w:tcW w:w="0" w:type="dxa"/>
            <w:vAlign w:val="bottom"/>
          </w:tcPr>
          <w:p>
            <w:pPr>
              <w:spacing w:after="0"/>
              <w:rPr>
                <w:sz w:val="1"/>
                <w:szCs w:val="1"/>
                <w:color w:val="auto"/>
              </w:rPr>
            </w:pPr>
          </w:p>
        </w:tc>
      </w:tr>
      <w:tr>
        <w:trPr>
          <w:trHeight w:val="235"/>
        </w:trPr>
        <w:tc>
          <w:tcPr>
            <w:tcW w:w="4160" w:type="dxa"/>
            <w:vAlign w:val="bottom"/>
          </w:tcPr>
          <w:p>
            <w:pPr>
              <w:spacing w:after="0"/>
              <w:rPr>
                <w:sz w:val="20"/>
                <w:szCs w:val="20"/>
                <w:color w:val="auto"/>
              </w:rPr>
            </w:pPr>
            <w:r>
              <w:rPr>
                <w:rFonts w:ascii="Arial" w:cs="Arial" w:eastAsia="Arial" w:hAnsi="Arial"/>
                <w:sz w:val="14"/>
                <w:szCs w:val="14"/>
                <w:b w:val="1"/>
                <w:bCs w:val="1"/>
                <w:color w:val="auto"/>
              </w:rPr>
              <w:t>INCOME BEFORE INCOME TAXES</w:t>
            </w:r>
          </w:p>
        </w:tc>
        <w:tc>
          <w:tcPr>
            <w:tcW w:w="20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Arial" w:cs="Arial" w:eastAsia="Arial" w:hAnsi="Arial"/>
                <w:sz w:val="14"/>
                <w:szCs w:val="14"/>
                <w:b w:val="1"/>
                <w:bCs w:val="1"/>
                <w:color w:val="auto"/>
              </w:rPr>
              <w:t>858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4"/>
                <w:szCs w:val="14"/>
                <w:b w:val="1"/>
                <w:bCs w:val="1"/>
                <w:color w:val="auto"/>
              </w:rPr>
              <w:t>764</w:t>
            </w:r>
          </w:p>
        </w:tc>
        <w:tc>
          <w:tcPr>
            <w:tcW w:w="2160" w:type="dxa"/>
            <w:vAlign w:val="bottom"/>
            <w:gridSpan w:val="2"/>
          </w:tcPr>
          <w:p>
            <w:pPr>
              <w:jc w:val="right"/>
              <w:spacing w:after="0"/>
              <w:rPr>
                <w:sz w:val="20"/>
                <w:szCs w:val="20"/>
                <w:color w:val="auto"/>
              </w:rPr>
            </w:pPr>
            <w:r>
              <w:rPr>
                <w:rFonts w:ascii="Arial" w:cs="Arial" w:eastAsia="Arial" w:hAnsi="Arial"/>
                <w:sz w:val="14"/>
                <w:szCs w:val="14"/>
                <w:b w:val="1"/>
                <w:bCs w:val="1"/>
                <w:color w:val="auto"/>
              </w:rPr>
              <w:t>12</w:t>
            </w:r>
          </w:p>
        </w:tc>
        <w:tc>
          <w:tcPr>
            <w:tcW w:w="0" w:type="dxa"/>
            <w:vAlign w:val="bottom"/>
          </w:tcPr>
          <w:p>
            <w:pPr>
              <w:spacing w:after="0"/>
              <w:rPr>
                <w:sz w:val="1"/>
                <w:szCs w:val="1"/>
                <w:color w:val="auto"/>
              </w:rPr>
            </w:pPr>
          </w:p>
        </w:tc>
      </w:tr>
      <w:tr>
        <w:trPr>
          <w:trHeight w:val="254"/>
        </w:trPr>
        <w:tc>
          <w:tcPr>
            <w:tcW w:w="4160" w:type="dxa"/>
            <w:vAlign w:val="bottom"/>
          </w:tcPr>
          <w:p>
            <w:pPr>
              <w:spacing w:after="0"/>
              <w:rPr>
                <w:sz w:val="20"/>
                <w:szCs w:val="20"/>
                <w:color w:val="auto"/>
              </w:rPr>
            </w:pPr>
            <w:r>
              <w:rPr>
                <w:rFonts w:ascii="Arial" w:cs="Arial" w:eastAsia="Arial" w:hAnsi="Arial"/>
                <w:sz w:val="14"/>
                <w:szCs w:val="14"/>
                <w:color w:val="auto"/>
              </w:rPr>
              <w:t>Provision for income taxes</w:t>
            </w:r>
          </w:p>
        </w:tc>
        <w:tc>
          <w:tcPr>
            <w:tcW w:w="200" w:type="dxa"/>
            <w:vAlign w:val="bottom"/>
            <w:tcBorders>
              <w:bottom w:val="single" w:sz="8" w:color="auto"/>
            </w:tcBorders>
          </w:tcPr>
          <w:p>
            <w:pPr>
              <w:spacing w:after="0"/>
              <w:rPr>
                <w:sz w:val="22"/>
                <w:szCs w:val="22"/>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(210)</w:t>
            </w: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w:t>
            </w:r>
          </w:p>
        </w:tc>
        <w:tc>
          <w:tcPr>
            <w:tcW w:w="2160" w:type="dxa"/>
            <w:vAlign w:val="bottom"/>
            <w:gridSpan w:val="2"/>
          </w:tcPr>
          <w:p>
            <w:pPr>
              <w:jc w:val="right"/>
              <w:spacing w:after="0"/>
              <w:rPr>
                <w:sz w:val="20"/>
                <w:szCs w:val="20"/>
                <w:color w:val="auto"/>
              </w:rPr>
            </w:pPr>
            <w:r>
              <w:rPr>
                <w:rFonts w:ascii="Arial" w:cs="Arial" w:eastAsia="Arial" w:hAnsi="Arial"/>
                <w:sz w:val="14"/>
                <w:szCs w:val="14"/>
                <w:color w:val="auto"/>
              </w:rPr>
              <w:t>(112)</w:t>
            </w:r>
          </w:p>
        </w:tc>
        <w:tc>
          <w:tcPr>
            <w:tcW w:w="0" w:type="dxa"/>
            <w:vAlign w:val="bottom"/>
          </w:tcPr>
          <w:p>
            <w:pPr>
              <w:spacing w:after="0"/>
              <w:rPr>
                <w:sz w:val="1"/>
                <w:szCs w:val="1"/>
                <w:color w:val="auto"/>
              </w:rPr>
            </w:pPr>
          </w:p>
        </w:tc>
      </w:tr>
      <w:tr>
        <w:trPr>
          <w:trHeight w:val="240"/>
        </w:trPr>
        <w:tc>
          <w:tcPr>
            <w:tcW w:w="4160" w:type="dxa"/>
            <w:vAlign w:val="bottom"/>
          </w:tcPr>
          <w:p>
            <w:pPr>
              <w:spacing w:after="0"/>
              <w:rPr>
                <w:sz w:val="20"/>
                <w:szCs w:val="20"/>
                <w:color w:val="auto"/>
              </w:rPr>
            </w:pPr>
            <w:r>
              <w:rPr>
                <w:rFonts w:ascii="Arial" w:cs="Arial" w:eastAsia="Arial" w:hAnsi="Arial"/>
                <w:sz w:val="14"/>
                <w:szCs w:val="14"/>
                <w:b w:val="1"/>
                <w:bCs w:val="1"/>
                <w:color w:val="auto"/>
              </w:rPr>
              <w:t>NET INCOME</w:t>
            </w: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648</w:t>
            </w:r>
          </w:p>
        </w:tc>
        <w:tc>
          <w:tcPr>
            <w:tcW w:w="120" w:type="dxa"/>
            <w:vAlign w:val="bottom"/>
          </w:tcPr>
          <w:p>
            <w:pPr>
              <w:spacing w:after="0"/>
              <w:rPr>
                <w:sz w:val="20"/>
                <w:szCs w:val="20"/>
                <w:color w:val="auto"/>
              </w:rPr>
            </w:pP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76"/>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665</w:t>
            </w:r>
          </w:p>
        </w:tc>
        <w:tc>
          <w:tcPr>
            <w:tcW w:w="2160" w:type="dxa"/>
            <w:vAlign w:val="bottom"/>
            <w:gridSpan w:val="2"/>
          </w:tcPr>
          <w:p>
            <w:pPr>
              <w:jc w:val="right"/>
              <w:spacing w:after="0"/>
              <w:rPr>
                <w:sz w:val="20"/>
                <w:szCs w:val="20"/>
                <w:color w:val="auto"/>
              </w:rPr>
            </w:pPr>
            <w:r>
              <w:rPr>
                <w:rFonts w:ascii="Arial" w:cs="Arial" w:eastAsia="Arial" w:hAnsi="Arial"/>
                <w:sz w:val="14"/>
                <w:szCs w:val="14"/>
                <w:b w:val="1"/>
                <w:bCs w:val="1"/>
                <w:color w:val="auto"/>
              </w:rPr>
              <w:t>(3)</w:t>
            </w:r>
          </w:p>
        </w:tc>
        <w:tc>
          <w:tcPr>
            <w:tcW w:w="0" w:type="dxa"/>
            <w:vAlign w:val="bottom"/>
          </w:tcPr>
          <w:p>
            <w:pPr>
              <w:spacing w:after="0"/>
              <w:rPr>
                <w:sz w:val="1"/>
                <w:szCs w:val="1"/>
                <w:color w:val="auto"/>
              </w:rPr>
            </w:pPr>
          </w:p>
        </w:tc>
      </w:tr>
      <w:tr>
        <w:trPr>
          <w:trHeight w:val="20"/>
        </w:trPr>
        <w:tc>
          <w:tcPr>
            <w:tcW w:w="4160" w:type="dxa"/>
            <w:vAlign w:val="bottom"/>
            <w:vMerge w:val="restart"/>
          </w:tcPr>
          <w:p>
            <w:pPr>
              <w:spacing w:after="0"/>
              <w:rPr>
                <w:sz w:val="20"/>
                <w:szCs w:val="20"/>
                <w:color w:val="auto"/>
              </w:rPr>
            </w:pPr>
            <w:r>
              <w:rPr>
                <w:rFonts w:ascii="Arial" w:cs="Arial" w:eastAsia="Arial" w:hAnsi="Arial"/>
                <w:sz w:val="14"/>
                <w:szCs w:val="14"/>
                <w:b w:val="1"/>
                <w:bCs w:val="1"/>
                <w:color w:val="auto"/>
              </w:rPr>
              <w:t>EARNINGS PER SHARE</w:t>
            </w:r>
          </w:p>
        </w:tc>
        <w:tc>
          <w:tcPr>
            <w:tcW w:w="2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1"/>
        </w:trPr>
        <w:tc>
          <w:tcPr>
            <w:tcW w:w="416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4160" w:type="dxa"/>
            <w:vAlign w:val="bottom"/>
          </w:tcPr>
          <w:p>
            <w:pPr>
              <w:ind w:left="220"/>
              <w:spacing w:after="0"/>
              <w:rPr>
                <w:sz w:val="20"/>
                <w:szCs w:val="20"/>
                <w:color w:val="auto"/>
              </w:rPr>
            </w:pPr>
            <w:r>
              <w:rPr>
                <w:rFonts w:ascii="Arial" w:cs="Arial" w:eastAsia="Arial" w:hAnsi="Arial"/>
                <w:sz w:val="14"/>
                <w:szCs w:val="14"/>
                <w:color w:val="auto"/>
              </w:rPr>
              <w:t>Earnings per share - basic</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40" w:type="dxa"/>
            <w:vAlign w:val="bottom"/>
          </w:tcPr>
          <w:p>
            <w:pPr>
              <w:jc w:val="right"/>
              <w:spacing w:after="0"/>
              <w:rPr>
                <w:sz w:val="20"/>
                <w:szCs w:val="20"/>
                <w:color w:val="auto"/>
              </w:rPr>
            </w:pPr>
            <w:r>
              <w:rPr>
                <w:rFonts w:ascii="Arial" w:cs="Arial" w:eastAsia="Arial" w:hAnsi="Arial"/>
                <w:sz w:val="14"/>
                <w:szCs w:val="14"/>
                <w:color w:val="auto"/>
              </w:rPr>
              <w:t>2.44</w:t>
            </w:r>
          </w:p>
        </w:tc>
        <w:tc>
          <w:tcPr>
            <w:tcW w:w="120" w:type="dxa"/>
            <w:vAlign w:val="bottom"/>
          </w:tcPr>
          <w:p>
            <w:pPr>
              <w:spacing w:after="0"/>
              <w:rPr>
                <w:sz w:val="17"/>
                <w:szCs w:val="17"/>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820" w:type="dxa"/>
            <w:vAlign w:val="bottom"/>
          </w:tcPr>
          <w:p>
            <w:pPr>
              <w:jc w:val="right"/>
              <w:spacing w:after="0"/>
              <w:rPr>
                <w:sz w:val="20"/>
                <w:szCs w:val="20"/>
                <w:color w:val="auto"/>
              </w:rPr>
            </w:pPr>
            <w:r>
              <w:rPr>
                <w:rFonts w:ascii="Arial" w:cs="Arial" w:eastAsia="Arial" w:hAnsi="Arial"/>
                <w:sz w:val="14"/>
                <w:szCs w:val="14"/>
                <w:color w:val="auto"/>
              </w:rPr>
              <w:t>2.40</w:t>
            </w:r>
          </w:p>
        </w:tc>
        <w:tc>
          <w:tcPr>
            <w:tcW w:w="2160" w:type="dxa"/>
            <w:vAlign w:val="bottom"/>
            <w:gridSpan w:val="2"/>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03"/>
        </w:trPr>
        <w:tc>
          <w:tcPr>
            <w:tcW w:w="4160" w:type="dxa"/>
            <w:vAlign w:val="bottom"/>
          </w:tcPr>
          <w:p>
            <w:pPr>
              <w:ind w:left="220"/>
              <w:spacing w:after="0"/>
              <w:rPr>
                <w:sz w:val="20"/>
                <w:szCs w:val="20"/>
                <w:color w:val="auto"/>
              </w:rPr>
            </w:pPr>
            <w:r>
              <w:rPr>
                <w:rFonts w:ascii="Arial" w:cs="Arial" w:eastAsia="Arial" w:hAnsi="Arial"/>
                <w:sz w:val="14"/>
                <w:szCs w:val="14"/>
                <w:color w:val="auto"/>
              </w:rPr>
              <w:t>Earnings per share - diluted</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40" w:type="dxa"/>
            <w:vAlign w:val="bottom"/>
          </w:tcPr>
          <w:p>
            <w:pPr>
              <w:jc w:val="right"/>
              <w:spacing w:after="0"/>
              <w:rPr>
                <w:sz w:val="20"/>
                <w:szCs w:val="20"/>
                <w:color w:val="auto"/>
              </w:rPr>
            </w:pPr>
            <w:r>
              <w:rPr>
                <w:rFonts w:ascii="Arial" w:cs="Arial" w:eastAsia="Arial" w:hAnsi="Arial"/>
                <w:sz w:val="14"/>
                <w:szCs w:val="14"/>
                <w:color w:val="auto"/>
              </w:rPr>
              <w:t>2.43</w:t>
            </w:r>
          </w:p>
        </w:tc>
        <w:tc>
          <w:tcPr>
            <w:tcW w:w="120" w:type="dxa"/>
            <w:vAlign w:val="bottom"/>
          </w:tcPr>
          <w:p>
            <w:pPr>
              <w:spacing w:after="0"/>
              <w:rPr>
                <w:sz w:val="17"/>
                <w:szCs w:val="17"/>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820" w:type="dxa"/>
            <w:vAlign w:val="bottom"/>
          </w:tcPr>
          <w:p>
            <w:pPr>
              <w:jc w:val="right"/>
              <w:spacing w:after="0"/>
              <w:rPr>
                <w:sz w:val="20"/>
                <w:szCs w:val="20"/>
                <w:color w:val="auto"/>
              </w:rPr>
            </w:pPr>
            <w:r>
              <w:rPr>
                <w:rFonts w:ascii="Arial" w:cs="Arial" w:eastAsia="Arial" w:hAnsi="Arial"/>
                <w:sz w:val="14"/>
                <w:szCs w:val="14"/>
                <w:color w:val="auto"/>
              </w:rPr>
              <w:t>2.39</w:t>
            </w:r>
          </w:p>
        </w:tc>
        <w:tc>
          <w:tcPr>
            <w:tcW w:w="2160" w:type="dxa"/>
            <w:vAlign w:val="bottom"/>
            <w:gridSpan w:val="2"/>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57"/>
        </w:trPr>
        <w:tc>
          <w:tcPr>
            <w:tcW w:w="4160" w:type="dxa"/>
            <w:vAlign w:val="bottom"/>
          </w:tcPr>
          <w:p>
            <w:pPr>
              <w:spacing w:after="0"/>
              <w:rPr>
                <w:sz w:val="20"/>
                <w:szCs w:val="20"/>
                <w:color w:val="auto"/>
              </w:rPr>
            </w:pPr>
            <w:r>
              <w:rPr>
                <w:rFonts w:ascii="Arial" w:cs="Arial" w:eastAsia="Arial" w:hAnsi="Arial"/>
                <w:sz w:val="14"/>
                <w:szCs w:val="14"/>
                <w:color w:val="auto"/>
              </w:rPr>
              <w:t>Basic shares (in millions)</w:t>
            </w:r>
          </w:p>
        </w:tc>
        <w:tc>
          <w:tcPr>
            <w:tcW w:w="200" w:type="dxa"/>
            <w:vAlign w:val="bottom"/>
          </w:tcPr>
          <w:p>
            <w:pPr>
              <w:spacing w:after="0"/>
              <w:rPr>
                <w:sz w:val="22"/>
                <w:szCs w:val="22"/>
                <w:color w:val="auto"/>
              </w:rPr>
            </w:pPr>
          </w:p>
        </w:tc>
        <w:tc>
          <w:tcPr>
            <w:tcW w:w="1840" w:type="dxa"/>
            <w:vAlign w:val="bottom"/>
          </w:tcPr>
          <w:p>
            <w:pPr>
              <w:jc w:val="right"/>
              <w:spacing w:after="0"/>
              <w:rPr>
                <w:sz w:val="20"/>
                <w:szCs w:val="20"/>
                <w:color w:val="auto"/>
              </w:rPr>
            </w:pPr>
            <w:r>
              <w:rPr>
                <w:rFonts w:ascii="Arial" w:cs="Arial" w:eastAsia="Arial" w:hAnsi="Arial"/>
                <w:sz w:val="14"/>
                <w:szCs w:val="14"/>
                <w:color w:val="auto"/>
              </w:rPr>
              <w:t>266.1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20" w:type="dxa"/>
            <w:vAlign w:val="bottom"/>
          </w:tcPr>
          <w:p>
            <w:pPr>
              <w:jc w:val="right"/>
              <w:spacing w:after="0"/>
              <w:rPr>
                <w:sz w:val="20"/>
                <w:szCs w:val="20"/>
                <w:color w:val="auto"/>
              </w:rPr>
            </w:pPr>
            <w:r>
              <w:rPr>
                <w:rFonts w:ascii="Arial" w:cs="Arial" w:eastAsia="Arial" w:hAnsi="Arial"/>
                <w:sz w:val="14"/>
                <w:szCs w:val="14"/>
                <w:color w:val="auto"/>
              </w:rPr>
              <w:t>276.9</w:t>
            </w:r>
          </w:p>
        </w:tc>
        <w:tc>
          <w:tcPr>
            <w:tcW w:w="12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4160" w:type="dxa"/>
            <w:vAlign w:val="bottom"/>
          </w:tcPr>
          <w:p>
            <w:pPr>
              <w:spacing w:after="0"/>
              <w:rPr>
                <w:sz w:val="20"/>
                <w:szCs w:val="20"/>
                <w:color w:val="auto"/>
              </w:rPr>
            </w:pPr>
            <w:r>
              <w:rPr>
                <w:rFonts w:ascii="Arial" w:cs="Arial" w:eastAsia="Arial" w:hAnsi="Arial"/>
                <w:sz w:val="14"/>
                <w:szCs w:val="14"/>
                <w:color w:val="auto"/>
              </w:rPr>
              <w:t>Diluted shares (in millions)</w:t>
            </w:r>
          </w:p>
        </w:tc>
        <w:tc>
          <w:tcPr>
            <w:tcW w:w="200" w:type="dxa"/>
            <w:vAlign w:val="bottom"/>
          </w:tcPr>
          <w:p>
            <w:pPr>
              <w:spacing w:after="0"/>
              <w:rPr>
                <w:sz w:val="17"/>
                <w:szCs w:val="17"/>
                <w:color w:val="auto"/>
              </w:rPr>
            </w:pPr>
          </w:p>
        </w:tc>
        <w:tc>
          <w:tcPr>
            <w:tcW w:w="1840" w:type="dxa"/>
            <w:vAlign w:val="bottom"/>
          </w:tcPr>
          <w:p>
            <w:pPr>
              <w:jc w:val="right"/>
              <w:spacing w:after="0"/>
              <w:rPr>
                <w:sz w:val="20"/>
                <w:szCs w:val="20"/>
                <w:color w:val="auto"/>
              </w:rPr>
            </w:pPr>
            <w:r>
              <w:rPr>
                <w:rFonts w:ascii="Arial" w:cs="Arial" w:eastAsia="Arial" w:hAnsi="Arial"/>
                <w:sz w:val="14"/>
                <w:szCs w:val="14"/>
                <w:color w:val="auto"/>
              </w:rPr>
              <w:t>266.8</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20" w:type="dxa"/>
            <w:vAlign w:val="bottom"/>
          </w:tcPr>
          <w:p>
            <w:pPr>
              <w:jc w:val="right"/>
              <w:spacing w:after="0"/>
              <w:rPr>
                <w:sz w:val="20"/>
                <w:szCs w:val="20"/>
                <w:color w:val="auto"/>
              </w:rPr>
            </w:pPr>
            <w:r>
              <w:rPr>
                <w:rFonts w:ascii="Arial" w:cs="Arial" w:eastAsia="Arial" w:hAnsi="Arial"/>
                <w:sz w:val="14"/>
                <w:szCs w:val="14"/>
                <w:color w:val="auto"/>
              </w:rPr>
              <w:t>277.7</w:t>
            </w:r>
          </w:p>
        </w:tc>
        <w:tc>
          <w:tcPr>
            <w:tcW w:w="1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66" w:lineRule="exact"/>
        <w:rPr>
          <w:sz w:val="20"/>
          <w:szCs w:val="20"/>
          <w:color w:val="auto"/>
        </w:rPr>
      </w:pPr>
    </w:p>
    <w:p>
      <w:pPr>
        <w:ind w:left="3" w:right="120" w:hanging="3"/>
        <w:spacing w:after="0" w:line="252" w:lineRule="auto"/>
        <w:tabs>
          <w:tab w:leader="none" w:pos="99"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2025 first quarter reflects the reclassification of $36 million of other expenses previously reported under the “General, administrative, and other” caption to the “Owned, leased, and other expense” caption of our Income Statements to conform to our current presentation.</w:t>
      </w:r>
    </w:p>
    <w:p>
      <w:pPr>
        <w:spacing w:after="0" w:line="1" w:lineRule="exact"/>
        <w:rPr>
          <w:sz w:val="20"/>
          <w:szCs w:val="20"/>
          <w:color w:val="auto"/>
        </w:rPr>
      </w:pPr>
    </w:p>
    <w:p>
      <w:pPr>
        <w:ind w:left="3" w:right="80" w:hanging="3"/>
        <w:spacing w:after="0" w:line="213" w:lineRule="auto"/>
        <w:tabs>
          <w:tab w:leader="none" w:pos="95" w:val="left"/>
        </w:tabs>
        <w:numPr>
          <w:ilvl w:val="0"/>
          <w:numId w:val="6"/>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 xml:space="preserve">Franchise fees </w:t>
      </w:r>
      <w:r>
        <w:rPr>
          <w:rFonts w:ascii="Arial" w:cs="Arial" w:eastAsia="Arial" w:hAnsi="Arial"/>
          <w:sz w:val="14"/>
          <w:szCs w:val="14"/>
          <w:color w:val="auto"/>
        </w:rPr>
        <w:t>include fees from our franchise and license agreements for lodging properties (including our timeshare properties), application and relicensing fees,</w:t>
      </w:r>
      <w:r>
        <w:rPr>
          <w:rFonts w:ascii="Arial" w:cs="Arial" w:eastAsia="Arial" w:hAnsi="Arial"/>
          <w:sz w:val="14"/>
          <w:szCs w:val="14"/>
          <w:i w:val="1"/>
          <w:iCs w:val="1"/>
          <w:color w:val="auto"/>
        </w:rPr>
        <w:t xml:space="preserve"> </w:t>
      </w:r>
      <w:r>
        <w:rPr>
          <w:rFonts w:ascii="Arial" w:cs="Arial" w:eastAsia="Arial" w:hAnsi="Arial"/>
          <w:sz w:val="14"/>
          <w:szCs w:val="14"/>
          <w:color w:val="auto"/>
        </w:rPr>
        <w:t>co-branded credit card fees, residential branding fees, and other brand-related fees.</w:t>
      </w:r>
    </w:p>
    <w:p>
      <w:pPr>
        <w:ind w:left="83" w:hanging="83"/>
        <w:spacing w:after="0" w:line="223" w:lineRule="auto"/>
        <w:tabs>
          <w:tab w:leader="none" w:pos="83" w:val="left"/>
        </w:tabs>
        <w:numPr>
          <w:ilvl w:val="0"/>
          <w:numId w:val="7"/>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 xml:space="preserve">Contract investment amortization </w:t>
      </w:r>
      <w:r>
        <w:rPr>
          <w:rFonts w:ascii="Arial" w:cs="Arial" w:eastAsia="Arial" w:hAnsi="Arial"/>
          <w:sz w:val="14"/>
          <w:szCs w:val="14"/>
          <w:color w:val="auto"/>
        </w:rPr>
        <w:t>includes amortization of capitalized costs to obtain contracts with customers and any related impairments.</w:t>
      </w:r>
    </w:p>
    <w:p>
      <w:pPr>
        <w:spacing w:after="0" w:line="26" w:lineRule="exact"/>
        <w:rPr>
          <w:rFonts w:ascii="Arial" w:cs="Arial" w:eastAsia="Arial" w:hAnsi="Arial"/>
          <w:sz w:val="19"/>
          <w:szCs w:val="19"/>
          <w:i w:val="1"/>
          <w:iCs w:val="1"/>
          <w:color w:val="auto"/>
          <w:vertAlign w:val="superscript"/>
        </w:rPr>
      </w:pPr>
    </w:p>
    <w:p>
      <w:pPr>
        <w:ind w:left="3"/>
        <w:spacing w:after="0" w:line="225" w:lineRule="auto"/>
        <w:rPr>
          <w:rFonts w:ascii="Arial" w:cs="Arial" w:eastAsia="Arial" w:hAnsi="Arial"/>
          <w:sz w:val="19"/>
          <w:szCs w:val="19"/>
          <w:i w:val="1"/>
          <w:iCs w:val="1"/>
          <w:color w:val="auto"/>
          <w:vertAlign w:val="superscript"/>
        </w:rPr>
      </w:pPr>
      <w:r>
        <w:rPr>
          <w:rFonts w:ascii="Arial" w:cs="Arial" w:eastAsia="Arial" w:hAnsi="Arial"/>
          <w:sz w:val="18"/>
          <w:szCs w:val="18"/>
          <w:i w:val="1"/>
          <w:iCs w:val="1"/>
          <w:color w:val="auto"/>
          <w:vertAlign w:val="superscript"/>
        </w:rPr>
        <w:t>3</w:t>
      </w:r>
      <w:r>
        <w:rPr>
          <w:rFonts w:ascii="Arial" w:cs="Arial" w:eastAsia="Arial" w:hAnsi="Arial"/>
          <w:sz w:val="14"/>
          <w:szCs w:val="14"/>
          <w:i w:val="1"/>
          <w:iCs w:val="1"/>
          <w:color w:val="auto"/>
        </w:rPr>
        <w:t xml:space="preserve"> Owned, leased, and other revenue </w:t>
      </w:r>
      <w:r>
        <w:rPr>
          <w:rFonts w:ascii="Arial" w:cs="Arial" w:eastAsia="Arial" w:hAnsi="Arial"/>
          <w:sz w:val="14"/>
          <w:szCs w:val="14"/>
          <w:color w:val="auto"/>
        </w:rPr>
        <w:t>includes revenue from the properties we own or lease, termination fees, and other revenue.</w:t>
      </w:r>
    </w:p>
    <w:p>
      <w:pPr>
        <w:jc w:val="both"/>
        <w:ind w:left="3" w:right="20" w:hanging="3"/>
        <w:spacing w:after="0" w:line="213" w:lineRule="auto"/>
        <w:tabs>
          <w:tab w:leader="none" w:pos="81" w:val="left"/>
        </w:tabs>
        <w:numPr>
          <w:ilvl w:val="0"/>
          <w:numId w:val="8"/>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 xml:space="preserve">Cost reimbursement revenue </w:t>
      </w:r>
      <w:r>
        <w:rPr>
          <w:rFonts w:ascii="Arial" w:cs="Arial" w:eastAsia="Arial" w:hAnsi="Arial"/>
          <w:sz w:val="14"/>
          <w:szCs w:val="14"/>
          <w:color w:val="auto"/>
        </w:rPr>
        <w:t>includes reimbursements from hotel owners and certain other counterparties for property-level and centralized programs and services</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that we operate for their benefit. </w:t>
      </w:r>
      <w:r>
        <w:rPr>
          <w:rFonts w:ascii="Arial" w:cs="Arial" w:eastAsia="Arial" w:hAnsi="Arial"/>
          <w:sz w:val="14"/>
          <w:szCs w:val="14"/>
          <w:i w:val="1"/>
          <w:iCs w:val="1"/>
          <w:color w:val="auto"/>
        </w:rPr>
        <w:t>Reimbursed expenses</w:t>
      </w:r>
      <w:r>
        <w:rPr>
          <w:rFonts w:ascii="Arial" w:cs="Arial" w:eastAsia="Arial" w:hAnsi="Arial"/>
          <w:sz w:val="14"/>
          <w:szCs w:val="14"/>
          <w:color w:val="auto"/>
        </w:rPr>
        <w:t xml:space="preserve"> include costs incurred by Marriott for certain property-level operating expenses and centralized programs and services that we operate for the benefit of our hotel owners and certain other counterparties.</w:t>
      </w:r>
    </w:p>
    <w:p>
      <w:pPr>
        <w:spacing w:after="0" w:line="2" w:lineRule="exact"/>
        <w:rPr>
          <w:sz w:val="20"/>
          <w:szCs w:val="20"/>
          <w:color w:val="auto"/>
        </w:rPr>
      </w:pPr>
    </w:p>
    <w:p>
      <w:pPr>
        <w:ind w:left="3" w:right="160" w:hanging="3"/>
        <w:spacing w:after="0" w:line="215" w:lineRule="auto"/>
        <w:tabs>
          <w:tab w:leader="none" w:pos="81" w:val="left"/>
        </w:tabs>
        <w:numPr>
          <w:ilvl w:val="0"/>
          <w:numId w:val="9"/>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 xml:space="preserve">Owned, leased, and other expense </w:t>
      </w:r>
      <w:r>
        <w:rPr>
          <w:rFonts w:ascii="Arial" w:cs="Arial" w:eastAsia="Arial" w:hAnsi="Arial"/>
          <w:sz w:val="14"/>
          <w:szCs w:val="14"/>
          <w:color w:val="auto"/>
        </w:rPr>
        <w:t>includes operating expenses related to our owned or leased hotels, including lease payments and pre-opening expenses, and</w:t>
      </w:r>
      <w:r>
        <w:rPr>
          <w:rFonts w:ascii="Arial" w:cs="Arial" w:eastAsia="Arial" w:hAnsi="Arial"/>
          <w:sz w:val="14"/>
          <w:szCs w:val="14"/>
          <w:i w:val="1"/>
          <w:iCs w:val="1"/>
          <w:color w:val="auto"/>
        </w:rPr>
        <w:t xml:space="preserve"> </w:t>
      </w:r>
      <w:r>
        <w:rPr>
          <w:rFonts w:ascii="Arial" w:cs="Arial" w:eastAsia="Arial" w:hAnsi="Arial"/>
          <w:sz w:val="14"/>
          <w:szCs w:val="14"/>
          <w:color w:val="auto"/>
        </w:rPr>
        <w:t>other expenses, such as expenses related to our Global Design services, certain costs associated with our property-related fee revenues (such as guarantee expense, provision for credit losses, and certain brand-related or property-related expenses), and costs associated with certain third-party agreements.</w:t>
      </w:r>
    </w:p>
    <w:p>
      <w:pPr>
        <w:spacing w:after="0" w:line="2" w:lineRule="exact"/>
        <w:rPr>
          <w:sz w:val="20"/>
          <w:szCs w:val="20"/>
          <w:color w:val="auto"/>
        </w:rPr>
      </w:pPr>
    </w:p>
    <w:p>
      <w:pPr>
        <w:ind w:left="3" w:right="20" w:hanging="3"/>
        <w:spacing w:after="0" w:line="213" w:lineRule="auto"/>
        <w:tabs>
          <w:tab w:leader="none" w:pos="81" w:val="left"/>
        </w:tabs>
        <w:numPr>
          <w:ilvl w:val="0"/>
          <w:numId w:val="10"/>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 xml:space="preserve">Depreciation, amortization, and other </w:t>
      </w:r>
      <w:r>
        <w:rPr>
          <w:rFonts w:ascii="Arial" w:cs="Arial" w:eastAsia="Arial" w:hAnsi="Arial"/>
          <w:sz w:val="14"/>
          <w:szCs w:val="14"/>
          <w:color w:val="auto"/>
        </w:rPr>
        <w:t>expenses include depreciation for fixed assets, amortization of acquired contracts, software, and other definite-lived intangible</w:t>
      </w:r>
      <w:r>
        <w:rPr>
          <w:rFonts w:ascii="Arial" w:cs="Arial" w:eastAsia="Arial" w:hAnsi="Arial"/>
          <w:sz w:val="14"/>
          <w:szCs w:val="14"/>
          <w:i w:val="1"/>
          <w:iCs w:val="1"/>
          <w:color w:val="auto"/>
        </w:rPr>
        <w:t xml:space="preserve"> </w:t>
      </w:r>
      <w:r>
        <w:rPr>
          <w:rFonts w:ascii="Arial" w:cs="Arial" w:eastAsia="Arial" w:hAnsi="Arial"/>
          <w:sz w:val="14"/>
          <w:szCs w:val="14"/>
          <w:color w:val="auto"/>
        </w:rPr>
        <w:t>assets, and any related impairments, accelerations, or write-offs.</w:t>
      </w:r>
    </w:p>
    <w:p>
      <w:pPr>
        <w:ind w:left="83" w:hanging="83"/>
        <w:spacing w:after="0" w:line="223" w:lineRule="auto"/>
        <w:tabs>
          <w:tab w:leader="none" w:pos="83" w:val="left"/>
        </w:tabs>
        <w:numPr>
          <w:ilvl w:val="0"/>
          <w:numId w:val="11"/>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 xml:space="preserve">General and administrative </w:t>
      </w:r>
      <w:r>
        <w:rPr>
          <w:rFonts w:ascii="Arial" w:cs="Arial" w:eastAsia="Arial" w:hAnsi="Arial"/>
          <w:sz w:val="14"/>
          <w:szCs w:val="14"/>
          <w:color w:val="auto"/>
        </w:rPr>
        <w:t>expenses include our corporate and business segments overhead costs and general expenses.</w:t>
      </w:r>
    </w:p>
    <w:p>
      <w:pPr>
        <w:spacing w:after="0" w:line="18" w:lineRule="exact"/>
        <w:rPr>
          <w:sz w:val="20"/>
          <w:szCs w:val="20"/>
          <w:color w:val="auto"/>
        </w:rPr>
      </w:pPr>
    </w:p>
    <w:p>
      <w:pPr>
        <w:ind w:left="3" w:right="40" w:hanging="3"/>
        <w:spacing w:after="0" w:line="210" w:lineRule="auto"/>
        <w:tabs>
          <w:tab w:leader="none" w:pos="81" w:val="left"/>
        </w:tabs>
        <w:numPr>
          <w:ilvl w:val="0"/>
          <w:numId w:val="12"/>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 xml:space="preserve">Gains (losses) and other income, net </w:t>
      </w:r>
      <w:r>
        <w:rPr>
          <w:rFonts w:ascii="Arial" w:cs="Arial" w:eastAsia="Arial" w:hAnsi="Arial"/>
          <w:sz w:val="14"/>
          <w:szCs w:val="14"/>
          <w:color w:val="auto"/>
        </w:rPr>
        <w:t>includes gains and losses on the sale of real estate, the sale of joint venture interests and other investments, and adjustments</w:t>
      </w:r>
      <w:r>
        <w:rPr>
          <w:rFonts w:ascii="Arial" w:cs="Arial" w:eastAsia="Arial" w:hAnsi="Arial"/>
          <w:sz w:val="14"/>
          <w:szCs w:val="14"/>
          <w:i w:val="1"/>
          <w:iCs w:val="1"/>
          <w:color w:val="auto"/>
        </w:rPr>
        <w:t xml:space="preserve"> </w:t>
      </w:r>
      <w:r>
        <w:rPr>
          <w:rFonts w:ascii="Arial" w:cs="Arial" w:eastAsia="Arial" w:hAnsi="Arial"/>
          <w:sz w:val="14"/>
          <w:szCs w:val="14"/>
          <w:color w:val="auto"/>
        </w:rPr>
        <w:t>from other equity investments.</w:t>
      </w:r>
    </w:p>
    <w:p>
      <w:pPr>
        <w:ind w:left="83" w:hanging="83"/>
        <w:spacing w:after="0" w:line="223" w:lineRule="auto"/>
        <w:tabs>
          <w:tab w:leader="none" w:pos="83" w:val="left"/>
        </w:tabs>
        <w:numPr>
          <w:ilvl w:val="0"/>
          <w:numId w:val="13"/>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 xml:space="preserve">Equity in (losses) earnings </w:t>
      </w:r>
      <w:r>
        <w:rPr>
          <w:rFonts w:ascii="Arial" w:cs="Arial" w:eastAsia="Arial" w:hAnsi="Arial"/>
          <w:sz w:val="14"/>
          <w:szCs w:val="14"/>
          <w:color w:val="auto"/>
        </w:rPr>
        <w:t>includes our equity in earnings or losses of unconsolidated equity method investments.</w:t>
      </w:r>
    </w:p>
    <w:p>
      <w:pPr>
        <w:sectPr>
          <w:pgSz w:w="11900" w:h="16838" w:orient="portrait"/>
          <w:cols w:equalWidth="0" w:num="1">
            <w:col w:w="10503"/>
          </w:cols>
          <w:pgMar w:left="697" w:top="1219" w:right="6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2"/>
        <w:spacing w:after="0"/>
        <w:rPr>
          <w:sz w:val="20"/>
          <w:szCs w:val="20"/>
          <w:color w:val="auto"/>
        </w:rPr>
      </w:pPr>
      <w:r>
        <w:rPr>
          <w:rFonts w:ascii="Arial" w:cs="Arial" w:eastAsia="Arial" w:hAnsi="Arial"/>
          <w:sz w:val="14"/>
          <w:szCs w:val="14"/>
          <w:color w:val="auto"/>
        </w:rPr>
        <w:t>A-2</w:t>
      </w:r>
    </w:p>
    <w:p>
      <w:pPr>
        <w:sectPr>
          <w:pgSz w:w="11900" w:h="16838" w:orient="portrait"/>
          <w:cols w:equalWidth="0" w:num="1">
            <w:col w:w="10503"/>
          </w:cols>
          <w:pgMar w:left="697" w:top="1219" w:right="699" w:bottom="1440" w:gutter="0" w:footer="0" w:header="0"/>
          <w:type w:val="continuous"/>
        </w:sectPr>
      </w:pPr>
    </w:p>
    <w:bookmarkStart w:id="12" w:name="page13"/>
    <w:bookmarkEnd w:id="12"/>
    <w:p>
      <w:pPr>
        <w:jc w:val="center"/>
        <w:ind w:right="20"/>
        <w:spacing w:after="0"/>
        <w:rPr>
          <w:sz w:val="20"/>
          <w:szCs w:val="20"/>
          <w:color w:val="auto"/>
        </w:rPr>
      </w:pPr>
      <w:r>
        <w:rPr>
          <w:rFonts w:ascii="Arial" w:cs="Arial" w:eastAsia="Arial" w:hAnsi="Arial"/>
          <w:sz w:val="16"/>
          <w:szCs w:val="16"/>
          <w:b w:val="1"/>
          <w:bCs w:val="1"/>
          <w:color w:val="auto"/>
        </w:rPr>
        <w:t>MARRIOTT INTERNATIONAL, INC.</w:t>
      </w:r>
    </w:p>
    <w:p>
      <w:pPr>
        <w:spacing w:after="0" w:line="39"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NON-GAAP FINANCIAL MEASURES</w:t>
      </w:r>
    </w:p>
    <w:p>
      <w:pPr>
        <w:spacing w:after="0" w:line="32"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 in millions except per share amounts)</w:t>
      </w:r>
    </w:p>
    <w:p>
      <w:pPr>
        <w:spacing w:after="0" w:line="202" w:lineRule="exact"/>
        <w:rPr>
          <w:sz w:val="20"/>
          <w:szCs w:val="20"/>
          <w:color w:val="auto"/>
        </w:rPr>
      </w:pPr>
    </w:p>
    <w:p>
      <w:pPr>
        <w:ind w:right="20"/>
        <w:spacing w:after="0" w:line="264" w:lineRule="auto"/>
        <w:rPr>
          <w:sz w:val="20"/>
          <w:szCs w:val="20"/>
          <w:color w:val="auto"/>
        </w:rPr>
      </w:pPr>
      <w:r>
        <w:rPr>
          <w:rFonts w:ascii="Arial" w:cs="Arial" w:eastAsia="Arial" w:hAnsi="Arial"/>
          <w:sz w:val="14"/>
          <w:szCs w:val="14"/>
          <w:color w:val="auto"/>
        </w:rPr>
        <w:t>The following table presents our reconciliations of Adjusted operating income, Adjusted operating income margin, Adjusted net income, and Adjusted diluted earnings per share to the most directly comparable GAAP measure. Adjusted total revenues is used in the determination of Adjusted operating income margin.</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2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r>
      <w:tr>
        <w:trPr>
          <w:trHeight w:val="195"/>
        </w:trPr>
        <w:tc>
          <w:tcPr>
            <w:tcW w:w="5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rPr>
              <w:t>Percent</w:t>
            </w:r>
          </w:p>
        </w:tc>
      </w:tr>
      <w:tr>
        <w:trPr>
          <w:trHeight w:val="203"/>
        </w:trPr>
        <w:tc>
          <w:tcPr>
            <w:tcW w:w="5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0" w:type="dxa"/>
            <w:vAlign w:val="bottom"/>
            <w:gridSpan w:val="2"/>
          </w:tcPr>
          <w:p>
            <w:pPr>
              <w:ind w:left="240"/>
              <w:spacing w:after="0"/>
              <w:rPr>
                <w:sz w:val="20"/>
                <w:szCs w:val="20"/>
                <w:color w:val="auto"/>
              </w:rPr>
            </w:pPr>
            <w:r>
              <w:rPr>
                <w:rFonts w:ascii="Arial" w:cs="Arial" w:eastAsia="Arial" w:hAnsi="Arial"/>
                <w:sz w:val="14"/>
                <w:szCs w:val="14"/>
                <w:b w:val="1"/>
                <w:bCs w:val="1"/>
                <w:color w:val="auto"/>
              </w:rPr>
              <w:t>March 31,</w:t>
            </w:r>
          </w:p>
        </w:tc>
        <w:tc>
          <w:tcPr>
            <w:tcW w:w="120" w:type="dxa"/>
            <w:vAlign w:val="bottom"/>
          </w:tcPr>
          <w:p>
            <w:pPr>
              <w:spacing w:after="0"/>
              <w:rPr>
                <w:sz w:val="17"/>
                <w:szCs w:val="17"/>
                <w:color w:val="auto"/>
              </w:rPr>
            </w:pPr>
          </w:p>
        </w:tc>
        <w:tc>
          <w:tcPr>
            <w:tcW w:w="1700" w:type="dxa"/>
            <w:vAlign w:val="bottom"/>
          </w:tcPr>
          <w:p>
            <w:pPr>
              <w:jc w:val="right"/>
              <w:ind w:right="508"/>
              <w:spacing w:after="0"/>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7"/>
                <w:szCs w:val="17"/>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rPr>
              <w:t>Better/</w:t>
            </w:r>
          </w:p>
        </w:tc>
      </w:tr>
      <w:tr>
        <w:trPr>
          <w:trHeight w:val="203"/>
        </w:trPr>
        <w:tc>
          <w:tcPr>
            <w:tcW w:w="52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7"/>
                <w:szCs w:val="17"/>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(Worse)</w:t>
            </w:r>
          </w:p>
        </w:tc>
      </w:tr>
      <w:tr>
        <w:trPr>
          <w:trHeight w:val="190"/>
        </w:trPr>
        <w:tc>
          <w:tcPr>
            <w:tcW w:w="5200" w:type="dxa"/>
            <w:vAlign w:val="bottom"/>
          </w:tcPr>
          <w:p>
            <w:pPr>
              <w:spacing w:after="0"/>
              <w:rPr>
                <w:sz w:val="20"/>
                <w:szCs w:val="20"/>
                <w:color w:val="auto"/>
              </w:rPr>
            </w:pPr>
            <w:r>
              <w:rPr>
                <w:rFonts w:ascii="Arial" w:cs="Arial" w:eastAsia="Arial" w:hAnsi="Arial"/>
                <w:sz w:val="14"/>
                <w:szCs w:val="14"/>
                <w:color w:val="auto"/>
              </w:rPr>
              <w:t>Total revenues, as reported</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500" w:type="dxa"/>
            <w:vAlign w:val="bottom"/>
          </w:tcPr>
          <w:p>
            <w:pPr>
              <w:jc w:val="right"/>
              <w:ind w:right="128"/>
              <w:spacing w:after="0"/>
              <w:rPr>
                <w:sz w:val="20"/>
                <w:szCs w:val="20"/>
                <w:color w:val="auto"/>
              </w:rPr>
            </w:pPr>
            <w:r>
              <w:rPr>
                <w:rFonts w:ascii="Arial" w:cs="Arial" w:eastAsia="Arial" w:hAnsi="Arial"/>
                <w:sz w:val="14"/>
                <w:szCs w:val="14"/>
                <w:color w:val="auto"/>
              </w:rPr>
              <w:t>6,654</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700" w:type="dxa"/>
            <w:vAlign w:val="bottom"/>
          </w:tcPr>
          <w:p>
            <w:pPr>
              <w:jc w:val="right"/>
              <w:ind w:right="108"/>
              <w:spacing w:after="0"/>
              <w:rPr>
                <w:sz w:val="20"/>
                <w:szCs w:val="20"/>
                <w:color w:val="auto"/>
              </w:rPr>
            </w:pPr>
            <w:r>
              <w:rPr>
                <w:rFonts w:ascii="Arial" w:cs="Arial" w:eastAsia="Arial" w:hAnsi="Arial"/>
                <w:sz w:val="14"/>
                <w:szCs w:val="14"/>
                <w:color w:val="auto"/>
              </w:rPr>
              <w:t>6,263</w:t>
            </w:r>
          </w:p>
        </w:tc>
        <w:tc>
          <w:tcPr>
            <w:tcW w:w="100" w:type="dxa"/>
            <w:vAlign w:val="bottom"/>
          </w:tcPr>
          <w:p>
            <w:pPr>
              <w:spacing w:after="0"/>
              <w:rPr>
                <w:sz w:val="16"/>
                <w:szCs w:val="16"/>
                <w:color w:val="auto"/>
              </w:rPr>
            </w:pPr>
          </w:p>
        </w:tc>
        <w:tc>
          <w:tcPr>
            <w:tcW w:w="1720" w:type="dxa"/>
            <w:vAlign w:val="bottom"/>
          </w:tcPr>
          <w:p>
            <w:pPr>
              <w:spacing w:after="0"/>
              <w:rPr>
                <w:sz w:val="16"/>
                <w:szCs w:val="16"/>
                <w:color w:val="auto"/>
              </w:rPr>
            </w:pPr>
          </w:p>
        </w:tc>
      </w:tr>
      <w:tr>
        <w:trPr>
          <w:trHeight w:val="204"/>
        </w:trPr>
        <w:tc>
          <w:tcPr>
            <w:tcW w:w="5200" w:type="dxa"/>
            <w:vAlign w:val="bottom"/>
          </w:tcPr>
          <w:p>
            <w:pPr>
              <w:spacing w:after="0"/>
              <w:rPr>
                <w:sz w:val="20"/>
                <w:szCs w:val="20"/>
                <w:color w:val="auto"/>
              </w:rPr>
            </w:pPr>
            <w:r>
              <w:rPr>
                <w:rFonts w:ascii="Arial" w:cs="Arial" w:eastAsia="Arial" w:hAnsi="Arial"/>
                <w:sz w:val="14"/>
                <w:szCs w:val="14"/>
                <w:color w:val="auto"/>
              </w:rPr>
              <w:t>Less: Cost reimbursement revenue</w:t>
            </w:r>
          </w:p>
        </w:tc>
        <w:tc>
          <w:tcPr>
            <w:tcW w:w="3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(4,844)</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(4,655)</w:t>
            </w:r>
          </w:p>
        </w:tc>
        <w:tc>
          <w:tcPr>
            <w:tcW w:w="10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52"/>
        </w:trPr>
        <w:tc>
          <w:tcPr>
            <w:tcW w:w="5200" w:type="dxa"/>
            <w:vAlign w:val="bottom"/>
          </w:tcPr>
          <w:p>
            <w:pPr>
              <w:spacing w:after="0"/>
              <w:rPr>
                <w:sz w:val="20"/>
                <w:szCs w:val="20"/>
                <w:color w:val="auto"/>
              </w:rPr>
            </w:pPr>
            <w:r>
              <w:rPr>
                <w:rFonts w:ascii="Arial" w:cs="Arial" w:eastAsia="Arial" w:hAnsi="Arial"/>
                <w:sz w:val="14"/>
                <w:szCs w:val="14"/>
                <w:color w:val="auto"/>
              </w:rPr>
              <w:t>Adjusted total revenues</w:t>
            </w:r>
            <w:r>
              <w:rPr>
                <w:rFonts w:ascii="Arial" w:cs="Arial" w:eastAsia="Arial" w:hAnsi="Arial"/>
                <w:sz w:val="18"/>
                <w:szCs w:val="18"/>
                <w:color w:val="auto"/>
                <w:vertAlign w:val="superscript"/>
              </w:rPr>
              <w:t>†</w:t>
            </w:r>
          </w:p>
        </w:tc>
        <w:tc>
          <w:tcPr>
            <w:tcW w:w="340" w:type="dxa"/>
            <w:vAlign w:val="bottom"/>
          </w:tcPr>
          <w:p>
            <w:pPr>
              <w:spacing w:after="0"/>
              <w:rPr>
                <w:sz w:val="21"/>
                <w:szCs w:val="21"/>
                <w:color w:val="auto"/>
              </w:rPr>
            </w:pPr>
          </w:p>
        </w:tc>
        <w:tc>
          <w:tcPr>
            <w:tcW w:w="1500" w:type="dxa"/>
            <w:vAlign w:val="bottom"/>
          </w:tcPr>
          <w:p>
            <w:pPr>
              <w:jc w:val="right"/>
              <w:ind w:right="128"/>
              <w:spacing w:after="0"/>
              <w:rPr>
                <w:sz w:val="20"/>
                <w:szCs w:val="20"/>
                <w:color w:val="auto"/>
              </w:rPr>
            </w:pPr>
            <w:r>
              <w:rPr>
                <w:rFonts w:ascii="Arial" w:cs="Arial" w:eastAsia="Arial" w:hAnsi="Arial"/>
                <w:sz w:val="14"/>
                <w:szCs w:val="14"/>
                <w:color w:val="auto"/>
              </w:rPr>
              <w:t>1,810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tcPr>
          <w:p>
            <w:pPr>
              <w:jc w:val="right"/>
              <w:ind w:right="108"/>
              <w:spacing w:after="0"/>
              <w:rPr>
                <w:sz w:val="20"/>
                <w:szCs w:val="20"/>
                <w:color w:val="auto"/>
              </w:rPr>
            </w:pPr>
            <w:r>
              <w:rPr>
                <w:rFonts w:ascii="Arial" w:cs="Arial" w:eastAsia="Arial" w:hAnsi="Arial"/>
                <w:sz w:val="14"/>
                <w:szCs w:val="14"/>
                <w:color w:val="auto"/>
              </w:rPr>
              <w:t>1,608</w:t>
            </w:r>
          </w:p>
        </w:tc>
        <w:tc>
          <w:tcPr>
            <w:tcW w:w="100" w:type="dxa"/>
            <w:vAlign w:val="bottom"/>
          </w:tcPr>
          <w:p>
            <w:pPr>
              <w:spacing w:after="0"/>
              <w:rPr>
                <w:sz w:val="21"/>
                <w:szCs w:val="21"/>
                <w:color w:val="auto"/>
              </w:rPr>
            </w:pPr>
          </w:p>
        </w:tc>
        <w:tc>
          <w:tcPr>
            <w:tcW w:w="1720" w:type="dxa"/>
            <w:vAlign w:val="bottom"/>
          </w:tcPr>
          <w:p>
            <w:pPr>
              <w:spacing w:after="0"/>
              <w:rPr>
                <w:sz w:val="21"/>
                <w:szCs w:val="21"/>
                <w:color w:val="auto"/>
              </w:rPr>
            </w:pPr>
          </w:p>
        </w:tc>
      </w:tr>
      <w:tr>
        <w:trPr>
          <w:trHeight w:val="456"/>
        </w:trPr>
        <w:tc>
          <w:tcPr>
            <w:tcW w:w="5200" w:type="dxa"/>
            <w:vAlign w:val="bottom"/>
          </w:tcPr>
          <w:p>
            <w:pPr>
              <w:spacing w:after="0"/>
              <w:rPr>
                <w:sz w:val="20"/>
                <w:szCs w:val="20"/>
                <w:color w:val="auto"/>
              </w:rPr>
            </w:pPr>
            <w:r>
              <w:rPr>
                <w:rFonts w:ascii="Arial" w:cs="Arial" w:eastAsia="Arial" w:hAnsi="Arial"/>
                <w:sz w:val="14"/>
                <w:szCs w:val="14"/>
                <w:color w:val="auto"/>
              </w:rPr>
              <w:t>Operating income, as reported</w:t>
            </w:r>
          </w:p>
        </w:tc>
        <w:tc>
          <w:tcPr>
            <w:tcW w:w="340" w:type="dxa"/>
            <w:vAlign w:val="bottom"/>
          </w:tcPr>
          <w:p>
            <w:pPr>
              <w:spacing w:after="0"/>
              <w:rPr>
                <w:sz w:val="24"/>
                <w:szCs w:val="24"/>
                <w:color w:val="auto"/>
              </w:rPr>
            </w:pPr>
          </w:p>
        </w:tc>
        <w:tc>
          <w:tcPr>
            <w:tcW w:w="1500" w:type="dxa"/>
            <w:vAlign w:val="bottom"/>
          </w:tcPr>
          <w:p>
            <w:pPr>
              <w:jc w:val="right"/>
              <w:ind w:right="128"/>
              <w:spacing w:after="0"/>
              <w:rPr>
                <w:sz w:val="20"/>
                <w:szCs w:val="20"/>
                <w:color w:val="auto"/>
              </w:rPr>
            </w:pPr>
            <w:r>
              <w:rPr>
                <w:rFonts w:ascii="Arial" w:cs="Arial" w:eastAsia="Arial" w:hAnsi="Arial"/>
                <w:sz w:val="14"/>
                <w:szCs w:val="14"/>
                <w:color w:val="auto"/>
              </w:rPr>
              <w:t>1,064</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tcPr>
          <w:p>
            <w:pPr>
              <w:jc w:val="right"/>
              <w:ind w:right="108"/>
              <w:spacing w:after="0"/>
              <w:rPr>
                <w:sz w:val="20"/>
                <w:szCs w:val="20"/>
                <w:color w:val="auto"/>
              </w:rPr>
            </w:pPr>
            <w:r>
              <w:rPr>
                <w:rFonts w:ascii="Arial" w:cs="Arial" w:eastAsia="Arial" w:hAnsi="Arial"/>
                <w:sz w:val="14"/>
                <w:szCs w:val="14"/>
                <w:color w:val="auto"/>
              </w:rPr>
              <w:t>948</w:t>
            </w: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03"/>
        </w:trPr>
        <w:tc>
          <w:tcPr>
            <w:tcW w:w="5200" w:type="dxa"/>
            <w:vAlign w:val="bottom"/>
          </w:tcPr>
          <w:p>
            <w:pPr>
              <w:spacing w:after="0"/>
              <w:rPr>
                <w:sz w:val="20"/>
                <w:szCs w:val="20"/>
                <w:color w:val="auto"/>
              </w:rPr>
            </w:pPr>
            <w:r>
              <w:rPr>
                <w:rFonts w:ascii="Arial" w:cs="Arial" w:eastAsia="Arial" w:hAnsi="Arial"/>
                <w:sz w:val="14"/>
                <w:szCs w:val="14"/>
                <w:color w:val="auto"/>
              </w:rPr>
              <w:t>Less: Cost reimbursement revenue</w:t>
            </w:r>
          </w:p>
        </w:tc>
        <w:tc>
          <w:tcPr>
            <w:tcW w:w="340" w:type="dxa"/>
            <w:vAlign w:val="bottom"/>
          </w:tcPr>
          <w:p>
            <w:pPr>
              <w:spacing w:after="0"/>
              <w:rPr>
                <w:sz w:val="17"/>
                <w:szCs w:val="17"/>
                <w:color w:val="auto"/>
              </w:rPr>
            </w:pPr>
          </w:p>
        </w:tc>
        <w:tc>
          <w:tcPr>
            <w:tcW w:w="1500" w:type="dxa"/>
            <w:vAlign w:val="bottom"/>
          </w:tcPr>
          <w:p>
            <w:pPr>
              <w:jc w:val="right"/>
              <w:ind w:right="88"/>
              <w:spacing w:after="0"/>
              <w:rPr>
                <w:sz w:val="20"/>
                <w:szCs w:val="20"/>
                <w:color w:val="auto"/>
              </w:rPr>
            </w:pPr>
            <w:r>
              <w:rPr>
                <w:rFonts w:ascii="Arial" w:cs="Arial" w:eastAsia="Arial" w:hAnsi="Arial"/>
                <w:sz w:val="14"/>
                <w:szCs w:val="14"/>
                <w:color w:val="auto"/>
              </w:rPr>
              <w:t>(4,844)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jc w:val="right"/>
              <w:ind w:right="68"/>
              <w:spacing w:after="0"/>
              <w:rPr>
                <w:sz w:val="20"/>
                <w:szCs w:val="20"/>
                <w:color w:val="auto"/>
              </w:rPr>
            </w:pPr>
            <w:r>
              <w:rPr>
                <w:rFonts w:ascii="Arial" w:cs="Arial" w:eastAsia="Arial" w:hAnsi="Arial"/>
                <w:sz w:val="14"/>
                <w:szCs w:val="14"/>
                <w:color w:val="auto"/>
              </w:rPr>
              <w:t>(4,655)</w:t>
            </w:r>
          </w:p>
        </w:tc>
        <w:tc>
          <w:tcPr>
            <w:tcW w:w="10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03"/>
        </w:trPr>
        <w:tc>
          <w:tcPr>
            <w:tcW w:w="5200" w:type="dxa"/>
            <w:vAlign w:val="bottom"/>
          </w:tcPr>
          <w:p>
            <w:pPr>
              <w:spacing w:after="0"/>
              <w:rPr>
                <w:sz w:val="20"/>
                <w:szCs w:val="20"/>
                <w:color w:val="auto"/>
              </w:rPr>
            </w:pPr>
            <w:r>
              <w:rPr>
                <w:rFonts w:ascii="Arial" w:cs="Arial" w:eastAsia="Arial" w:hAnsi="Arial"/>
                <w:sz w:val="14"/>
                <w:szCs w:val="14"/>
                <w:color w:val="auto"/>
              </w:rPr>
              <w:t>Add: Reimbursed expenses</w:t>
            </w:r>
          </w:p>
        </w:tc>
        <w:tc>
          <w:tcPr>
            <w:tcW w:w="340" w:type="dxa"/>
            <w:vAlign w:val="bottom"/>
          </w:tcPr>
          <w:p>
            <w:pPr>
              <w:spacing w:after="0"/>
              <w:rPr>
                <w:sz w:val="17"/>
                <w:szCs w:val="17"/>
                <w:color w:val="auto"/>
              </w:rPr>
            </w:pPr>
          </w:p>
        </w:tc>
        <w:tc>
          <w:tcPr>
            <w:tcW w:w="1500" w:type="dxa"/>
            <w:vAlign w:val="bottom"/>
          </w:tcPr>
          <w:p>
            <w:pPr>
              <w:jc w:val="right"/>
              <w:ind w:right="128"/>
              <w:spacing w:after="0"/>
              <w:rPr>
                <w:sz w:val="20"/>
                <w:szCs w:val="20"/>
                <w:color w:val="auto"/>
              </w:rPr>
            </w:pPr>
            <w:r>
              <w:rPr>
                <w:rFonts w:ascii="Arial" w:cs="Arial" w:eastAsia="Arial" w:hAnsi="Arial"/>
                <w:sz w:val="14"/>
                <w:szCs w:val="14"/>
                <w:color w:val="auto"/>
              </w:rPr>
              <w:t>4,936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jc w:val="right"/>
              <w:ind w:right="108"/>
              <w:spacing w:after="0"/>
              <w:rPr>
                <w:sz w:val="20"/>
                <w:szCs w:val="20"/>
                <w:color w:val="auto"/>
              </w:rPr>
            </w:pPr>
            <w:r>
              <w:rPr>
                <w:rFonts w:ascii="Arial" w:cs="Arial" w:eastAsia="Arial" w:hAnsi="Arial"/>
                <w:sz w:val="14"/>
                <w:szCs w:val="14"/>
                <w:color w:val="auto"/>
              </w:rPr>
              <w:t>4,722</w:t>
            </w:r>
          </w:p>
        </w:tc>
        <w:tc>
          <w:tcPr>
            <w:tcW w:w="10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03"/>
        </w:trPr>
        <w:tc>
          <w:tcPr>
            <w:tcW w:w="5200" w:type="dxa"/>
            <w:vAlign w:val="bottom"/>
          </w:tcPr>
          <w:p>
            <w:pPr>
              <w:spacing w:after="0"/>
              <w:rPr>
                <w:sz w:val="20"/>
                <w:szCs w:val="20"/>
                <w:color w:val="auto"/>
              </w:rPr>
            </w:pPr>
            <w:r>
              <w:rPr>
                <w:rFonts w:ascii="Arial" w:cs="Arial" w:eastAsia="Arial" w:hAnsi="Arial"/>
                <w:sz w:val="14"/>
                <w:szCs w:val="14"/>
                <w:color w:val="auto"/>
              </w:rPr>
              <w:t>Add: Restructuring and merger-related charges, and other</w:t>
            </w:r>
          </w:p>
        </w:tc>
        <w:tc>
          <w:tcPr>
            <w:tcW w:w="340" w:type="dxa"/>
            <w:vAlign w:val="bottom"/>
          </w:tcPr>
          <w:p>
            <w:pPr>
              <w:spacing w:after="0"/>
              <w:rPr>
                <w:sz w:val="17"/>
                <w:szCs w:val="17"/>
                <w:color w:val="auto"/>
              </w:rPr>
            </w:pPr>
          </w:p>
        </w:tc>
        <w:tc>
          <w:tcPr>
            <w:tcW w:w="1500" w:type="dxa"/>
            <w:vAlign w:val="bottom"/>
          </w:tcPr>
          <w:p>
            <w:pPr>
              <w:jc w:val="right"/>
              <w:ind w:right="12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jc w:val="right"/>
              <w:ind w:right="10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11"/>
        </w:trPr>
        <w:tc>
          <w:tcPr>
            <w:tcW w:w="5200" w:type="dxa"/>
            <w:vAlign w:val="bottom"/>
          </w:tcPr>
          <w:p>
            <w:pPr>
              <w:spacing w:after="0"/>
              <w:rPr>
                <w:sz w:val="20"/>
                <w:szCs w:val="20"/>
                <w:color w:val="auto"/>
              </w:rPr>
            </w:pPr>
            <w:r>
              <w:rPr>
                <w:rFonts w:ascii="Arial" w:cs="Arial" w:eastAsia="Arial" w:hAnsi="Arial"/>
                <w:sz w:val="14"/>
                <w:szCs w:val="14"/>
                <w:color w:val="auto"/>
              </w:rPr>
              <w:t>Less: Adjustments related to Sonder Termination</w:t>
            </w:r>
            <w:r>
              <w:rPr>
                <w:rFonts w:ascii="Arial" w:cs="Arial" w:eastAsia="Arial" w:hAnsi="Arial"/>
                <w:sz w:val="18"/>
                <w:szCs w:val="18"/>
                <w:color w:val="auto"/>
                <w:vertAlign w:val="superscript"/>
              </w:rPr>
              <w:t>1</w:t>
            </w:r>
          </w:p>
        </w:tc>
        <w:tc>
          <w:tcPr>
            <w:tcW w:w="3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49"/>
        </w:trPr>
        <w:tc>
          <w:tcPr>
            <w:tcW w:w="5200" w:type="dxa"/>
            <w:vAlign w:val="bottom"/>
          </w:tcPr>
          <w:p>
            <w:pPr>
              <w:spacing w:after="0"/>
              <w:rPr>
                <w:sz w:val="20"/>
                <w:szCs w:val="20"/>
                <w:color w:val="auto"/>
              </w:rPr>
            </w:pPr>
            <w:r>
              <w:rPr>
                <w:rFonts w:ascii="Arial" w:cs="Arial" w:eastAsia="Arial" w:hAnsi="Arial"/>
                <w:sz w:val="14"/>
                <w:szCs w:val="14"/>
                <w:b w:val="1"/>
                <w:bCs w:val="1"/>
                <w:color w:val="auto"/>
              </w:rPr>
              <w:t>Adjusted operating income</w:t>
            </w:r>
            <w:r>
              <w:rPr>
                <w:rFonts w:ascii="Arial" w:cs="Arial" w:eastAsia="Arial" w:hAnsi="Arial"/>
                <w:sz w:val="18"/>
                <w:szCs w:val="18"/>
                <w:b w:val="1"/>
                <w:bCs w:val="1"/>
                <w:color w:val="auto"/>
                <w:vertAlign w:val="superscript"/>
              </w:rPr>
              <w:t>†</w:t>
            </w:r>
          </w:p>
        </w:tc>
        <w:tc>
          <w:tcPr>
            <w:tcW w:w="340" w:type="dxa"/>
            <w:vAlign w:val="bottom"/>
          </w:tcPr>
          <w:p>
            <w:pPr>
              <w:spacing w:after="0"/>
              <w:rPr>
                <w:sz w:val="21"/>
                <w:szCs w:val="21"/>
                <w:color w:val="auto"/>
              </w:rPr>
            </w:pPr>
          </w:p>
        </w:tc>
        <w:tc>
          <w:tcPr>
            <w:tcW w:w="1500" w:type="dxa"/>
            <w:vAlign w:val="bottom"/>
          </w:tcPr>
          <w:p>
            <w:pPr>
              <w:jc w:val="right"/>
              <w:ind w:right="128"/>
              <w:spacing w:after="0"/>
              <w:rPr>
                <w:sz w:val="20"/>
                <w:szCs w:val="20"/>
                <w:color w:val="auto"/>
              </w:rPr>
            </w:pPr>
            <w:r>
              <w:rPr>
                <w:rFonts w:ascii="Arial" w:cs="Arial" w:eastAsia="Arial" w:hAnsi="Arial"/>
                <w:sz w:val="14"/>
                <w:szCs w:val="14"/>
                <w:b w:val="1"/>
                <w:bCs w:val="1"/>
                <w:color w:val="auto"/>
              </w:rPr>
              <w:t>1,158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tcPr>
          <w:p>
            <w:pPr>
              <w:jc w:val="right"/>
              <w:ind w:right="108"/>
              <w:spacing w:after="0"/>
              <w:rPr>
                <w:sz w:val="20"/>
                <w:szCs w:val="20"/>
                <w:color w:val="auto"/>
              </w:rPr>
            </w:pPr>
            <w:r>
              <w:rPr>
                <w:rFonts w:ascii="Arial" w:cs="Arial" w:eastAsia="Arial" w:hAnsi="Arial"/>
                <w:sz w:val="14"/>
                <w:szCs w:val="14"/>
                <w:b w:val="1"/>
                <w:bCs w:val="1"/>
                <w:color w:val="auto"/>
              </w:rPr>
              <w:t>1,016</w:t>
            </w:r>
          </w:p>
        </w:tc>
        <w:tc>
          <w:tcPr>
            <w:tcW w:w="1820" w:type="dxa"/>
            <w:vAlign w:val="bottom"/>
            <w:gridSpan w:val="2"/>
          </w:tcPr>
          <w:p>
            <w:pPr>
              <w:jc w:val="center"/>
              <w:ind w:left="28"/>
              <w:spacing w:after="0"/>
              <w:rPr>
                <w:sz w:val="20"/>
                <w:szCs w:val="20"/>
                <w:color w:val="auto"/>
              </w:rPr>
            </w:pPr>
            <w:r>
              <w:rPr>
                <w:rFonts w:ascii="Arial" w:cs="Arial" w:eastAsia="Arial" w:hAnsi="Arial"/>
                <w:sz w:val="14"/>
                <w:szCs w:val="14"/>
                <w:b w:val="1"/>
                <w:bCs w:val="1"/>
                <w:color w:val="auto"/>
              </w:rPr>
              <w:t>14</w:t>
            </w:r>
          </w:p>
        </w:tc>
      </w:tr>
      <w:tr>
        <w:trPr>
          <w:trHeight w:val="458"/>
        </w:trPr>
        <w:tc>
          <w:tcPr>
            <w:tcW w:w="5200" w:type="dxa"/>
            <w:vAlign w:val="bottom"/>
          </w:tcPr>
          <w:p>
            <w:pPr>
              <w:spacing w:after="0"/>
              <w:rPr>
                <w:sz w:val="20"/>
                <w:szCs w:val="20"/>
                <w:color w:val="auto"/>
              </w:rPr>
            </w:pPr>
            <w:r>
              <w:rPr>
                <w:rFonts w:ascii="Arial" w:cs="Arial" w:eastAsia="Arial" w:hAnsi="Arial"/>
                <w:sz w:val="14"/>
                <w:szCs w:val="14"/>
                <w:b w:val="1"/>
                <w:bCs w:val="1"/>
                <w:color w:val="auto"/>
              </w:rPr>
              <w:t>Operating income margin</w:t>
            </w:r>
          </w:p>
        </w:tc>
        <w:tc>
          <w:tcPr>
            <w:tcW w:w="34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4"/>
                <w:szCs w:val="14"/>
                <w:b w:val="1"/>
                <w:bCs w:val="1"/>
                <w:color w:val="auto"/>
              </w:rPr>
              <w:t>16 %</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4"/>
                <w:szCs w:val="14"/>
                <w:b w:val="1"/>
                <w:bCs w:val="1"/>
                <w:color w:val="auto"/>
              </w:rPr>
              <w:t>15 %</w:t>
            </w: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177"/>
        </w:trPr>
        <w:tc>
          <w:tcPr>
            <w:tcW w:w="5200" w:type="dxa"/>
            <w:vAlign w:val="bottom"/>
          </w:tcPr>
          <w:p>
            <w:pPr>
              <w:spacing w:after="0" w:line="177" w:lineRule="exact"/>
              <w:rPr>
                <w:sz w:val="20"/>
                <w:szCs w:val="20"/>
                <w:color w:val="auto"/>
              </w:rPr>
            </w:pPr>
            <w:r>
              <w:rPr>
                <w:rFonts w:ascii="Arial" w:cs="Arial" w:eastAsia="Arial" w:hAnsi="Arial"/>
                <w:sz w:val="14"/>
                <w:szCs w:val="14"/>
                <w:b w:val="1"/>
                <w:bCs w:val="1"/>
                <w:color w:val="auto"/>
              </w:rPr>
              <w:t>Adjusted operating income margin</w:t>
            </w:r>
            <w:r>
              <w:rPr>
                <w:rFonts w:ascii="Arial" w:cs="Arial" w:eastAsia="Arial" w:hAnsi="Arial"/>
                <w:sz w:val="18"/>
                <w:szCs w:val="18"/>
                <w:b w:val="1"/>
                <w:bCs w:val="1"/>
                <w:color w:val="auto"/>
                <w:vertAlign w:val="superscript"/>
              </w:rPr>
              <w:t>†</w:t>
            </w:r>
          </w:p>
        </w:tc>
        <w:tc>
          <w:tcPr>
            <w:tcW w:w="34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b w:val="1"/>
                <w:bCs w:val="1"/>
                <w:color w:val="auto"/>
              </w:rPr>
              <w:t>64 %</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Arial" w:cs="Arial" w:eastAsia="Arial" w:hAnsi="Arial"/>
                <w:sz w:val="14"/>
                <w:szCs w:val="14"/>
                <w:b w:val="1"/>
                <w:bCs w:val="1"/>
                <w:color w:val="auto"/>
              </w:rPr>
              <w:t>63 %</w:t>
            </w:r>
          </w:p>
        </w:tc>
        <w:tc>
          <w:tcPr>
            <w:tcW w:w="10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243"/>
        </w:trPr>
        <w:tc>
          <w:tcPr>
            <w:tcW w:w="52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w:t>
            </w:r>
          </w:p>
        </w:tc>
        <w:tc>
          <w:tcPr>
            <w:tcW w:w="3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20" w:type="dxa"/>
            <w:vAlign w:val="bottom"/>
          </w:tcPr>
          <w:p>
            <w:pPr>
              <w:spacing w:after="0"/>
              <w:rPr>
                <w:sz w:val="21"/>
                <w:szCs w:val="21"/>
                <w:color w:val="auto"/>
              </w:rPr>
            </w:pPr>
          </w:p>
        </w:tc>
      </w:tr>
      <w:tr>
        <w:trPr>
          <w:trHeight w:val="275"/>
        </w:trPr>
        <w:tc>
          <w:tcPr>
            <w:tcW w:w="5200" w:type="dxa"/>
            <w:vAlign w:val="bottom"/>
          </w:tcPr>
          <w:p>
            <w:pPr>
              <w:spacing w:after="0"/>
              <w:rPr>
                <w:sz w:val="20"/>
                <w:szCs w:val="20"/>
                <w:color w:val="auto"/>
              </w:rPr>
            </w:pPr>
            <w:r>
              <w:rPr>
                <w:rFonts w:ascii="Times New Roman" w:cs="Times New Roman" w:eastAsia="Times New Roman" w:hAnsi="Times New Roman"/>
                <w:sz w:val="22"/>
                <w:szCs w:val="22"/>
                <w:color w:val="auto"/>
              </w:rPr>
              <w:t>​</w:t>
            </w:r>
          </w:p>
        </w:tc>
        <w:tc>
          <w:tcPr>
            <w:tcW w:w="3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720" w:type="dxa"/>
            <w:vAlign w:val="bottom"/>
          </w:tcPr>
          <w:p>
            <w:pPr>
              <w:spacing w:after="0"/>
              <w:rPr>
                <w:sz w:val="23"/>
                <w:szCs w:val="23"/>
                <w:color w:val="auto"/>
              </w:rPr>
            </w:pPr>
          </w:p>
        </w:tc>
      </w:tr>
      <w:tr>
        <w:trPr>
          <w:trHeight w:val="190"/>
        </w:trPr>
        <w:tc>
          <w:tcPr>
            <w:tcW w:w="5200" w:type="dxa"/>
            <w:vAlign w:val="bottom"/>
          </w:tcPr>
          <w:p>
            <w:pPr>
              <w:spacing w:after="0"/>
              <w:rPr>
                <w:sz w:val="20"/>
                <w:szCs w:val="20"/>
                <w:color w:val="auto"/>
              </w:rPr>
            </w:pPr>
            <w:r>
              <w:rPr>
                <w:rFonts w:ascii="Arial" w:cs="Arial" w:eastAsia="Arial" w:hAnsi="Arial"/>
                <w:sz w:val="14"/>
                <w:szCs w:val="14"/>
                <w:color w:val="auto"/>
              </w:rPr>
              <w:t>Net income, as reported</w:t>
            </w:r>
          </w:p>
        </w:tc>
        <w:tc>
          <w:tcPr>
            <w:tcW w:w="340" w:type="dxa"/>
            <w:vAlign w:val="bottom"/>
          </w:tcPr>
          <w:p>
            <w:pPr>
              <w:spacing w:after="0"/>
              <w:rPr>
                <w:sz w:val="16"/>
                <w:szCs w:val="16"/>
                <w:color w:val="auto"/>
              </w:rPr>
            </w:pPr>
          </w:p>
        </w:tc>
        <w:tc>
          <w:tcPr>
            <w:tcW w:w="1500" w:type="dxa"/>
            <w:vAlign w:val="bottom"/>
          </w:tcPr>
          <w:p>
            <w:pPr>
              <w:jc w:val="right"/>
              <w:ind w:right="128"/>
              <w:spacing w:after="0"/>
              <w:rPr>
                <w:sz w:val="20"/>
                <w:szCs w:val="20"/>
                <w:color w:val="auto"/>
              </w:rPr>
            </w:pPr>
            <w:r>
              <w:rPr>
                <w:rFonts w:ascii="Arial" w:cs="Arial" w:eastAsia="Arial" w:hAnsi="Arial"/>
                <w:sz w:val="14"/>
                <w:szCs w:val="14"/>
                <w:color w:val="auto"/>
              </w:rPr>
              <w:t>648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tcPr>
          <w:p>
            <w:pPr>
              <w:jc w:val="right"/>
              <w:ind w:right="108"/>
              <w:spacing w:after="0"/>
              <w:rPr>
                <w:sz w:val="20"/>
                <w:szCs w:val="20"/>
                <w:color w:val="auto"/>
              </w:rPr>
            </w:pPr>
            <w:r>
              <w:rPr>
                <w:rFonts w:ascii="Arial" w:cs="Arial" w:eastAsia="Arial" w:hAnsi="Arial"/>
                <w:sz w:val="14"/>
                <w:szCs w:val="14"/>
                <w:color w:val="auto"/>
              </w:rPr>
              <w:t>665</w:t>
            </w:r>
          </w:p>
        </w:tc>
        <w:tc>
          <w:tcPr>
            <w:tcW w:w="100" w:type="dxa"/>
            <w:vAlign w:val="bottom"/>
          </w:tcPr>
          <w:p>
            <w:pPr>
              <w:spacing w:after="0"/>
              <w:rPr>
                <w:sz w:val="16"/>
                <w:szCs w:val="16"/>
                <w:color w:val="auto"/>
              </w:rPr>
            </w:pPr>
          </w:p>
        </w:tc>
        <w:tc>
          <w:tcPr>
            <w:tcW w:w="1720" w:type="dxa"/>
            <w:vAlign w:val="bottom"/>
          </w:tcPr>
          <w:p>
            <w:pPr>
              <w:spacing w:after="0"/>
              <w:rPr>
                <w:sz w:val="16"/>
                <w:szCs w:val="16"/>
                <w:color w:val="auto"/>
              </w:rPr>
            </w:pPr>
          </w:p>
        </w:tc>
      </w:tr>
      <w:tr>
        <w:trPr>
          <w:trHeight w:val="203"/>
        </w:trPr>
        <w:tc>
          <w:tcPr>
            <w:tcW w:w="5200" w:type="dxa"/>
            <w:vAlign w:val="bottom"/>
          </w:tcPr>
          <w:p>
            <w:pPr>
              <w:spacing w:after="0"/>
              <w:rPr>
                <w:sz w:val="20"/>
                <w:szCs w:val="20"/>
                <w:color w:val="auto"/>
              </w:rPr>
            </w:pPr>
            <w:r>
              <w:rPr>
                <w:rFonts w:ascii="Arial" w:cs="Arial" w:eastAsia="Arial" w:hAnsi="Arial"/>
                <w:sz w:val="14"/>
                <w:szCs w:val="14"/>
                <w:color w:val="auto"/>
              </w:rPr>
              <w:t>Less: Cost reimbursement revenue</w:t>
            </w:r>
          </w:p>
        </w:tc>
        <w:tc>
          <w:tcPr>
            <w:tcW w:w="340" w:type="dxa"/>
            <w:vAlign w:val="bottom"/>
          </w:tcPr>
          <w:p>
            <w:pPr>
              <w:spacing w:after="0"/>
              <w:rPr>
                <w:sz w:val="17"/>
                <w:szCs w:val="17"/>
                <w:color w:val="auto"/>
              </w:rPr>
            </w:pPr>
          </w:p>
        </w:tc>
        <w:tc>
          <w:tcPr>
            <w:tcW w:w="1500" w:type="dxa"/>
            <w:vAlign w:val="bottom"/>
          </w:tcPr>
          <w:p>
            <w:pPr>
              <w:jc w:val="right"/>
              <w:ind w:right="88"/>
              <w:spacing w:after="0"/>
              <w:rPr>
                <w:sz w:val="20"/>
                <w:szCs w:val="20"/>
                <w:color w:val="auto"/>
              </w:rPr>
            </w:pPr>
            <w:r>
              <w:rPr>
                <w:rFonts w:ascii="Arial" w:cs="Arial" w:eastAsia="Arial" w:hAnsi="Arial"/>
                <w:sz w:val="14"/>
                <w:szCs w:val="14"/>
                <w:color w:val="auto"/>
              </w:rPr>
              <w:t>(4,844)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jc w:val="right"/>
              <w:ind w:right="68"/>
              <w:spacing w:after="0"/>
              <w:rPr>
                <w:sz w:val="20"/>
                <w:szCs w:val="20"/>
                <w:color w:val="auto"/>
              </w:rPr>
            </w:pPr>
            <w:r>
              <w:rPr>
                <w:rFonts w:ascii="Arial" w:cs="Arial" w:eastAsia="Arial" w:hAnsi="Arial"/>
                <w:sz w:val="14"/>
                <w:szCs w:val="14"/>
                <w:color w:val="auto"/>
              </w:rPr>
              <w:t>(4,655)</w:t>
            </w:r>
          </w:p>
        </w:tc>
        <w:tc>
          <w:tcPr>
            <w:tcW w:w="10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03"/>
        </w:trPr>
        <w:tc>
          <w:tcPr>
            <w:tcW w:w="5200" w:type="dxa"/>
            <w:vAlign w:val="bottom"/>
          </w:tcPr>
          <w:p>
            <w:pPr>
              <w:spacing w:after="0"/>
              <w:rPr>
                <w:sz w:val="20"/>
                <w:szCs w:val="20"/>
                <w:color w:val="auto"/>
              </w:rPr>
            </w:pPr>
            <w:r>
              <w:rPr>
                <w:rFonts w:ascii="Arial" w:cs="Arial" w:eastAsia="Arial" w:hAnsi="Arial"/>
                <w:sz w:val="14"/>
                <w:szCs w:val="14"/>
                <w:color w:val="auto"/>
              </w:rPr>
              <w:t>Add: Reimbursed expenses</w:t>
            </w:r>
          </w:p>
        </w:tc>
        <w:tc>
          <w:tcPr>
            <w:tcW w:w="340" w:type="dxa"/>
            <w:vAlign w:val="bottom"/>
          </w:tcPr>
          <w:p>
            <w:pPr>
              <w:spacing w:after="0"/>
              <w:rPr>
                <w:sz w:val="17"/>
                <w:szCs w:val="17"/>
                <w:color w:val="auto"/>
              </w:rPr>
            </w:pPr>
          </w:p>
        </w:tc>
        <w:tc>
          <w:tcPr>
            <w:tcW w:w="1500" w:type="dxa"/>
            <w:vAlign w:val="bottom"/>
          </w:tcPr>
          <w:p>
            <w:pPr>
              <w:jc w:val="right"/>
              <w:ind w:right="128"/>
              <w:spacing w:after="0"/>
              <w:rPr>
                <w:sz w:val="20"/>
                <w:szCs w:val="20"/>
                <w:color w:val="auto"/>
              </w:rPr>
            </w:pPr>
            <w:r>
              <w:rPr>
                <w:rFonts w:ascii="Arial" w:cs="Arial" w:eastAsia="Arial" w:hAnsi="Arial"/>
                <w:sz w:val="14"/>
                <w:szCs w:val="14"/>
                <w:color w:val="auto"/>
              </w:rPr>
              <w:t>4,936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jc w:val="right"/>
              <w:ind w:right="108"/>
              <w:spacing w:after="0"/>
              <w:rPr>
                <w:sz w:val="20"/>
                <w:szCs w:val="20"/>
                <w:color w:val="auto"/>
              </w:rPr>
            </w:pPr>
            <w:r>
              <w:rPr>
                <w:rFonts w:ascii="Arial" w:cs="Arial" w:eastAsia="Arial" w:hAnsi="Arial"/>
                <w:sz w:val="14"/>
                <w:szCs w:val="14"/>
                <w:color w:val="auto"/>
              </w:rPr>
              <w:t>4,722</w:t>
            </w:r>
          </w:p>
        </w:tc>
        <w:tc>
          <w:tcPr>
            <w:tcW w:w="10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03"/>
        </w:trPr>
        <w:tc>
          <w:tcPr>
            <w:tcW w:w="5200" w:type="dxa"/>
            <w:vAlign w:val="bottom"/>
          </w:tcPr>
          <w:p>
            <w:pPr>
              <w:spacing w:after="0"/>
              <w:rPr>
                <w:sz w:val="20"/>
                <w:szCs w:val="20"/>
                <w:color w:val="auto"/>
              </w:rPr>
            </w:pPr>
            <w:r>
              <w:rPr>
                <w:rFonts w:ascii="Arial" w:cs="Arial" w:eastAsia="Arial" w:hAnsi="Arial"/>
                <w:sz w:val="14"/>
                <w:szCs w:val="14"/>
                <w:color w:val="auto"/>
              </w:rPr>
              <w:t>Add: Restructuring and merger-related charges, and other</w:t>
            </w:r>
          </w:p>
        </w:tc>
        <w:tc>
          <w:tcPr>
            <w:tcW w:w="340" w:type="dxa"/>
            <w:vAlign w:val="bottom"/>
          </w:tcPr>
          <w:p>
            <w:pPr>
              <w:spacing w:after="0"/>
              <w:rPr>
                <w:sz w:val="17"/>
                <w:szCs w:val="17"/>
                <w:color w:val="auto"/>
              </w:rPr>
            </w:pPr>
          </w:p>
        </w:tc>
        <w:tc>
          <w:tcPr>
            <w:tcW w:w="1500" w:type="dxa"/>
            <w:vAlign w:val="bottom"/>
          </w:tcPr>
          <w:p>
            <w:pPr>
              <w:jc w:val="right"/>
              <w:ind w:right="12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jc w:val="right"/>
              <w:ind w:right="10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12"/>
        </w:trPr>
        <w:tc>
          <w:tcPr>
            <w:tcW w:w="5200" w:type="dxa"/>
            <w:vAlign w:val="bottom"/>
          </w:tcPr>
          <w:p>
            <w:pPr>
              <w:spacing w:after="0"/>
              <w:rPr>
                <w:sz w:val="20"/>
                <w:szCs w:val="20"/>
                <w:color w:val="auto"/>
              </w:rPr>
            </w:pPr>
            <w:r>
              <w:rPr>
                <w:rFonts w:ascii="Arial" w:cs="Arial" w:eastAsia="Arial" w:hAnsi="Arial"/>
                <w:sz w:val="14"/>
                <w:szCs w:val="14"/>
                <w:color w:val="auto"/>
              </w:rPr>
              <w:t>Less: Adjustments related to Sonder Termination</w:t>
            </w:r>
            <w:r>
              <w:rPr>
                <w:rFonts w:ascii="Arial" w:cs="Arial" w:eastAsia="Arial" w:hAnsi="Arial"/>
                <w:sz w:val="18"/>
                <w:szCs w:val="18"/>
                <w:color w:val="auto"/>
                <w:vertAlign w:val="superscript"/>
              </w:rPr>
              <w:t>1</w:t>
            </w:r>
          </w:p>
        </w:tc>
        <w:tc>
          <w:tcPr>
            <w:tcW w:w="340" w:type="dxa"/>
            <w:vAlign w:val="bottom"/>
          </w:tcPr>
          <w:p>
            <w:pPr>
              <w:spacing w:after="0"/>
              <w:rPr>
                <w:sz w:val="18"/>
                <w:szCs w:val="18"/>
                <w:color w:val="auto"/>
              </w:rPr>
            </w:pPr>
          </w:p>
        </w:tc>
        <w:tc>
          <w:tcPr>
            <w:tcW w:w="1500" w:type="dxa"/>
            <w:vAlign w:val="bottom"/>
          </w:tcPr>
          <w:p>
            <w:pPr>
              <w:jc w:val="right"/>
              <w:ind w:right="8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05"/>
        </w:trPr>
        <w:tc>
          <w:tcPr>
            <w:tcW w:w="5200" w:type="dxa"/>
            <w:vAlign w:val="bottom"/>
          </w:tcPr>
          <w:p>
            <w:pPr>
              <w:spacing w:after="0" w:line="205" w:lineRule="exact"/>
              <w:rPr>
                <w:sz w:val="20"/>
                <w:szCs w:val="20"/>
                <w:color w:val="auto"/>
              </w:rPr>
            </w:pPr>
            <w:r>
              <w:rPr>
                <w:rFonts w:ascii="Arial" w:cs="Arial" w:eastAsia="Arial" w:hAnsi="Arial"/>
                <w:sz w:val="14"/>
                <w:szCs w:val="14"/>
                <w:color w:val="auto"/>
              </w:rPr>
              <w:t>Add: Adjustment to gain on investee’s asset disposition</w:t>
            </w:r>
            <w:r>
              <w:rPr>
                <w:rFonts w:ascii="Arial" w:cs="Arial" w:eastAsia="Arial" w:hAnsi="Arial"/>
                <w:sz w:val="18"/>
                <w:szCs w:val="18"/>
                <w:color w:val="auto"/>
                <w:vertAlign w:val="superscript"/>
              </w:rPr>
              <w:t>2</w:t>
            </w:r>
          </w:p>
        </w:tc>
        <w:tc>
          <w:tcPr>
            <w:tcW w:w="340" w:type="dxa"/>
            <w:vAlign w:val="bottom"/>
          </w:tcPr>
          <w:p>
            <w:pPr>
              <w:spacing w:after="0"/>
              <w:rPr>
                <w:sz w:val="17"/>
                <w:szCs w:val="17"/>
                <w:color w:val="auto"/>
              </w:rPr>
            </w:pPr>
          </w:p>
        </w:tc>
        <w:tc>
          <w:tcPr>
            <w:tcW w:w="1500" w:type="dxa"/>
            <w:vAlign w:val="bottom"/>
          </w:tcPr>
          <w:p>
            <w:pPr>
              <w:jc w:val="right"/>
              <w:ind w:right="128"/>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190"/>
        </w:trPr>
        <w:tc>
          <w:tcPr>
            <w:tcW w:w="5200" w:type="dxa"/>
            <w:vAlign w:val="bottom"/>
          </w:tcPr>
          <w:p>
            <w:pPr>
              <w:spacing w:after="0"/>
              <w:rPr>
                <w:sz w:val="20"/>
                <w:szCs w:val="20"/>
                <w:color w:val="auto"/>
              </w:rPr>
            </w:pPr>
            <w:r>
              <w:rPr>
                <w:rFonts w:ascii="Arial" w:cs="Arial" w:eastAsia="Arial" w:hAnsi="Arial"/>
                <w:sz w:val="14"/>
                <w:szCs w:val="14"/>
                <w:color w:val="auto"/>
              </w:rPr>
              <w:t>Income tax effect of above adjustments</w:t>
            </w:r>
          </w:p>
        </w:tc>
        <w:tc>
          <w:tcPr>
            <w:tcW w:w="340" w:type="dxa"/>
            <w:vAlign w:val="bottom"/>
          </w:tcPr>
          <w:p>
            <w:pPr>
              <w:spacing w:after="0"/>
              <w:rPr>
                <w:sz w:val="16"/>
                <w:szCs w:val="16"/>
                <w:color w:val="auto"/>
              </w:rPr>
            </w:pPr>
          </w:p>
        </w:tc>
        <w:tc>
          <w:tcPr>
            <w:tcW w:w="1500" w:type="dxa"/>
            <w:vAlign w:val="bottom"/>
          </w:tcPr>
          <w:p>
            <w:pPr>
              <w:jc w:val="right"/>
              <w:ind w:right="88"/>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tcPr>
          <w:p>
            <w:pPr>
              <w:jc w:val="right"/>
              <w:ind w:right="68"/>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6"/>
                <w:szCs w:val="16"/>
                <w:color w:val="auto"/>
              </w:rPr>
            </w:pPr>
          </w:p>
        </w:tc>
        <w:tc>
          <w:tcPr>
            <w:tcW w:w="1720" w:type="dxa"/>
            <w:vAlign w:val="bottom"/>
          </w:tcPr>
          <w:p>
            <w:pPr>
              <w:spacing w:after="0"/>
              <w:rPr>
                <w:sz w:val="16"/>
                <w:szCs w:val="16"/>
                <w:color w:val="auto"/>
              </w:rPr>
            </w:pPr>
          </w:p>
        </w:tc>
      </w:tr>
      <w:tr>
        <w:trPr>
          <w:trHeight w:val="204"/>
        </w:trPr>
        <w:tc>
          <w:tcPr>
            <w:tcW w:w="5200" w:type="dxa"/>
            <w:vAlign w:val="bottom"/>
          </w:tcPr>
          <w:p>
            <w:pPr>
              <w:spacing w:after="0"/>
              <w:rPr>
                <w:sz w:val="20"/>
                <w:szCs w:val="20"/>
                <w:color w:val="auto"/>
              </w:rPr>
            </w:pPr>
            <w:r>
              <w:rPr>
                <w:rFonts w:ascii="Arial" w:cs="Arial" w:eastAsia="Arial" w:hAnsi="Arial"/>
                <w:sz w:val="14"/>
                <w:szCs w:val="14"/>
                <w:color w:val="auto"/>
              </w:rPr>
              <w:t>Less: Income tax special items</w:t>
            </w:r>
          </w:p>
        </w:tc>
        <w:tc>
          <w:tcPr>
            <w:tcW w:w="340" w:type="dxa"/>
            <w:vAlign w:val="bottom"/>
          </w:tcPr>
          <w:p>
            <w:pPr>
              <w:spacing w:after="0"/>
              <w:rPr>
                <w:sz w:val="17"/>
                <w:szCs w:val="17"/>
                <w:color w:val="auto"/>
              </w:rPr>
            </w:pPr>
          </w:p>
        </w:tc>
        <w:tc>
          <w:tcPr>
            <w:tcW w:w="16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700" w:type="dxa"/>
            <w:vAlign w:val="bottom"/>
          </w:tcPr>
          <w:p>
            <w:pPr>
              <w:jc w:val="right"/>
              <w:ind w:right="68"/>
              <w:spacing w:after="0"/>
              <w:rPr>
                <w:sz w:val="20"/>
                <w:szCs w:val="20"/>
                <w:color w:val="auto"/>
              </w:rPr>
            </w:pPr>
            <w:r>
              <w:rPr>
                <w:rFonts w:ascii="Arial" w:cs="Arial" w:eastAsia="Arial" w:hAnsi="Arial"/>
                <w:sz w:val="14"/>
                <w:szCs w:val="14"/>
                <w:color w:val="auto"/>
              </w:rPr>
              <w:t>(71)</w:t>
            </w:r>
          </w:p>
        </w:tc>
        <w:tc>
          <w:tcPr>
            <w:tcW w:w="10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03"/>
        </w:trPr>
        <w:tc>
          <w:tcPr>
            <w:tcW w:w="5200" w:type="dxa"/>
            <w:vAlign w:val="bottom"/>
          </w:tcPr>
          <w:p>
            <w:pPr>
              <w:spacing w:after="0" w:line="202" w:lineRule="exact"/>
              <w:rPr>
                <w:sz w:val="20"/>
                <w:szCs w:val="20"/>
                <w:color w:val="auto"/>
              </w:rPr>
            </w:pPr>
            <w:r>
              <w:rPr>
                <w:rFonts w:ascii="Arial" w:cs="Arial" w:eastAsia="Arial" w:hAnsi="Arial"/>
                <w:sz w:val="14"/>
                <w:szCs w:val="14"/>
                <w:b w:val="1"/>
                <w:bCs w:val="1"/>
                <w:color w:val="auto"/>
              </w:rPr>
              <w:t>Adjusted net income</w:t>
            </w:r>
            <w:r>
              <w:rPr>
                <w:rFonts w:ascii="Arial" w:cs="Arial" w:eastAsia="Arial" w:hAnsi="Arial"/>
                <w:sz w:val="18"/>
                <w:szCs w:val="18"/>
                <w:b w:val="1"/>
                <w:bCs w:val="1"/>
                <w:color w:val="auto"/>
                <w:vertAlign w:val="superscript"/>
              </w:rPr>
              <w:t>†</w:t>
            </w:r>
          </w:p>
        </w:tc>
        <w:tc>
          <w:tcPr>
            <w:tcW w:w="34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w:t>
            </w:r>
          </w:p>
        </w:tc>
        <w:tc>
          <w:tcPr>
            <w:tcW w:w="15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726</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70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645</w:t>
            </w:r>
          </w:p>
        </w:tc>
        <w:tc>
          <w:tcPr>
            <w:tcW w:w="1820" w:type="dxa"/>
            <w:vAlign w:val="bottom"/>
            <w:gridSpan w:val="2"/>
          </w:tcPr>
          <w:p>
            <w:pPr>
              <w:jc w:val="center"/>
              <w:ind w:left="28"/>
              <w:spacing w:after="0"/>
              <w:rPr>
                <w:sz w:val="20"/>
                <w:szCs w:val="20"/>
                <w:color w:val="auto"/>
              </w:rPr>
            </w:pPr>
            <w:r>
              <w:rPr>
                <w:rFonts w:ascii="Arial" w:cs="Arial" w:eastAsia="Arial" w:hAnsi="Arial"/>
                <w:sz w:val="14"/>
                <w:szCs w:val="14"/>
                <w:b w:val="1"/>
                <w:bCs w:val="1"/>
                <w:color w:val="auto"/>
              </w:rPr>
              <w:t>13</w:t>
            </w:r>
          </w:p>
        </w:tc>
      </w:tr>
      <w:tr>
        <w:trPr>
          <w:trHeight w:val="505"/>
        </w:trPr>
        <w:tc>
          <w:tcPr>
            <w:tcW w:w="5200" w:type="dxa"/>
            <w:vAlign w:val="bottom"/>
          </w:tcPr>
          <w:p>
            <w:pPr>
              <w:spacing w:after="0"/>
              <w:rPr>
                <w:sz w:val="20"/>
                <w:szCs w:val="20"/>
                <w:color w:val="auto"/>
              </w:rPr>
            </w:pPr>
            <w:r>
              <w:rPr>
                <w:rFonts w:ascii="Arial" w:cs="Arial" w:eastAsia="Arial" w:hAnsi="Arial"/>
                <w:sz w:val="14"/>
                <w:szCs w:val="14"/>
                <w:b w:val="1"/>
                <w:bCs w:val="1"/>
                <w:color w:val="auto"/>
              </w:rPr>
              <w:t>Diluted earnings per share, as reported</w:t>
            </w:r>
          </w:p>
        </w:tc>
        <w:tc>
          <w:tcPr>
            <w:tcW w:w="340" w:type="dxa"/>
            <w:vAlign w:val="bottom"/>
          </w:tcPr>
          <w:p>
            <w:pPr>
              <w:jc w:val="right"/>
              <w:ind w:right="168"/>
              <w:spacing w:after="0"/>
              <w:rPr>
                <w:sz w:val="20"/>
                <w:szCs w:val="20"/>
                <w:color w:val="auto"/>
              </w:rPr>
            </w:pPr>
            <w:r>
              <w:rPr>
                <w:rFonts w:ascii="Arial" w:cs="Arial" w:eastAsia="Arial" w:hAnsi="Arial"/>
                <w:sz w:val="14"/>
                <w:szCs w:val="14"/>
                <w:b w:val="1"/>
                <w:bCs w:val="1"/>
                <w:color w:val="auto"/>
              </w:rPr>
              <w:t>$</w:t>
            </w:r>
          </w:p>
        </w:tc>
        <w:tc>
          <w:tcPr>
            <w:tcW w:w="1500" w:type="dxa"/>
            <w:vAlign w:val="bottom"/>
          </w:tcPr>
          <w:p>
            <w:pPr>
              <w:jc w:val="right"/>
              <w:ind w:right="128"/>
              <w:spacing w:after="0"/>
              <w:rPr>
                <w:sz w:val="20"/>
                <w:szCs w:val="20"/>
                <w:color w:val="auto"/>
              </w:rPr>
            </w:pPr>
            <w:r>
              <w:rPr>
                <w:rFonts w:ascii="Arial" w:cs="Arial" w:eastAsia="Arial" w:hAnsi="Arial"/>
                <w:sz w:val="14"/>
                <w:szCs w:val="14"/>
                <w:b w:val="1"/>
                <w:bCs w:val="1"/>
                <w:color w:val="auto"/>
              </w:rPr>
              <w:t>2.43</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700" w:type="dxa"/>
            <w:vAlign w:val="bottom"/>
          </w:tcPr>
          <w:p>
            <w:pPr>
              <w:jc w:val="right"/>
              <w:ind w:right="108"/>
              <w:spacing w:after="0"/>
              <w:rPr>
                <w:sz w:val="20"/>
                <w:szCs w:val="20"/>
                <w:color w:val="auto"/>
              </w:rPr>
            </w:pPr>
            <w:r>
              <w:rPr>
                <w:rFonts w:ascii="Arial" w:cs="Arial" w:eastAsia="Arial" w:hAnsi="Arial"/>
                <w:sz w:val="14"/>
                <w:szCs w:val="14"/>
                <w:b w:val="1"/>
                <w:bCs w:val="1"/>
                <w:color w:val="auto"/>
              </w:rPr>
              <w:t>2.39</w:t>
            </w: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58"/>
        </w:trPr>
        <w:tc>
          <w:tcPr>
            <w:tcW w:w="5200" w:type="dxa"/>
            <w:vAlign w:val="bottom"/>
          </w:tcPr>
          <w:p>
            <w:pPr>
              <w:spacing w:after="0"/>
              <w:rPr>
                <w:sz w:val="20"/>
                <w:szCs w:val="20"/>
                <w:color w:val="auto"/>
              </w:rPr>
            </w:pPr>
            <w:r>
              <w:rPr>
                <w:rFonts w:ascii="Arial" w:cs="Arial" w:eastAsia="Arial" w:hAnsi="Arial"/>
                <w:sz w:val="14"/>
                <w:szCs w:val="14"/>
                <w:b w:val="1"/>
                <w:bCs w:val="1"/>
                <w:color w:val="auto"/>
              </w:rPr>
              <w:t>Adjusted diluted earnings per share</w:t>
            </w:r>
            <w:r>
              <w:rPr>
                <w:rFonts w:ascii="Arial" w:cs="Arial" w:eastAsia="Arial" w:hAnsi="Arial"/>
                <w:sz w:val="18"/>
                <w:szCs w:val="18"/>
                <w:b w:val="1"/>
                <w:bCs w:val="1"/>
                <w:color w:val="auto"/>
                <w:vertAlign w:val="superscript"/>
              </w:rPr>
              <w:t>†</w:t>
            </w:r>
          </w:p>
        </w:tc>
        <w:tc>
          <w:tcPr>
            <w:tcW w:w="340" w:type="dxa"/>
            <w:vAlign w:val="bottom"/>
          </w:tcPr>
          <w:p>
            <w:pPr>
              <w:jc w:val="right"/>
              <w:ind w:right="168"/>
              <w:spacing w:after="0"/>
              <w:rPr>
                <w:sz w:val="20"/>
                <w:szCs w:val="20"/>
                <w:color w:val="auto"/>
              </w:rPr>
            </w:pPr>
            <w:r>
              <w:rPr>
                <w:rFonts w:ascii="Arial" w:cs="Arial" w:eastAsia="Arial" w:hAnsi="Arial"/>
                <w:sz w:val="14"/>
                <w:szCs w:val="14"/>
                <w:b w:val="1"/>
                <w:bCs w:val="1"/>
                <w:color w:val="auto"/>
              </w:rPr>
              <w:t>$</w:t>
            </w:r>
          </w:p>
        </w:tc>
        <w:tc>
          <w:tcPr>
            <w:tcW w:w="1500" w:type="dxa"/>
            <w:vAlign w:val="bottom"/>
          </w:tcPr>
          <w:p>
            <w:pPr>
              <w:jc w:val="right"/>
              <w:ind w:right="128"/>
              <w:spacing w:after="0"/>
              <w:rPr>
                <w:sz w:val="20"/>
                <w:szCs w:val="20"/>
                <w:color w:val="auto"/>
              </w:rPr>
            </w:pPr>
            <w:r>
              <w:rPr>
                <w:rFonts w:ascii="Arial" w:cs="Arial" w:eastAsia="Arial" w:hAnsi="Arial"/>
                <w:sz w:val="14"/>
                <w:szCs w:val="14"/>
                <w:b w:val="1"/>
                <w:bCs w:val="1"/>
                <w:color w:val="auto"/>
              </w:rPr>
              <w:t>2.72</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700" w:type="dxa"/>
            <w:vAlign w:val="bottom"/>
          </w:tcPr>
          <w:p>
            <w:pPr>
              <w:jc w:val="right"/>
              <w:ind w:right="108"/>
              <w:spacing w:after="0"/>
              <w:rPr>
                <w:sz w:val="20"/>
                <w:szCs w:val="20"/>
                <w:color w:val="auto"/>
              </w:rPr>
            </w:pPr>
            <w:r>
              <w:rPr>
                <w:rFonts w:ascii="Arial" w:cs="Arial" w:eastAsia="Arial" w:hAnsi="Arial"/>
                <w:sz w:val="14"/>
                <w:szCs w:val="14"/>
                <w:b w:val="1"/>
                <w:bCs w:val="1"/>
                <w:color w:val="auto"/>
              </w:rPr>
              <w:t>2.32</w:t>
            </w:r>
          </w:p>
        </w:tc>
        <w:tc>
          <w:tcPr>
            <w:tcW w:w="1820" w:type="dxa"/>
            <w:vAlign w:val="bottom"/>
            <w:gridSpan w:val="2"/>
          </w:tcPr>
          <w:p>
            <w:pPr>
              <w:jc w:val="center"/>
              <w:ind w:left="28"/>
              <w:spacing w:after="0"/>
              <w:rPr>
                <w:sz w:val="20"/>
                <w:szCs w:val="20"/>
                <w:color w:val="auto"/>
              </w:rPr>
            </w:pPr>
            <w:r>
              <w:rPr>
                <w:rFonts w:ascii="Arial" w:cs="Arial" w:eastAsia="Arial" w:hAnsi="Arial"/>
                <w:sz w:val="14"/>
                <w:szCs w:val="14"/>
                <w:b w:val="1"/>
                <w:bCs w:val="1"/>
                <w:color w:val="auto"/>
              </w:rPr>
              <w:t>17</w:t>
            </w:r>
          </w:p>
        </w:tc>
      </w:tr>
    </w:tbl>
    <w:p>
      <w:pPr>
        <w:spacing w:after="0" w:line="113" w:lineRule="exact"/>
        <w:rPr>
          <w:sz w:val="20"/>
          <w:szCs w:val="20"/>
          <w:color w:val="auto"/>
        </w:rPr>
      </w:pPr>
    </w:p>
    <w:p>
      <w:pPr>
        <w:ind w:right="200" w:firstLine="2"/>
        <w:spacing w:after="0" w:line="214" w:lineRule="auto"/>
        <w:tabs>
          <w:tab w:leader="none" w:pos="78" w:val="left"/>
        </w:tabs>
        <w:numPr>
          <w:ilvl w:val="0"/>
          <w:numId w:val="14"/>
        </w:numPr>
        <w:rPr>
          <w:rFonts w:ascii="Arial" w:cs="Arial" w:eastAsia="Arial" w:hAnsi="Arial"/>
          <w:sz w:val="19"/>
          <w:szCs w:val="19"/>
          <w:color w:val="auto"/>
          <w:vertAlign w:val="superscript"/>
        </w:rPr>
      </w:pPr>
      <w:r>
        <w:rPr>
          <w:rFonts w:ascii="Arial" w:cs="Arial" w:eastAsia="Arial" w:hAnsi="Arial"/>
          <w:sz w:val="14"/>
          <w:szCs w:val="14"/>
          <w:color w:val="auto"/>
        </w:rPr>
        <w:t>Denotes non-GAAP financial measures. Please see the Explanation of Non-GAAP Financial and Performance Measures section in these press release schedules for information about our reasons for providing these alternative financial measures and the limitations on their use.</w:t>
      </w:r>
    </w:p>
    <w:p>
      <w:pPr>
        <w:spacing w:after="0" w:line="38" w:lineRule="exact"/>
        <w:rPr>
          <w:sz w:val="20"/>
          <w:szCs w:val="20"/>
          <w:color w:val="auto"/>
        </w:rPr>
      </w:pPr>
    </w:p>
    <w:p>
      <w:pPr>
        <w:ind w:left="80" w:hanging="78"/>
        <w:spacing w:after="0"/>
        <w:tabs>
          <w:tab w:leader="none" w:pos="80" w:val="left"/>
        </w:tabs>
        <w:numPr>
          <w:ilvl w:val="0"/>
          <w:numId w:val="15"/>
        </w:numPr>
        <w:rPr>
          <w:rFonts w:ascii="Arial" w:cs="Arial" w:eastAsia="Arial" w:hAnsi="Arial"/>
          <w:sz w:val="19"/>
          <w:szCs w:val="19"/>
          <w:color w:val="auto"/>
          <w:vertAlign w:val="superscript"/>
        </w:rPr>
      </w:pPr>
      <w:r>
        <w:rPr>
          <w:rFonts w:ascii="Arial" w:cs="Arial" w:eastAsia="Arial" w:hAnsi="Arial"/>
          <w:sz w:val="14"/>
          <w:szCs w:val="14"/>
          <w:color w:val="auto"/>
        </w:rPr>
        <w:t>Adjustments related to the termination of our licensing agreement with Sonder Holdings Inc. (the “Sonder Termination”) reported in Owned, leased, and other expense.</w:t>
      </w:r>
    </w:p>
    <w:p>
      <w:pPr>
        <w:spacing w:after="0" w:line="63" w:lineRule="exact"/>
        <w:rPr>
          <w:rFonts w:ascii="Arial" w:cs="Arial" w:eastAsia="Arial" w:hAnsi="Arial"/>
          <w:sz w:val="19"/>
          <w:szCs w:val="19"/>
          <w:color w:val="auto"/>
          <w:vertAlign w:val="superscript"/>
        </w:rPr>
      </w:pPr>
    </w:p>
    <w:p>
      <w:pPr>
        <w:spacing w:after="0"/>
        <w:rPr>
          <w:rFonts w:ascii="Arial" w:cs="Arial" w:eastAsia="Arial" w:hAnsi="Arial"/>
          <w:sz w:val="19"/>
          <w:szCs w:val="19"/>
          <w:color w:val="auto"/>
          <w:vertAlign w:val="superscript"/>
        </w:rPr>
      </w:pPr>
      <w:r>
        <w:rPr>
          <w:rFonts w:ascii="Arial" w:cs="Arial" w:eastAsia="Arial" w:hAnsi="Arial"/>
          <w:sz w:val="18"/>
          <w:szCs w:val="18"/>
          <w:color w:val="auto"/>
          <w:vertAlign w:val="superscript"/>
        </w:rPr>
        <w:t>2</w:t>
      </w:r>
      <w:r>
        <w:rPr>
          <w:rFonts w:ascii="Arial" w:cs="Arial" w:eastAsia="Arial" w:hAnsi="Arial"/>
          <w:sz w:val="14"/>
          <w:szCs w:val="14"/>
          <w:color w:val="auto"/>
        </w:rPr>
        <w:t xml:space="preserve"> Adjustment to gain on investee’s asset disposition reported in Equity in (losses) earnings.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A-3</w:t>
      </w:r>
    </w:p>
    <w:p>
      <w:pPr>
        <w:sectPr>
          <w:pgSz w:w="11900" w:h="16838" w:orient="portrait"/>
          <w:cols w:equalWidth="0" w:num="1">
            <w:col w:w="10780"/>
          </w:cols>
          <w:pgMar w:left="560" w:top="1178" w:right="559" w:bottom="1440" w:gutter="0" w:footer="0" w:header="0"/>
        </w:sectPr>
      </w:pPr>
    </w:p>
    <w:bookmarkStart w:id="13" w:name="page14"/>
    <w:bookmarkEnd w:id="13"/>
    <w:p>
      <w:pPr>
        <w:jc w:val="center"/>
        <w:ind w:right="20"/>
        <w:spacing w:after="0"/>
        <w:rPr>
          <w:sz w:val="20"/>
          <w:szCs w:val="20"/>
          <w:color w:val="auto"/>
        </w:rPr>
      </w:pPr>
      <w:r>
        <w:rPr>
          <w:rFonts w:ascii="Arial" w:cs="Arial" w:eastAsia="Arial" w:hAnsi="Arial"/>
          <w:sz w:val="16"/>
          <w:szCs w:val="16"/>
          <w:b w:val="1"/>
          <w:bCs w:val="1"/>
          <w:color w:val="auto"/>
        </w:rPr>
        <w:t>MARRIOTT INTERNATIONAL, INC.</w:t>
      </w:r>
    </w:p>
    <w:p>
      <w:pPr>
        <w:spacing w:after="0" w:line="39"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EXPENSE CAPTIONS - AS RECLASSIFIED</w:t>
      </w:r>
    </w:p>
    <w:p>
      <w:pPr>
        <w:spacing w:after="0" w:line="32"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QUARTERLY AND FULL YEAR 2025</w:t>
      </w:r>
    </w:p>
    <w:p>
      <w:pPr>
        <w:spacing w:after="0" w:line="32"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 in millions)</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4"/>
          <w:szCs w:val="14"/>
          <w:color w:val="auto"/>
        </w:rPr>
        <w:t>In the 2025 fourth quarter, to enhance understanding of the company’s general and administrative costs, we reclassified amounts attributable to other expenses previously</w:t>
      </w:r>
    </w:p>
    <w:p>
      <w:pPr>
        <w:spacing w:after="0" w:line="2" w:lineRule="exact"/>
        <w:rPr>
          <w:sz w:val="20"/>
          <w:szCs w:val="20"/>
          <w:color w:val="auto"/>
        </w:rPr>
      </w:pPr>
    </w:p>
    <w:p>
      <w:pPr>
        <w:ind w:right="460"/>
        <w:spacing w:after="0" w:line="211" w:lineRule="auto"/>
        <w:rPr>
          <w:sz w:val="20"/>
          <w:szCs w:val="20"/>
          <w:color w:val="auto"/>
        </w:rPr>
      </w:pPr>
      <w:r>
        <w:rPr>
          <w:rFonts w:ascii="Arial" w:cs="Arial" w:eastAsia="Arial" w:hAnsi="Arial"/>
          <w:sz w:val="14"/>
          <w:szCs w:val="14"/>
          <w:color w:val="auto"/>
        </w:rPr>
        <w:t>reported under the “General, administrative, and other” caption to the “Owned, leased, and other expense” caption of our Income Statements. The expenses that were reclassified from “General, administrative, and other” are certain costs associated with our property-related fee revenues, such as guarantee expense, provision for credit</w:t>
      </w:r>
    </w:p>
    <w:p>
      <w:pPr>
        <w:ind w:right="540"/>
        <w:spacing w:after="0" w:line="244" w:lineRule="auto"/>
        <w:rPr>
          <w:sz w:val="20"/>
          <w:szCs w:val="20"/>
          <w:color w:val="auto"/>
        </w:rPr>
      </w:pPr>
      <w:r>
        <w:rPr>
          <w:rFonts w:ascii="Arial" w:cs="Arial" w:eastAsia="Arial" w:hAnsi="Arial"/>
          <w:sz w:val="14"/>
          <w:szCs w:val="14"/>
          <w:color w:val="auto"/>
        </w:rPr>
        <w:t>losses, and certain brand-related or property-related expenses, as well as costs associated with certain third-party agreements. The following table includes the affected expense captions, as reclassified, for each quarter and the full fiscal year of 2025.</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6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rPr>
              <w:t>Fiscal Year 2025</w:t>
            </w: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5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ind w:left="160"/>
              <w:spacing w:after="0" w:line="143" w:lineRule="exact"/>
              <w:rPr>
                <w:sz w:val="20"/>
                <w:szCs w:val="20"/>
                <w:color w:val="auto"/>
              </w:rPr>
            </w:pPr>
            <w:r>
              <w:rPr>
                <w:rFonts w:ascii="Arial" w:cs="Arial" w:eastAsia="Arial" w:hAnsi="Arial"/>
                <w:sz w:val="14"/>
                <w:szCs w:val="14"/>
                <w:b w:val="1"/>
                <w:bCs w:val="1"/>
                <w:color w:val="auto"/>
              </w:rPr>
              <w:t>First</w:t>
            </w:r>
          </w:p>
        </w:tc>
        <w:tc>
          <w:tcPr>
            <w:tcW w:w="180" w:type="dxa"/>
            <w:vAlign w:val="bottom"/>
          </w:tcPr>
          <w:p>
            <w:pPr>
              <w:spacing w:after="0"/>
              <w:rPr>
                <w:sz w:val="12"/>
                <w:szCs w:val="12"/>
                <w:color w:val="auto"/>
              </w:rPr>
            </w:pPr>
          </w:p>
        </w:tc>
        <w:tc>
          <w:tcPr>
            <w:tcW w:w="880" w:type="dxa"/>
            <w:vAlign w:val="bottom"/>
          </w:tcPr>
          <w:p>
            <w:pPr>
              <w:jc w:val="right"/>
              <w:ind w:right="208"/>
              <w:spacing w:after="0" w:line="143" w:lineRule="exact"/>
              <w:rPr>
                <w:sz w:val="20"/>
                <w:szCs w:val="20"/>
                <w:color w:val="auto"/>
              </w:rPr>
            </w:pPr>
            <w:r>
              <w:rPr>
                <w:rFonts w:ascii="Arial" w:cs="Arial" w:eastAsia="Arial" w:hAnsi="Arial"/>
                <w:sz w:val="14"/>
                <w:szCs w:val="14"/>
                <w:b w:val="1"/>
                <w:bCs w:val="1"/>
                <w:color w:val="auto"/>
              </w:rPr>
              <w:t>Second</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center"/>
              <w:ind w:right="280"/>
              <w:spacing w:after="0" w:line="143" w:lineRule="exact"/>
              <w:rPr>
                <w:sz w:val="20"/>
                <w:szCs w:val="20"/>
                <w:color w:val="auto"/>
              </w:rPr>
            </w:pPr>
            <w:r>
              <w:rPr>
                <w:rFonts w:ascii="Arial" w:cs="Arial" w:eastAsia="Arial" w:hAnsi="Arial"/>
                <w:sz w:val="14"/>
                <w:szCs w:val="14"/>
                <w:b w:val="1"/>
                <w:bCs w:val="1"/>
                <w:color w:val="auto"/>
              </w:rPr>
              <w:t>Third</w:t>
            </w:r>
          </w:p>
        </w:tc>
        <w:tc>
          <w:tcPr>
            <w:tcW w:w="180" w:type="dxa"/>
            <w:vAlign w:val="bottom"/>
          </w:tcPr>
          <w:p>
            <w:pPr>
              <w:spacing w:after="0"/>
              <w:rPr>
                <w:sz w:val="12"/>
                <w:szCs w:val="12"/>
                <w:color w:val="auto"/>
              </w:rPr>
            </w:pPr>
          </w:p>
        </w:tc>
        <w:tc>
          <w:tcPr>
            <w:tcW w:w="940" w:type="dxa"/>
            <w:vAlign w:val="bottom"/>
            <w:gridSpan w:val="2"/>
          </w:tcPr>
          <w:p>
            <w:pPr>
              <w:ind w:left="100"/>
              <w:spacing w:after="0" w:line="143" w:lineRule="exact"/>
              <w:rPr>
                <w:sz w:val="20"/>
                <w:szCs w:val="20"/>
                <w:color w:val="auto"/>
              </w:rPr>
            </w:pPr>
            <w:r>
              <w:rPr>
                <w:rFonts w:ascii="Arial" w:cs="Arial" w:eastAsia="Arial" w:hAnsi="Arial"/>
                <w:sz w:val="14"/>
                <w:szCs w:val="14"/>
                <w:b w:val="1"/>
                <w:bCs w:val="1"/>
                <w:color w:val="auto"/>
              </w:rPr>
              <w:t>Fourth</w:t>
            </w:r>
          </w:p>
        </w:tc>
        <w:tc>
          <w:tcPr>
            <w:tcW w:w="240" w:type="dxa"/>
            <w:vAlign w:val="bottom"/>
          </w:tcPr>
          <w:p>
            <w:pPr>
              <w:spacing w:after="0"/>
              <w:rPr>
                <w:sz w:val="12"/>
                <w:szCs w:val="12"/>
                <w:color w:val="auto"/>
              </w:rPr>
            </w:pPr>
          </w:p>
        </w:tc>
        <w:tc>
          <w:tcPr>
            <w:tcW w:w="82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56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Quarter</w:t>
            </w: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Quarter</w:t>
            </w: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rPr>
              <w:t>Quarter</w:t>
            </w: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Quarter</w:t>
            </w: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640" w:type="dxa"/>
            <w:vAlign w:val="bottom"/>
          </w:tcPr>
          <w:p>
            <w:pPr>
              <w:spacing w:after="0"/>
              <w:rPr>
                <w:sz w:val="20"/>
                <w:szCs w:val="20"/>
                <w:color w:val="auto"/>
              </w:rPr>
            </w:pPr>
            <w:r>
              <w:rPr>
                <w:rFonts w:ascii="Arial" w:cs="Arial" w:eastAsia="Arial" w:hAnsi="Arial"/>
                <w:sz w:val="14"/>
                <w:szCs w:val="14"/>
                <w:color w:val="auto"/>
              </w:rPr>
              <w:t>Owned, leased, and other revenue</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361</w:t>
            </w:r>
          </w:p>
        </w:tc>
        <w:tc>
          <w:tcPr>
            <w:tcW w:w="8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441</w:t>
            </w:r>
          </w:p>
        </w:tc>
        <w:tc>
          <w:tcPr>
            <w:tcW w:w="2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420</w:t>
            </w:r>
          </w:p>
        </w:tc>
        <w:tc>
          <w:tcPr>
            <w:tcW w:w="8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457</w:t>
            </w:r>
          </w:p>
        </w:tc>
        <w:tc>
          <w:tcPr>
            <w:tcW w:w="8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1,679</w:t>
            </w:r>
          </w:p>
        </w:tc>
        <w:tc>
          <w:tcPr>
            <w:tcW w:w="0" w:type="dxa"/>
            <w:vAlign w:val="bottom"/>
          </w:tcPr>
          <w:p>
            <w:pPr>
              <w:spacing w:after="0"/>
              <w:rPr>
                <w:sz w:val="1"/>
                <w:szCs w:val="1"/>
                <w:color w:val="auto"/>
              </w:rPr>
            </w:pPr>
          </w:p>
        </w:tc>
      </w:tr>
      <w:tr>
        <w:trPr>
          <w:trHeight w:val="204"/>
        </w:trPr>
        <w:tc>
          <w:tcPr>
            <w:tcW w:w="5640" w:type="dxa"/>
            <w:vAlign w:val="bottom"/>
          </w:tcPr>
          <w:p>
            <w:pPr>
              <w:spacing w:after="0"/>
              <w:rPr>
                <w:sz w:val="20"/>
                <w:szCs w:val="20"/>
                <w:color w:val="auto"/>
              </w:rPr>
            </w:pPr>
            <w:r>
              <w:rPr>
                <w:rFonts w:ascii="Arial" w:cs="Arial" w:eastAsia="Arial" w:hAnsi="Arial"/>
                <w:sz w:val="14"/>
                <w:szCs w:val="14"/>
                <w:color w:val="auto"/>
              </w:rPr>
              <w:t>Owned, leased, and other expense</w:t>
            </w: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332</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363</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350</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416</w:t>
            </w:r>
          </w:p>
        </w:tc>
        <w:tc>
          <w:tcPr>
            <w:tcW w:w="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1,461</w:t>
            </w:r>
          </w:p>
        </w:tc>
        <w:tc>
          <w:tcPr>
            <w:tcW w:w="0" w:type="dxa"/>
            <w:vAlign w:val="bottom"/>
          </w:tcPr>
          <w:p>
            <w:pPr>
              <w:spacing w:after="0"/>
              <w:rPr>
                <w:sz w:val="1"/>
                <w:szCs w:val="1"/>
                <w:color w:val="auto"/>
              </w:rPr>
            </w:pPr>
          </w:p>
        </w:tc>
      </w:tr>
      <w:tr>
        <w:trPr>
          <w:trHeight w:val="200"/>
        </w:trPr>
        <w:tc>
          <w:tcPr>
            <w:tcW w:w="5640" w:type="dxa"/>
            <w:vAlign w:val="bottom"/>
          </w:tcPr>
          <w:p>
            <w:pPr>
              <w:spacing w:after="0"/>
              <w:rPr>
                <w:sz w:val="20"/>
                <w:szCs w:val="20"/>
                <w:color w:val="auto"/>
              </w:rPr>
            </w:pPr>
            <w:r>
              <w:rPr>
                <w:rFonts w:ascii="Arial" w:cs="Arial" w:eastAsia="Arial" w:hAnsi="Arial"/>
                <w:sz w:val="14"/>
                <w:szCs w:val="14"/>
                <w:color w:val="auto"/>
              </w:rPr>
              <w:t>Owned, leased, and other revenue, net of owned, leased, and other expense</w:t>
            </w:r>
          </w:p>
        </w:tc>
        <w:tc>
          <w:tcPr>
            <w:tcW w:w="180" w:type="dxa"/>
            <w:vAlign w:val="bottom"/>
          </w:tcPr>
          <w:p>
            <w:pPr>
              <w:jc w:val="right"/>
              <w:ind w:right="28"/>
              <w:spacing w:after="0"/>
              <w:rPr>
                <w:sz w:val="20"/>
                <w:szCs w:val="20"/>
                <w:color w:val="auto"/>
              </w:rPr>
            </w:pPr>
            <w:r>
              <w:rPr>
                <w:rFonts w:ascii="Arial" w:cs="Arial" w:eastAsia="Arial" w:hAnsi="Arial"/>
                <w:sz w:val="14"/>
                <w:szCs w:val="14"/>
                <w:b w:val="1"/>
                <w:bCs w:val="1"/>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29</w:t>
            </w:r>
          </w:p>
        </w:tc>
        <w:tc>
          <w:tcPr>
            <w:tcW w:w="8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78</w:t>
            </w:r>
          </w:p>
        </w:tc>
        <w:tc>
          <w:tcPr>
            <w:tcW w:w="26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ind w:right="8"/>
              <w:spacing w:after="0"/>
              <w:rPr>
                <w:sz w:val="20"/>
                <w:szCs w:val="20"/>
                <w:color w:val="auto"/>
              </w:rPr>
            </w:pPr>
            <w:r>
              <w:rPr>
                <w:rFonts w:ascii="Arial" w:cs="Arial" w:eastAsia="Arial" w:hAnsi="Arial"/>
                <w:sz w:val="14"/>
                <w:szCs w:val="14"/>
                <w:b w:val="1"/>
                <w:bCs w:val="1"/>
                <w:color w:val="auto"/>
              </w:rPr>
              <w:t>70</w:t>
            </w:r>
          </w:p>
        </w:tc>
        <w:tc>
          <w:tcPr>
            <w:tcW w:w="8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41</w:t>
            </w:r>
          </w:p>
        </w:tc>
        <w:tc>
          <w:tcPr>
            <w:tcW w:w="80" w:type="dxa"/>
            <w:vAlign w:val="bottom"/>
          </w:tcPr>
          <w:p>
            <w:pPr>
              <w:spacing w:after="0"/>
              <w:rPr>
                <w:sz w:val="17"/>
                <w:szCs w:val="17"/>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218</w:t>
            </w:r>
          </w:p>
        </w:tc>
        <w:tc>
          <w:tcPr>
            <w:tcW w:w="0" w:type="dxa"/>
            <w:vAlign w:val="bottom"/>
          </w:tcPr>
          <w:p>
            <w:pPr>
              <w:spacing w:after="0"/>
              <w:rPr>
                <w:sz w:val="1"/>
                <w:szCs w:val="1"/>
                <w:color w:val="auto"/>
              </w:rPr>
            </w:pPr>
          </w:p>
        </w:tc>
      </w:tr>
      <w:tr>
        <w:trPr>
          <w:trHeight w:val="272"/>
        </w:trPr>
        <w:tc>
          <w:tcPr>
            <w:tcW w:w="5640" w:type="dxa"/>
            <w:vAlign w:val="bottom"/>
            <w:vMerge w:val="restart"/>
          </w:tcPr>
          <w:p>
            <w:pPr>
              <w:spacing w:after="0"/>
              <w:rPr>
                <w:sz w:val="20"/>
                <w:szCs w:val="20"/>
                <w:color w:val="auto"/>
              </w:rPr>
            </w:pPr>
            <w:r>
              <w:rPr>
                <w:rFonts w:ascii="Arial" w:cs="Arial" w:eastAsia="Arial" w:hAnsi="Arial"/>
                <w:sz w:val="14"/>
                <w:szCs w:val="14"/>
                <w:color w:val="auto"/>
              </w:rPr>
              <w:t>General and administrative</w:t>
            </w:r>
          </w:p>
        </w:tc>
        <w:tc>
          <w:tcPr>
            <w:tcW w:w="18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94"/>
        </w:trPr>
        <w:tc>
          <w:tcPr>
            <w:tcW w:w="5640" w:type="dxa"/>
            <w:vAlign w:val="bottom"/>
            <w:vMerge w:val="continue"/>
          </w:tcPr>
          <w:p>
            <w:pPr>
              <w:spacing w:after="0"/>
              <w:rPr>
                <w:sz w:val="16"/>
                <w:szCs w:val="16"/>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b w:val="1"/>
                <w:bCs w:val="1"/>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209</w:t>
            </w:r>
          </w:p>
        </w:tc>
        <w:tc>
          <w:tcPr>
            <w:tcW w:w="8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210</w:t>
            </w:r>
          </w:p>
        </w:tc>
        <w:tc>
          <w:tcPr>
            <w:tcW w:w="26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ind w:right="8"/>
              <w:spacing w:after="0"/>
              <w:rPr>
                <w:sz w:val="20"/>
                <w:szCs w:val="20"/>
                <w:color w:val="auto"/>
              </w:rPr>
            </w:pPr>
            <w:r>
              <w:rPr>
                <w:rFonts w:ascii="Arial" w:cs="Arial" w:eastAsia="Arial" w:hAnsi="Arial"/>
                <w:sz w:val="14"/>
                <w:szCs w:val="14"/>
                <w:b w:val="1"/>
                <w:bCs w:val="1"/>
                <w:color w:val="auto"/>
              </w:rPr>
              <w:t>210</w:t>
            </w:r>
          </w:p>
        </w:tc>
        <w:tc>
          <w:tcPr>
            <w:tcW w:w="8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241</w:t>
            </w:r>
          </w:p>
        </w:tc>
        <w:tc>
          <w:tcPr>
            <w:tcW w:w="8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870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A-4</w:t>
      </w:r>
    </w:p>
    <w:p>
      <w:pPr>
        <w:sectPr>
          <w:pgSz w:w="11900" w:h="16838" w:orient="portrait"/>
          <w:cols w:equalWidth="0" w:num="1">
            <w:col w:w="11220"/>
          </w:cols>
          <w:pgMar w:left="340" w:top="1327" w:right="339" w:bottom="1440" w:gutter="0" w:footer="0" w:header="0"/>
        </w:sectPr>
      </w:pPr>
    </w:p>
    <w:bookmarkStart w:id="14" w:name="page15"/>
    <w:bookmarkEnd w:id="14"/>
    <w:p>
      <w:pPr>
        <w:jc w:val="center"/>
        <w:ind w:right="20"/>
        <w:spacing w:after="0"/>
        <w:rPr>
          <w:sz w:val="20"/>
          <w:szCs w:val="20"/>
          <w:color w:val="auto"/>
        </w:rPr>
      </w:pPr>
      <w:r>
        <w:rPr>
          <w:rFonts w:ascii="Arial" w:cs="Arial" w:eastAsia="Arial" w:hAnsi="Arial"/>
          <w:sz w:val="14"/>
          <w:szCs w:val="14"/>
          <w:b w:val="1"/>
          <w:bCs w:val="1"/>
          <w:color w:val="auto"/>
        </w:rPr>
        <w:t>MARRIOTT INTERNATIONAL, INC.</w:t>
      </w:r>
    </w:p>
    <w:p>
      <w:pPr>
        <w:spacing w:after="0" w:line="42"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TOTAL LODGING PRODUCTS BY OWNERSHIP TYPE</w:t>
      </w:r>
    </w:p>
    <w:p>
      <w:pPr>
        <w:spacing w:after="0" w:line="42"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As of March 31, 2026</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220"/>
        </w:trPr>
        <w:tc>
          <w:tcPr>
            <w:tcW w:w="4180" w:type="dxa"/>
            <w:vAlign w:val="bottom"/>
            <w:tcBorders>
              <w:top w:val="single" w:sz="8" w:color="auto"/>
              <w:left w:val="single" w:sz="8" w:color="auto"/>
              <w:right w:val="single" w:sz="8" w:color="auto"/>
            </w:tcBorders>
          </w:tcPr>
          <w:p>
            <w:pPr>
              <w:spacing w:after="0"/>
              <w:rPr>
                <w:sz w:val="19"/>
                <w:szCs w:val="19"/>
                <w:color w:val="auto"/>
              </w:rPr>
            </w:pPr>
          </w:p>
        </w:tc>
        <w:tc>
          <w:tcPr>
            <w:tcW w:w="2100" w:type="dxa"/>
            <w:vAlign w:val="bottom"/>
            <w:tcBorders>
              <w:top w:val="single" w:sz="8" w:color="auto"/>
              <w:right w:val="single" w:sz="8" w:color="auto"/>
            </w:tcBorders>
            <w:gridSpan w:val="2"/>
          </w:tcPr>
          <w:p>
            <w:pPr>
              <w:jc w:val="right"/>
              <w:ind w:right="528"/>
              <w:spacing w:after="0"/>
              <w:rPr>
                <w:sz w:val="20"/>
                <w:szCs w:val="20"/>
                <w:color w:val="auto"/>
              </w:rPr>
            </w:pPr>
            <w:r>
              <w:rPr>
                <w:rFonts w:ascii="Arial" w:cs="Arial" w:eastAsia="Arial" w:hAnsi="Arial"/>
                <w:sz w:val="14"/>
                <w:szCs w:val="14"/>
                <w:b w:val="1"/>
                <w:bCs w:val="1"/>
                <w:color w:val="auto"/>
              </w:rPr>
              <w:t>US &amp; Canada</w:t>
            </w:r>
          </w:p>
        </w:tc>
        <w:tc>
          <w:tcPr>
            <w:tcW w:w="2120" w:type="dxa"/>
            <w:vAlign w:val="bottom"/>
            <w:tcBorders>
              <w:top w:val="single" w:sz="8" w:color="auto"/>
              <w:right w:val="single" w:sz="8" w:color="auto"/>
            </w:tcBorders>
            <w:gridSpan w:val="2"/>
          </w:tcPr>
          <w:p>
            <w:pPr>
              <w:jc w:val="right"/>
              <w:ind w:right="348"/>
              <w:spacing w:after="0"/>
              <w:rPr>
                <w:sz w:val="20"/>
                <w:szCs w:val="20"/>
                <w:color w:val="auto"/>
              </w:rPr>
            </w:pPr>
            <w:r>
              <w:rPr>
                <w:rFonts w:ascii="Arial" w:cs="Arial" w:eastAsia="Arial" w:hAnsi="Arial"/>
                <w:sz w:val="14"/>
                <w:szCs w:val="14"/>
                <w:b w:val="1"/>
                <w:bCs w:val="1"/>
                <w:color w:val="auto"/>
              </w:rPr>
              <w:t>Total International</w:t>
            </w:r>
            <w:r>
              <w:rPr>
                <w:rFonts w:ascii="Arial" w:cs="Arial" w:eastAsia="Arial" w:hAnsi="Arial"/>
                <w:sz w:val="18"/>
                <w:szCs w:val="18"/>
                <w:b w:val="1"/>
                <w:bCs w:val="1"/>
                <w:color w:val="auto"/>
                <w:vertAlign w:val="superscript"/>
              </w:rPr>
              <w:t>1</w:t>
            </w:r>
          </w:p>
        </w:tc>
        <w:tc>
          <w:tcPr>
            <w:tcW w:w="2100" w:type="dxa"/>
            <w:vAlign w:val="bottom"/>
            <w:tcBorders>
              <w:top w:val="single" w:sz="8" w:color="auto"/>
              <w:right w:val="single" w:sz="8" w:color="auto"/>
            </w:tcBorders>
            <w:gridSpan w:val="2"/>
          </w:tcPr>
          <w:p>
            <w:pPr>
              <w:jc w:val="right"/>
              <w:ind w:right="448"/>
              <w:spacing w:after="0"/>
              <w:rPr>
                <w:sz w:val="20"/>
                <w:szCs w:val="20"/>
                <w:color w:val="auto"/>
              </w:rPr>
            </w:pPr>
            <w:r>
              <w:rPr>
                <w:rFonts w:ascii="Arial" w:cs="Arial" w:eastAsia="Arial" w:hAnsi="Arial"/>
                <w:sz w:val="14"/>
                <w:szCs w:val="14"/>
                <w:b w:val="1"/>
                <w:bCs w:val="1"/>
                <w:color w:val="auto"/>
              </w:rPr>
              <w:t>Total Worldwide</w:t>
            </w:r>
          </w:p>
        </w:tc>
      </w:tr>
      <w:tr>
        <w:trPr>
          <w:trHeight w:val="194"/>
        </w:trPr>
        <w:tc>
          <w:tcPr>
            <w:tcW w:w="4180" w:type="dxa"/>
            <w:vAlign w:val="bottom"/>
            <w:tcBorders>
              <w:left w:val="single" w:sz="8" w:color="auto"/>
              <w:bottom w:val="single" w:sz="8" w:color="auto"/>
              <w:right w:val="single" w:sz="8" w:color="auto"/>
            </w:tcBorders>
          </w:tcPr>
          <w:p>
            <w:pPr>
              <w:spacing w:after="0"/>
              <w:rPr>
                <w:sz w:val="16"/>
                <w:szCs w:val="16"/>
                <w:color w:val="auto"/>
              </w:rPr>
            </w:pPr>
          </w:p>
        </w:tc>
        <w:tc>
          <w:tcPr>
            <w:tcW w:w="11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Properties</w:t>
            </w:r>
          </w:p>
        </w:tc>
        <w:tc>
          <w:tcPr>
            <w:tcW w:w="940" w:type="dxa"/>
            <w:vAlign w:val="bottom"/>
            <w:tcBorders>
              <w:bottom w:val="single" w:sz="8" w:color="auto"/>
              <w:right w:val="single" w:sz="8" w:color="auto"/>
            </w:tcBorders>
          </w:tcPr>
          <w:p>
            <w:pPr>
              <w:jc w:val="right"/>
              <w:ind w:right="228"/>
              <w:spacing w:after="0"/>
              <w:rPr>
                <w:sz w:val="20"/>
                <w:szCs w:val="20"/>
                <w:color w:val="auto"/>
              </w:rPr>
            </w:pPr>
            <w:r>
              <w:rPr>
                <w:rFonts w:ascii="Arial" w:cs="Arial" w:eastAsia="Arial" w:hAnsi="Arial"/>
                <w:sz w:val="14"/>
                <w:szCs w:val="14"/>
                <w:color w:val="auto"/>
              </w:rPr>
              <w:t>Rooms</w:t>
            </w:r>
          </w:p>
        </w:tc>
        <w:tc>
          <w:tcPr>
            <w:tcW w:w="11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Properties</w:t>
            </w:r>
          </w:p>
        </w:tc>
        <w:tc>
          <w:tcPr>
            <w:tcW w:w="960" w:type="dxa"/>
            <w:vAlign w:val="bottom"/>
            <w:tcBorders>
              <w:bottom w:val="single" w:sz="8" w:color="auto"/>
              <w:right w:val="single" w:sz="8" w:color="auto"/>
            </w:tcBorders>
          </w:tcPr>
          <w:p>
            <w:pPr>
              <w:jc w:val="right"/>
              <w:ind w:right="248"/>
              <w:spacing w:after="0"/>
              <w:rPr>
                <w:sz w:val="20"/>
                <w:szCs w:val="20"/>
                <w:color w:val="auto"/>
              </w:rPr>
            </w:pPr>
            <w:r>
              <w:rPr>
                <w:rFonts w:ascii="Arial" w:cs="Arial" w:eastAsia="Arial" w:hAnsi="Arial"/>
                <w:sz w:val="14"/>
                <w:szCs w:val="14"/>
                <w:color w:val="auto"/>
              </w:rPr>
              <w:t>Rooms</w:t>
            </w:r>
          </w:p>
        </w:tc>
        <w:tc>
          <w:tcPr>
            <w:tcW w:w="11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Properties</w:t>
            </w:r>
          </w:p>
        </w:tc>
        <w:tc>
          <w:tcPr>
            <w:tcW w:w="960" w:type="dxa"/>
            <w:vAlign w:val="bottom"/>
            <w:tcBorders>
              <w:bottom w:val="single" w:sz="8" w:color="auto"/>
              <w:right w:val="single" w:sz="8" w:color="auto"/>
            </w:tcBorders>
          </w:tcPr>
          <w:p>
            <w:pPr>
              <w:jc w:val="right"/>
              <w:ind w:right="248"/>
              <w:spacing w:after="0"/>
              <w:rPr>
                <w:sz w:val="20"/>
                <w:szCs w:val="20"/>
                <w:color w:val="auto"/>
              </w:rPr>
            </w:pPr>
            <w:r>
              <w:rPr>
                <w:rFonts w:ascii="Arial" w:cs="Arial" w:eastAsia="Arial" w:hAnsi="Arial"/>
                <w:sz w:val="14"/>
                <w:szCs w:val="14"/>
                <w:color w:val="auto"/>
              </w:rPr>
              <w:t>Rooms</w:t>
            </w:r>
          </w:p>
        </w:tc>
      </w:tr>
      <w:tr>
        <w:trPr>
          <w:trHeight w:val="199"/>
        </w:trPr>
        <w:tc>
          <w:tcPr>
            <w:tcW w:w="4180" w:type="dxa"/>
            <w:vAlign w:val="bottom"/>
            <w:tcBorders>
              <w:left w:val="single" w:sz="8" w:color="auto"/>
              <w:bottom w:val="single" w:sz="8" w:color="auto"/>
              <w:right w:val="single" w:sz="8" w:color="auto"/>
            </w:tcBorders>
            <w:shd w:val="clear" w:color="auto" w:fill="DBDBDB"/>
          </w:tcPr>
          <w:p>
            <w:pPr>
              <w:ind w:left="40"/>
              <w:spacing w:after="0"/>
              <w:rPr>
                <w:sz w:val="20"/>
                <w:szCs w:val="20"/>
                <w:color w:val="auto"/>
              </w:rPr>
            </w:pPr>
            <w:r>
              <w:rPr>
                <w:rFonts w:ascii="Arial" w:cs="Arial" w:eastAsia="Arial" w:hAnsi="Arial"/>
                <w:sz w:val="14"/>
                <w:szCs w:val="14"/>
                <w:b w:val="1"/>
                <w:bCs w:val="1"/>
                <w:color w:val="auto"/>
              </w:rPr>
              <w:t>Franchised, Licensed, and Other</w:t>
            </w:r>
          </w:p>
        </w:tc>
        <w:tc>
          <w:tcPr>
            <w:tcW w:w="1160" w:type="dxa"/>
            <w:vAlign w:val="bottom"/>
            <w:tcBorders>
              <w:bottom w:val="single" w:sz="8" w:color="auto"/>
            </w:tcBorders>
            <w:shd w:val="clear" w:color="auto" w:fill="D6D6D6"/>
          </w:tcPr>
          <w:p>
            <w:pPr>
              <w:jc w:val="right"/>
              <w:ind w:right="108"/>
              <w:spacing w:after="0"/>
              <w:rPr>
                <w:sz w:val="20"/>
                <w:szCs w:val="20"/>
                <w:color w:val="auto"/>
              </w:rPr>
            </w:pPr>
            <w:r>
              <w:rPr>
                <w:rFonts w:ascii="Arial" w:cs="Arial" w:eastAsia="Arial" w:hAnsi="Arial"/>
                <w:sz w:val="14"/>
                <w:szCs w:val="14"/>
                <w:b w:val="1"/>
                <w:bCs w:val="1"/>
                <w:color w:val="auto"/>
              </w:rPr>
              <w:t>5,843</w:t>
            </w:r>
          </w:p>
        </w:tc>
        <w:tc>
          <w:tcPr>
            <w:tcW w:w="940" w:type="dxa"/>
            <w:vAlign w:val="bottom"/>
            <w:tcBorders>
              <w:bottom w:val="single" w:sz="8" w:color="auto"/>
              <w:right w:val="single" w:sz="8" w:color="auto"/>
            </w:tcBorders>
            <w:shd w:val="clear" w:color="auto" w:fill="D6D6D6"/>
          </w:tcPr>
          <w:p>
            <w:pPr>
              <w:jc w:val="right"/>
              <w:ind w:right="8"/>
              <w:spacing w:after="0"/>
              <w:rPr>
                <w:sz w:val="20"/>
                <w:szCs w:val="20"/>
                <w:color w:val="auto"/>
              </w:rPr>
            </w:pPr>
            <w:r>
              <w:rPr>
                <w:rFonts w:ascii="Arial" w:cs="Arial" w:eastAsia="Arial" w:hAnsi="Arial"/>
                <w:sz w:val="14"/>
                <w:szCs w:val="14"/>
                <w:b w:val="1"/>
                <w:bCs w:val="1"/>
                <w:color w:val="auto"/>
              </w:rPr>
              <w:t>876,009</w:t>
            </w:r>
          </w:p>
        </w:tc>
        <w:tc>
          <w:tcPr>
            <w:tcW w:w="1160" w:type="dxa"/>
            <w:vAlign w:val="bottom"/>
            <w:tcBorders>
              <w:bottom w:val="single" w:sz="8" w:color="auto"/>
            </w:tcBorders>
            <w:shd w:val="clear" w:color="auto" w:fill="D6D6D6"/>
          </w:tcPr>
          <w:p>
            <w:pPr>
              <w:jc w:val="right"/>
              <w:ind w:right="108"/>
              <w:spacing w:after="0"/>
              <w:rPr>
                <w:sz w:val="20"/>
                <w:szCs w:val="20"/>
                <w:color w:val="auto"/>
              </w:rPr>
            </w:pPr>
            <w:r>
              <w:rPr>
                <w:rFonts w:ascii="Arial" w:cs="Arial" w:eastAsia="Arial" w:hAnsi="Arial"/>
                <w:sz w:val="14"/>
                <w:szCs w:val="14"/>
                <w:b w:val="1"/>
                <w:bCs w:val="1"/>
                <w:color w:val="auto"/>
              </w:rPr>
              <w:t>1,938</w:t>
            </w:r>
          </w:p>
        </w:tc>
        <w:tc>
          <w:tcPr>
            <w:tcW w:w="960" w:type="dxa"/>
            <w:vAlign w:val="bottom"/>
            <w:tcBorders>
              <w:bottom w:val="single" w:sz="8" w:color="auto"/>
              <w:right w:val="single" w:sz="8" w:color="auto"/>
            </w:tcBorders>
            <w:shd w:val="clear" w:color="auto" w:fill="D6D6D6"/>
          </w:tcPr>
          <w:p>
            <w:pPr>
              <w:jc w:val="right"/>
              <w:ind w:right="28"/>
              <w:spacing w:after="0"/>
              <w:rPr>
                <w:sz w:val="20"/>
                <w:szCs w:val="20"/>
                <w:color w:val="auto"/>
              </w:rPr>
            </w:pPr>
            <w:r>
              <w:rPr>
                <w:rFonts w:ascii="Arial" w:cs="Arial" w:eastAsia="Arial" w:hAnsi="Arial"/>
                <w:sz w:val="14"/>
                <w:szCs w:val="14"/>
                <w:b w:val="1"/>
                <w:bCs w:val="1"/>
                <w:color w:val="auto"/>
              </w:rPr>
              <w:t>328,214</w:t>
            </w:r>
          </w:p>
        </w:tc>
        <w:tc>
          <w:tcPr>
            <w:tcW w:w="1140" w:type="dxa"/>
            <w:vAlign w:val="bottom"/>
            <w:tcBorders>
              <w:bottom w:val="single" w:sz="8" w:color="auto"/>
            </w:tcBorders>
            <w:shd w:val="clear" w:color="auto" w:fill="D6D6D6"/>
          </w:tcPr>
          <w:p>
            <w:pPr>
              <w:jc w:val="right"/>
              <w:ind w:right="108"/>
              <w:spacing w:after="0"/>
              <w:rPr>
                <w:sz w:val="20"/>
                <w:szCs w:val="20"/>
                <w:color w:val="auto"/>
              </w:rPr>
            </w:pPr>
            <w:r>
              <w:rPr>
                <w:rFonts w:ascii="Arial" w:cs="Arial" w:eastAsia="Arial" w:hAnsi="Arial"/>
                <w:sz w:val="14"/>
                <w:szCs w:val="14"/>
                <w:b w:val="1"/>
                <w:bCs w:val="1"/>
                <w:color w:val="auto"/>
              </w:rPr>
              <w:t>7,781</w:t>
            </w:r>
          </w:p>
        </w:tc>
        <w:tc>
          <w:tcPr>
            <w:tcW w:w="960" w:type="dxa"/>
            <w:vAlign w:val="bottom"/>
            <w:tcBorders>
              <w:bottom w:val="single" w:sz="8" w:color="auto"/>
              <w:right w:val="single" w:sz="8" w:color="auto"/>
            </w:tcBorders>
            <w:shd w:val="clear" w:color="auto" w:fill="D6D6D6"/>
          </w:tcPr>
          <w:p>
            <w:pPr>
              <w:jc w:val="right"/>
              <w:ind w:right="8"/>
              <w:spacing w:after="0"/>
              <w:rPr>
                <w:sz w:val="20"/>
                <w:szCs w:val="20"/>
                <w:color w:val="auto"/>
              </w:rPr>
            </w:pPr>
            <w:r>
              <w:rPr>
                <w:rFonts w:ascii="Arial" w:cs="Arial" w:eastAsia="Arial" w:hAnsi="Arial"/>
                <w:sz w:val="14"/>
                <w:szCs w:val="14"/>
                <w:b w:val="1"/>
                <w:bCs w:val="1"/>
                <w:color w:val="auto"/>
              </w:rPr>
              <w:t>1,204,223</w:t>
            </w:r>
          </w:p>
        </w:tc>
      </w:tr>
      <w:tr>
        <w:trPr>
          <w:trHeight w:val="193"/>
        </w:trPr>
        <w:tc>
          <w:tcPr>
            <w:tcW w:w="4180" w:type="dxa"/>
            <w:vAlign w:val="bottom"/>
            <w:tcBorders>
              <w:left w:val="single" w:sz="8" w:color="auto"/>
              <w:bottom w:val="single" w:sz="8" w:color="auto"/>
              <w:right w:val="single" w:sz="8" w:color="auto"/>
            </w:tcBorders>
          </w:tcPr>
          <w:p>
            <w:pPr>
              <w:ind w:left="300"/>
              <w:spacing w:after="0"/>
              <w:rPr>
                <w:sz w:val="20"/>
                <w:szCs w:val="20"/>
                <w:color w:val="auto"/>
              </w:rPr>
            </w:pPr>
            <w:r>
              <w:rPr>
                <w:rFonts w:ascii="Arial" w:cs="Arial" w:eastAsia="Arial" w:hAnsi="Arial"/>
                <w:sz w:val="14"/>
                <w:szCs w:val="14"/>
                <w:color w:val="auto"/>
              </w:rPr>
              <w:t>Courtyard by Marriott</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937</w:t>
            </w:r>
          </w:p>
        </w:tc>
        <w:tc>
          <w:tcPr>
            <w:tcW w:w="94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126,359</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144</w:t>
            </w:r>
          </w:p>
        </w:tc>
        <w:tc>
          <w:tcPr>
            <w:tcW w:w="960" w:type="dxa"/>
            <w:vAlign w:val="bottom"/>
            <w:tcBorders>
              <w:bottom w:val="single" w:sz="8" w:color="auto"/>
              <w:right w:val="single" w:sz="8" w:color="auto"/>
            </w:tcBorders>
          </w:tcPr>
          <w:p>
            <w:pPr>
              <w:jc w:val="right"/>
              <w:ind w:right="28"/>
              <w:spacing w:after="0"/>
              <w:rPr>
                <w:sz w:val="20"/>
                <w:szCs w:val="20"/>
                <w:color w:val="auto"/>
              </w:rPr>
            </w:pPr>
            <w:r>
              <w:rPr>
                <w:rFonts w:ascii="Arial" w:cs="Arial" w:eastAsia="Arial" w:hAnsi="Arial"/>
                <w:sz w:val="14"/>
                <w:szCs w:val="14"/>
                <w:color w:val="auto"/>
              </w:rPr>
              <w:t>26,596</w:t>
            </w:r>
          </w:p>
        </w:tc>
        <w:tc>
          <w:tcPr>
            <w:tcW w:w="11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1,081</w:t>
            </w:r>
          </w:p>
        </w:tc>
        <w:tc>
          <w:tcPr>
            <w:tcW w:w="9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152,955</w:t>
            </w:r>
          </w:p>
        </w:tc>
      </w:tr>
      <w:tr>
        <w:trPr>
          <w:trHeight w:val="196"/>
        </w:trPr>
        <w:tc>
          <w:tcPr>
            <w:tcW w:w="4180" w:type="dxa"/>
            <w:vAlign w:val="bottom"/>
            <w:tcBorders>
              <w:left w:val="single" w:sz="8" w:color="auto"/>
              <w:bottom w:val="single" w:sz="8" w:color="auto"/>
              <w:right w:val="single" w:sz="8" w:color="auto"/>
            </w:tcBorders>
          </w:tcPr>
          <w:p>
            <w:pPr>
              <w:ind w:left="300"/>
              <w:spacing w:after="0"/>
              <w:rPr>
                <w:sz w:val="20"/>
                <w:szCs w:val="20"/>
                <w:color w:val="auto"/>
              </w:rPr>
            </w:pPr>
            <w:r>
              <w:rPr>
                <w:rFonts w:ascii="Arial" w:cs="Arial" w:eastAsia="Arial" w:hAnsi="Arial"/>
                <w:sz w:val="14"/>
                <w:szCs w:val="14"/>
                <w:color w:val="auto"/>
              </w:rPr>
              <w:t>Fairfield by Marriott</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1,195</w:t>
            </w:r>
          </w:p>
        </w:tc>
        <w:tc>
          <w:tcPr>
            <w:tcW w:w="94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112,916</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135</w:t>
            </w:r>
          </w:p>
        </w:tc>
        <w:tc>
          <w:tcPr>
            <w:tcW w:w="960" w:type="dxa"/>
            <w:vAlign w:val="bottom"/>
            <w:tcBorders>
              <w:bottom w:val="single" w:sz="8" w:color="auto"/>
              <w:right w:val="single" w:sz="8" w:color="auto"/>
            </w:tcBorders>
          </w:tcPr>
          <w:p>
            <w:pPr>
              <w:jc w:val="right"/>
              <w:ind w:right="28"/>
              <w:spacing w:after="0"/>
              <w:rPr>
                <w:sz w:val="20"/>
                <w:szCs w:val="20"/>
                <w:color w:val="auto"/>
              </w:rPr>
            </w:pPr>
            <w:r>
              <w:rPr>
                <w:rFonts w:ascii="Arial" w:cs="Arial" w:eastAsia="Arial" w:hAnsi="Arial"/>
                <w:sz w:val="14"/>
                <w:szCs w:val="14"/>
                <w:color w:val="auto"/>
              </w:rPr>
              <w:t>19,516</w:t>
            </w:r>
          </w:p>
        </w:tc>
        <w:tc>
          <w:tcPr>
            <w:tcW w:w="11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1,330</w:t>
            </w:r>
          </w:p>
        </w:tc>
        <w:tc>
          <w:tcPr>
            <w:tcW w:w="9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132,432</w:t>
            </w:r>
          </w:p>
        </w:tc>
      </w:tr>
      <w:tr>
        <w:trPr>
          <w:trHeight w:val="196"/>
        </w:trPr>
        <w:tc>
          <w:tcPr>
            <w:tcW w:w="4180" w:type="dxa"/>
            <w:vAlign w:val="bottom"/>
            <w:tcBorders>
              <w:left w:val="single" w:sz="8" w:color="auto"/>
              <w:bottom w:val="single" w:sz="8" w:color="auto"/>
              <w:right w:val="single" w:sz="8" w:color="auto"/>
            </w:tcBorders>
          </w:tcPr>
          <w:p>
            <w:pPr>
              <w:ind w:left="300"/>
              <w:spacing w:after="0"/>
              <w:rPr>
                <w:sz w:val="20"/>
                <w:szCs w:val="20"/>
                <w:color w:val="auto"/>
              </w:rPr>
            </w:pPr>
            <w:r>
              <w:rPr>
                <w:rFonts w:ascii="Arial" w:cs="Arial" w:eastAsia="Arial" w:hAnsi="Arial"/>
                <w:sz w:val="14"/>
                <w:szCs w:val="14"/>
                <w:color w:val="auto"/>
              </w:rPr>
              <w:t>Residence Inn by Marriott</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833</w:t>
            </w:r>
          </w:p>
        </w:tc>
        <w:tc>
          <w:tcPr>
            <w:tcW w:w="94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99,477</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41</w:t>
            </w:r>
          </w:p>
        </w:tc>
        <w:tc>
          <w:tcPr>
            <w:tcW w:w="960" w:type="dxa"/>
            <w:vAlign w:val="bottom"/>
            <w:tcBorders>
              <w:bottom w:val="single" w:sz="8" w:color="auto"/>
              <w:right w:val="single" w:sz="8" w:color="auto"/>
            </w:tcBorders>
          </w:tcPr>
          <w:p>
            <w:pPr>
              <w:jc w:val="right"/>
              <w:ind w:right="28"/>
              <w:spacing w:after="0"/>
              <w:rPr>
                <w:sz w:val="20"/>
                <w:szCs w:val="20"/>
                <w:color w:val="auto"/>
              </w:rPr>
            </w:pPr>
            <w:r>
              <w:rPr>
                <w:rFonts w:ascii="Arial" w:cs="Arial" w:eastAsia="Arial" w:hAnsi="Arial"/>
                <w:sz w:val="14"/>
                <w:szCs w:val="14"/>
                <w:color w:val="auto"/>
              </w:rPr>
              <w:t>5,039</w:t>
            </w:r>
          </w:p>
        </w:tc>
        <w:tc>
          <w:tcPr>
            <w:tcW w:w="11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874</w:t>
            </w:r>
          </w:p>
        </w:tc>
        <w:tc>
          <w:tcPr>
            <w:tcW w:w="9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104,516</w:t>
            </w:r>
          </w:p>
        </w:tc>
      </w:tr>
      <w:tr>
        <w:trPr>
          <w:trHeight w:val="196"/>
        </w:trPr>
        <w:tc>
          <w:tcPr>
            <w:tcW w:w="4180" w:type="dxa"/>
            <w:vAlign w:val="bottom"/>
            <w:tcBorders>
              <w:left w:val="single" w:sz="8" w:color="auto"/>
              <w:bottom w:val="single" w:sz="8" w:color="auto"/>
              <w:right w:val="single" w:sz="8" w:color="auto"/>
            </w:tcBorders>
          </w:tcPr>
          <w:p>
            <w:pPr>
              <w:ind w:left="300"/>
              <w:spacing w:after="0"/>
              <w:rPr>
                <w:sz w:val="20"/>
                <w:szCs w:val="20"/>
                <w:color w:val="auto"/>
              </w:rPr>
            </w:pPr>
            <w:r>
              <w:rPr>
                <w:rFonts w:ascii="Arial" w:cs="Arial" w:eastAsia="Arial" w:hAnsi="Arial"/>
                <w:sz w:val="14"/>
                <w:szCs w:val="14"/>
                <w:color w:val="auto"/>
              </w:rPr>
              <w:t>Marriott Hotels</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239</w:t>
            </w:r>
          </w:p>
        </w:tc>
        <w:tc>
          <w:tcPr>
            <w:tcW w:w="94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76,223</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86</w:t>
            </w:r>
          </w:p>
        </w:tc>
        <w:tc>
          <w:tcPr>
            <w:tcW w:w="960" w:type="dxa"/>
            <w:vAlign w:val="bottom"/>
            <w:tcBorders>
              <w:bottom w:val="single" w:sz="8" w:color="auto"/>
              <w:right w:val="single" w:sz="8" w:color="auto"/>
            </w:tcBorders>
          </w:tcPr>
          <w:p>
            <w:pPr>
              <w:jc w:val="right"/>
              <w:ind w:right="28"/>
              <w:spacing w:after="0"/>
              <w:rPr>
                <w:sz w:val="20"/>
                <w:szCs w:val="20"/>
                <w:color w:val="auto"/>
              </w:rPr>
            </w:pPr>
            <w:r>
              <w:rPr>
                <w:rFonts w:ascii="Arial" w:cs="Arial" w:eastAsia="Arial" w:hAnsi="Arial"/>
                <w:sz w:val="14"/>
                <w:szCs w:val="14"/>
                <w:color w:val="auto"/>
              </w:rPr>
              <w:t>23,892</w:t>
            </w:r>
          </w:p>
        </w:tc>
        <w:tc>
          <w:tcPr>
            <w:tcW w:w="11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325</w:t>
            </w:r>
          </w:p>
        </w:tc>
        <w:tc>
          <w:tcPr>
            <w:tcW w:w="9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100,115</w:t>
            </w:r>
          </w:p>
        </w:tc>
      </w:tr>
      <w:tr>
        <w:trPr>
          <w:trHeight w:val="196"/>
        </w:trPr>
        <w:tc>
          <w:tcPr>
            <w:tcW w:w="4180" w:type="dxa"/>
            <w:vAlign w:val="bottom"/>
            <w:tcBorders>
              <w:left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4"/>
                <w:szCs w:val="14"/>
                <w:color w:val="auto"/>
              </w:rPr>
              <w:t>Autograph Collection</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162</w:t>
            </w:r>
          </w:p>
        </w:tc>
        <w:tc>
          <w:tcPr>
            <w:tcW w:w="94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36,309</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171</w:t>
            </w:r>
          </w:p>
        </w:tc>
        <w:tc>
          <w:tcPr>
            <w:tcW w:w="960" w:type="dxa"/>
            <w:vAlign w:val="bottom"/>
            <w:tcBorders>
              <w:bottom w:val="single" w:sz="8" w:color="auto"/>
              <w:right w:val="single" w:sz="8" w:color="auto"/>
            </w:tcBorders>
          </w:tcPr>
          <w:p>
            <w:pPr>
              <w:jc w:val="right"/>
              <w:ind w:right="28"/>
              <w:spacing w:after="0"/>
              <w:rPr>
                <w:sz w:val="20"/>
                <w:szCs w:val="20"/>
                <w:color w:val="auto"/>
              </w:rPr>
            </w:pPr>
            <w:r>
              <w:rPr>
                <w:rFonts w:ascii="Arial" w:cs="Arial" w:eastAsia="Arial" w:hAnsi="Arial"/>
                <w:sz w:val="14"/>
                <w:szCs w:val="14"/>
                <w:color w:val="auto"/>
              </w:rPr>
              <w:t>33,982</w:t>
            </w:r>
          </w:p>
        </w:tc>
        <w:tc>
          <w:tcPr>
            <w:tcW w:w="11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333</w:t>
            </w:r>
          </w:p>
        </w:tc>
        <w:tc>
          <w:tcPr>
            <w:tcW w:w="9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70,291</w:t>
            </w:r>
          </w:p>
        </w:tc>
      </w:tr>
      <w:tr>
        <w:trPr>
          <w:trHeight w:val="196"/>
        </w:trPr>
        <w:tc>
          <w:tcPr>
            <w:tcW w:w="4180" w:type="dxa"/>
            <w:vAlign w:val="bottom"/>
            <w:tcBorders>
              <w:left w:val="single" w:sz="8" w:color="auto"/>
              <w:bottom w:val="single" w:sz="8" w:color="auto"/>
              <w:right w:val="single" w:sz="8" w:color="auto"/>
            </w:tcBorders>
          </w:tcPr>
          <w:p>
            <w:pPr>
              <w:ind w:left="300"/>
              <w:spacing w:after="0"/>
              <w:rPr>
                <w:sz w:val="20"/>
                <w:szCs w:val="20"/>
                <w:color w:val="auto"/>
              </w:rPr>
            </w:pPr>
            <w:r>
              <w:rPr>
                <w:rFonts w:ascii="Arial" w:cs="Arial" w:eastAsia="Arial" w:hAnsi="Arial"/>
                <w:sz w:val="14"/>
                <w:szCs w:val="14"/>
                <w:color w:val="auto"/>
              </w:rPr>
              <w:t>SpringHill Suites by Marriott</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575</w:t>
            </w:r>
          </w:p>
        </w:tc>
        <w:tc>
          <w:tcPr>
            <w:tcW w:w="94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67,563</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right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575</w:t>
            </w:r>
          </w:p>
        </w:tc>
        <w:tc>
          <w:tcPr>
            <w:tcW w:w="9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67,563</w:t>
            </w:r>
          </w:p>
        </w:tc>
      </w:tr>
      <w:tr>
        <w:trPr>
          <w:trHeight w:val="196"/>
        </w:trPr>
        <w:tc>
          <w:tcPr>
            <w:tcW w:w="4180" w:type="dxa"/>
            <w:vAlign w:val="bottom"/>
            <w:tcBorders>
              <w:left w:val="single" w:sz="8" w:color="auto"/>
              <w:bottom w:val="single" w:sz="8" w:color="auto"/>
              <w:right w:val="single" w:sz="8" w:color="auto"/>
            </w:tcBorders>
          </w:tcPr>
          <w:p>
            <w:pPr>
              <w:ind w:left="300"/>
              <w:spacing w:after="0"/>
              <w:rPr>
                <w:sz w:val="20"/>
                <w:szCs w:val="20"/>
                <w:color w:val="auto"/>
              </w:rPr>
            </w:pPr>
            <w:r>
              <w:rPr>
                <w:rFonts w:ascii="Arial" w:cs="Arial" w:eastAsia="Arial" w:hAnsi="Arial"/>
                <w:sz w:val="14"/>
                <w:szCs w:val="14"/>
                <w:color w:val="auto"/>
              </w:rPr>
              <w:t>Sheraton</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137</w:t>
            </w:r>
          </w:p>
        </w:tc>
        <w:tc>
          <w:tcPr>
            <w:tcW w:w="94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42,428</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86</w:t>
            </w:r>
          </w:p>
        </w:tc>
        <w:tc>
          <w:tcPr>
            <w:tcW w:w="960" w:type="dxa"/>
            <w:vAlign w:val="bottom"/>
            <w:tcBorders>
              <w:bottom w:val="single" w:sz="8" w:color="auto"/>
              <w:right w:val="single" w:sz="8" w:color="auto"/>
            </w:tcBorders>
          </w:tcPr>
          <w:p>
            <w:pPr>
              <w:jc w:val="right"/>
              <w:ind w:right="28"/>
              <w:spacing w:after="0"/>
              <w:rPr>
                <w:sz w:val="20"/>
                <w:szCs w:val="20"/>
                <w:color w:val="auto"/>
              </w:rPr>
            </w:pPr>
            <w:r>
              <w:rPr>
                <w:rFonts w:ascii="Arial" w:cs="Arial" w:eastAsia="Arial" w:hAnsi="Arial"/>
                <w:sz w:val="14"/>
                <w:szCs w:val="14"/>
                <w:color w:val="auto"/>
              </w:rPr>
              <w:t>23,776</w:t>
            </w:r>
          </w:p>
        </w:tc>
        <w:tc>
          <w:tcPr>
            <w:tcW w:w="11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223</w:t>
            </w:r>
          </w:p>
        </w:tc>
        <w:tc>
          <w:tcPr>
            <w:tcW w:w="9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66,204</w:t>
            </w:r>
          </w:p>
        </w:tc>
      </w:tr>
      <w:tr>
        <w:trPr>
          <w:trHeight w:val="196"/>
        </w:trPr>
        <w:tc>
          <w:tcPr>
            <w:tcW w:w="4180" w:type="dxa"/>
            <w:vAlign w:val="bottom"/>
            <w:tcBorders>
              <w:left w:val="single" w:sz="8" w:color="auto"/>
              <w:bottom w:val="single" w:sz="8" w:color="auto"/>
              <w:right w:val="single" w:sz="8" w:color="auto"/>
            </w:tcBorders>
          </w:tcPr>
          <w:p>
            <w:pPr>
              <w:ind w:left="300"/>
              <w:spacing w:after="0"/>
              <w:rPr>
                <w:sz w:val="20"/>
                <w:szCs w:val="20"/>
                <w:color w:val="auto"/>
              </w:rPr>
            </w:pPr>
            <w:r>
              <w:rPr>
                <w:rFonts w:ascii="Arial" w:cs="Arial" w:eastAsia="Arial" w:hAnsi="Arial"/>
                <w:sz w:val="14"/>
                <w:szCs w:val="14"/>
                <w:color w:val="auto"/>
              </w:rPr>
              <w:t>TownePlace Suites by Marriott</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575</w:t>
            </w:r>
          </w:p>
        </w:tc>
        <w:tc>
          <w:tcPr>
            <w:tcW w:w="94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57,774</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right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575</w:t>
            </w:r>
          </w:p>
        </w:tc>
        <w:tc>
          <w:tcPr>
            <w:tcW w:w="9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57,774</w:t>
            </w:r>
          </w:p>
        </w:tc>
      </w:tr>
      <w:tr>
        <w:trPr>
          <w:trHeight w:val="196"/>
        </w:trPr>
        <w:tc>
          <w:tcPr>
            <w:tcW w:w="4180" w:type="dxa"/>
            <w:vAlign w:val="bottom"/>
            <w:tcBorders>
              <w:left w:val="single" w:sz="8" w:color="auto"/>
              <w:bottom w:val="single" w:sz="8" w:color="auto"/>
              <w:right w:val="single" w:sz="8" w:color="auto"/>
            </w:tcBorders>
          </w:tcPr>
          <w:p>
            <w:pPr>
              <w:ind w:left="300"/>
              <w:spacing w:after="0"/>
              <w:rPr>
                <w:sz w:val="20"/>
                <w:szCs w:val="20"/>
                <w:color w:val="auto"/>
              </w:rPr>
            </w:pPr>
            <w:r>
              <w:rPr>
                <w:rFonts w:ascii="Arial" w:cs="Arial" w:eastAsia="Arial" w:hAnsi="Arial"/>
                <w:sz w:val="14"/>
                <w:szCs w:val="14"/>
                <w:color w:val="auto"/>
              </w:rPr>
              <w:t>Four Points by Sheraton</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145</w:t>
            </w:r>
          </w:p>
        </w:tc>
        <w:tc>
          <w:tcPr>
            <w:tcW w:w="94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20,857</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159</w:t>
            </w:r>
          </w:p>
        </w:tc>
        <w:tc>
          <w:tcPr>
            <w:tcW w:w="960" w:type="dxa"/>
            <w:vAlign w:val="bottom"/>
            <w:tcBorders>
              <w:bottom w:val="single" w:sz="8" w:color="auto"/>
              <w:right w:val="single" w:sz="8" w:color="auto"/>
            </w:tcBorders>
          </w:tcPr>
          <w:p>
            <w:pPr>
              <w:jc w:val="right"/>
              <w:ind w:right="28"/>
              <w:spacing w:after="0"/>
              <w:rPr>
                <w:sz w:val="20"/>
                <w:szCs w:val="20"/>
                <w:color w:val="auto"/>
              </w:rPr>
            </w:pPr>
            <w:r>
              <w:rPr>
                <w:rFonts w:ascii="Arial" w:cs="Arial" w:eastAsia="Arial" w:hAnsi="Arial"/>
                <w:sz w:val="14"/>
                <w:szCs w:val="14"/>
                <w:color w:val="auto"/>
              </w:rPr>
              <w:t>28,878</w:t>
            </w:r>
          </w:p>
        </w:tc>
        <w:tc>
          <w:tcPr>
            <w:tcW w:w="11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304</w:t>
            </w:r>
          </w:p>
        </w:tc>
        <w:tc>
          <w:tcPr>
            <w:tcW w:w="9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49,735</w:t>
            </w:r>
          </w:p>
        </w:tc>
      </w:tr>
      <w:tr>
        <w:trPr>
          <w:trHeight w:val="196"/>
        </w:trPr>
        <w:tc>
          <w:tcPr>
            <w:tcW w:w="4180" w:type="dxa"/>
            <w:vAlign w:val="bottom"/>
            <w:tcBorders>
              <w:left w:val="single" w:sz="8" w:color="auto"/>
              <w:bottom w:val="single" w:sz="8" w:color="auto"/>
              <w:right w:val="single" w:sz="8" w:color="auto"/>
            </w:tcBorders>
          </w:tcPr>
          <w:p>
            <w:pPr>
              <w:ind w:left="300"/>
              <w:spacing w:after="0"/>
              <w:rPr>
                <w:sz w:val="20"/>
                <w:szCs w:val="20"/>
                <w:color w:val="auto"/>
              </w:rPr>
            </w:pPr>
            <w:r>
              <w:rPr>
                <w:rFonts w:ascii="Arial" w:cs="Arial" w:eastAsia="Arial" w:hAnsi="Arial"/>
                <w:sz w:val="14"/>
                <w:szCs w:val="14"/>
                <w:color w:val="auto"/>
              </w:rPr>
              <w:t>Westin</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97</w:t>
            </w:r>
          </w:p>
        </w:tc>
        <w:tc>
          <w:tcPr>
            <w:tcW w:w="94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33,215</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34</w:t>
            </w:r>
          </w:p>
        </w:tc>
        <w:tc>
          <w:tcPr>
            <w:tcW w:w="960" w:type="dxa"/>
            <w:vAlign w:val="bottom"/>
            <w:tcBorders>
              <w:bottom w:val="single" w:sz="8" w:color="auto"/>
              <w:right w:val="single" w:sz="8" w:color="auto"/>
            </w:tcBorders>
          </w:tcPr>
          <w:p>
            <w:pPr>
              <w:jc w:val="right"/>
              <w:ind w:right="28"/>
              <w:spacing w:after="0"/>
              <w:rPr>
                <w:sz w:val="20"/>
                <w:szCs w:val="20"/>
                <w:color w:val="auto"/>
              </w:rPr>
            </w:pPr>
            <w:r>
              <w:rPr>
                <w:rFonts w:ascii="Arial" w:cs="Arial" w:eastAsia="Arial" w:hAnsi="Arial"/>
                <w:sz w:val="14"/>
                <w:szCs w:val="14"/>
                <w:color w:val="auto"/>
              </w:rPr>
              <w:t>10,180</w:t>
            </w:r>
          </w:p>
        </w:tc>
        <w:tc>
          <w:tcPr>
            <w:tcW w:w="11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131</w:t>
            </w:r>
          </w:p>
        </w:tc>
        <w:tc>
          <w:tcPr>
            <w:tcW w:w="9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43,395</w:t>
            </w:r>
          </w:p>
        </w:tc>
      </w:tr>
      <w:tr>
        <w:trPr>
          <w:trHeight w:val="196"/>
        </w:trPr>
        <w:tc>
          <w:tcPr>
            <w:tcW w:w="4180" w:type="dxa"/>
            <w:vAlign w:val="bottom"/>
            <w:tcBorders>
              <w:left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4"/>
                <w:szCs w:val="14"/>
                <w:color w:val="auto"/>
              </w:rPr>
              <w:t>AC Hotels by Marriott</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136</w:t>
            </w:r>
          </w:p>
        </w:tc>
        <w:tc>
          <w:tcPr>
            <w:tcW w:w="94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22,626</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108</w:t>
            </w:r>
          </w:p>
        </w:tc>
        <w:tc>
          <w:tcPr>
            <w:tcW w:w="960" w:type="dxa"/>
            <w:vAlign w:val="bottom"/>
            <w:tcBorders>
              <w:bottom w:val="single" w:sz="8" w:color="auto"/>
              <w:right w:val="single" w:sz="8" w:color="auto"/>
            </w:tcBorders>
          </w:tcPr>
          <w:p>
            <w:pPr>
              <w:jc w:val="right"/>
              <w:ind w:right="28"/>
              <w:spacing w:after="0"/>
              <w:rPr>
                <w:sz w:val="20"/>
                <w:szCs w:val="20"/>
                <w:color w:val="auto"/>
              </w:rPr>
            </w:pPr>
            <w:r>
              <w:rPr>
                <w:rFonts w:ascii="Arial" w:cs="Arial" w:eastAsia="Arial" w:hAnsi="Arial"/>
                <w:sz w:val="14"/>
                <w:szCs w:val="14"/>
                <w:color w:val="auto"/>
              </w:rPr>
              <w:t>15,889</w:t>
            </w:r>
          </w:p>
        </w:tc>
        <w:tc>
          <w:tcPr>
            <w:tcW w:w="11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244</w:t>
            </w:r>
          </w:p>
        </w:tc>
        <w:tc>
          <w:tcPr>
            <w:tcW w:w="9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38,515</w:t>
            </w:r>
          </w:p>
        </w:tc>
      </w:tr>
      <w:tr>
        <w:trPr>
          <w:trHeight w:val="196"/>
        </w:trPr>
        <w:tc>
          <w:tcPr>
            <w:tcW w:w="4180" w:type="dxa"/>
            <w:vAlign w:val="bottom"/>
            <w:tcBorders>
              <w:left w:val="single" w:sz="8" w:color="auto"/>
              <w:bottom w:val="single" w:sz="8" w:color="auto"/>
              <w:right w:val="single" w:sz="8" w:color="auto"/>
            </w:tcBorders>
          </w:tcPr>
          <w:p>
            <w:pPr>
              <w:ind w:left="300"/>
              <w:spacing w:after="0"/>
              <w:rPr>
                <w:sz w:val="20"/>
                <w:szCs w:val="20"/>
                <w:color w:val="auto"/>
              </w:rPr>
            </w:pPr>
            <w:r>
              <w:rPr>
                <w:rFonts w:ascii="Arial" w:cs="Arial" w:eastAsia="Arial" w:hAnsi="Arial"/>
                <w:sz w:val="14"/>
                <w:szCs w:val="14"/>
                <w:color w:val="auto"/>
              </w:rPr>
              <w:t>Moxy Hotels</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49</w:t>
            </w:r>
          </w:p>
        </w:tc>
        <w:tc>
          <w:tcPr>
            <w:tcW w:w="94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8,407</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116</w:t>
            </w:r>
          </w:p>
        </w:tc>
        <w:tc>
          <w:tcPr>
            <w:tcW w:w="960" w:type="dxa"/>
            <w:vAlign w:val="bottom"/>
            <w:tcBorders>
              <w:bottom w:val="single" w:sz="8" w:color="auto"/>
              <w:right w:val="single" w:sz="8" w:color="auto"/>
            </w:tcBorders>
          </w:tcPr>
          <w:p>
            <w:pPr>
              <w:jc w:val="right"/>
              <w:ind w:right="28"/>
              <w:spacing w:after="0"/>
              <w:rPr>
                <w:sz w:val="20"/>
                <w:szCs w:val="20"/>
                <w:color w:val="auto"/>
              </w:rPr>
            </w:pPr>
            <w:r>
              <w:rPr>
                <w:rFonts w:ascii="Arial" w:cs="Arial" w:eastAsia="Arial" w:hAnsi="Arial"/>
                <w:sz w:val="14"/>
                <w:szCs w:val="14"/>
                <w:color w:val="auto"/>
              </w:rPr>
              <w:t>21,909</w:t>
            </w:r>
          </w:p>
        </w:tc>
        <w:tc>
          <w:tcPr>
            <w:tcW w:w="11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165</w:t>
            </w:r>
          </w:p>
        </w:tc>
        <w:tc>
          <w:tcPr>
            <w:tcW w:w="9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30,316</w:t>
            </w:r>
          </w:p>
        </w:tc>
      </w:tr>
      <w:tr>
        <w:trPr>
          <w:trHeight w:val="196"/>
        </w:trPr>
        <w:tc>
          <w:tcPr>
            <w:tcW w:w="4180" w:type="dxa"/>
            <w:vAlign w:val="bottom"/>
            <w:tcBorders>
              <w:left w:val="single" w:sz="8" w:color="auto"/>
              <w:bottom w:val="single" w:sz="8" w:color="auto"/>
              <w:right w:val="single" w:sz="8" w:color="auto"/>
            </w:tcBorders>
          </w:tcPr>
          <w:p>
            <w:pPr>
              <w:ind w:left="300"/>
              <w:spacing w:after="0"/>
              <w:rPr>
                <w:sz w:val="20"/>
                <w:szCs w:val="20"/>
                <w:color w:val="auto"/>
              </w:rPr>
            </w:pPr>
            <w:r>
              <w:rPr>
                <w:rFonts w:ascii="Arial" w:cs="Arial" w:eastAsia="Arial" w:hAnsi="Arial"/>
                <w:sz w:val="14"/>
                <w:szCs w:val="14"/>
                <w:color w:val="auto"/>
              </w:rPr>
              <w:t>Tribute Portfolio</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105</w:t>
            </w:r>
          </w:p>
        </w:tc>
        <w:tc>
          <w:tcPr>
            <w:tcW w:w="94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19,633</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72</w:t>
            </w:r>
          </w:p>
        </w:tc>
        <w:tc>
          <w:tcPr>
            <w:tcW w:w="960" w:type="dxa"/>
            <w:vAlign w:val="bottom"/>
            <w:tcBorders>
              <w:bottom w:val="single" w:sz="8" w:color="auto"/>
              <w:right w:val="single" w:sz="8" w:color="auto"/>
            </w:tcBorders>
          </w:tcPr>
          <w:p>
            <w:pPr>
              <w:jc w:val="right"/>
              <w:ind w:right="28"/>
              <w:spacing w:after="0"/>
              <w:rPr>
                <w:sz w:val="20"/>
                <w:szCs w:val="20"/>
                <w:color w:val="auto"/>
              </w:rPr>
            </w:pPr>
            <w:r>
              <w:rPr>
                <w:rFonts w:ascii="Arial" w:cs="Arial" w:eastAsia="Arial" w:hAnsi="Arial"/>
                <w:sz w:val="14"/>
                <w:szCs w:val="14"/>
                <w:color w:val="auto"/>
              </w:rPr>
              <w:t>10,668</w:t>
            </w:r>
          </w:p>
        </w:tc>
        <w:tc>
          <w:tcPr>
            <w:tcW w:w="11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177</w:t>
            </w:r>
          </w:p>
        </w:tc>
        <w:tc>
          <w:tcPr>
            <w:tcW w:w="9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30,301</w:t>
            </w:r>
          </w:p>
        </w:tc>
      </w:tr>
      <w:tr>
        <w:trPr>
          <w:trHeight w:val="196"/>
        </w:trPr>
        <w:tc>
          <w:tcPr>
            <w:tcW w:w="4180" w:type="dxa"/>
            <w:vAlign w:val="bottom"/>
            <w:tcBorders>
              <w:left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4"/>
                <w:szCs w:val="14"/>
                <w:color w:val="auto"/>
              </w:rPr>
              <w:t>Aloft Hotels</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167</w:t>
            </w:r>
          </w:p>
        </w:tc>
        <w:tc>
          <w:tcPr>
            <w:tcW w:w="94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23,905</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30</w:t>
            </w:r>
          </w:p>
        </w:tc>
        <w:tc>
          <w:tcPr>
            <w:tcW w:w="960" w:type="dxa"/>
            <w:vAlign w:val="bottom"/>
            <w:tcBorders>
              <w:bottom w:val="single" w:sz="8" w:color="auto"/>
              <w:right w:val="single" w:sz="8" w:color="auto"/>
            </w:tcBorders>
          </w:tcPr>
          <w:p>
            <w:pPr>
              <w:jc w:val="right"/>
              <w:ind w:right="28"/>
              <w:spacing w:after="0"/>
              <w:rPr>
                <w:sz w:val="20"/>
                <w:szCs w:val="20"/>
                <w:color w:val="auto"/>
              </w:rPr>
            </w:pPr>
            <w:r>
              <w:rPr>
                <w:rFonts w:ascii="Arial" w:cs="Arial" w:eastAsia="Arial" w:hAnsi="Arial"/>
                <w:sz w:val="14"/>
                <w:szCs w:val="14"/>
                <w:color w:val="auto"/>
              </w:rPr>
              <w:t>5,776</w:t>
            </w:r>
          </w:p>
        </w:tc>
        <w:tc>
          <w:tcPr>
            <w:tcW w:w="11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197</w:t>
            </w:r>
          </w:p>
        </w:tc>
        <w:tc>
          <w:tcPr>
            <w:tcW w:w="9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29,681</w:t>
            </w:r>
          </w:p>
        </w:tc>
      </w:tr>
      <w:tr>
        <w:trPr>
          <w:trHeight w:val="196"/>
        </w:trPr>
        <w:tc>
          <w:tcPr>
            <w:tcW w:w="4180" w:type="dxa"/>
            <w:vAlign w:val="bottom"/>
            <w:tcBorders>
              <w:left w:val="single" w:sz="8" w:color="auto"/>
              <w:bottom w:val="single" w:sz="8" w:color="auto"/>
              <w:right w:val="single" w:sz="8" w:color="auto"/>
            </w:tcBorders>
          </w:tcPr>
          <w:p>
            <w:pPr>
              <w:ind w:left="300"/>
              <w:spacing w:after="0"/>
              <w:rPr>
                <w:sz w:val="20"/>
                <w:szCs w:val="20"/>
                <w:color w:val="auto"/>
              </w:rPr>
            </w:pPr>
            <w:r>
              <w:rPr>
                <w:rFonts w:ascii="Arial" w:cs="Arial" w:eastAsia="Arial" w:hAnsi="Arial"/>
                <w:sz w:val="14"/>
                <w:szCs w:val="14"/>
                <w:color w:val="auto"/>
              </w:rPr>
              <w:t>Renaissance Hotels</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73</w:t>
            </w:r>
          </w:p>
        </w:tc>
        <w:tc>
          <w:tcPr>
            <w:tcW w:w="94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20,153</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34</w:t>
            </w:r>
          </w:p>
        </w:tc>
        <w:tc>
          <w:tcPr>
            <w:tcW w:w="960" w:type="dxa"/>
            <w:vAlign w:val="bottom"/>
            <w:tcBorders>
              <w:bottom w:val="single" w:sz="8" w:color="auto"/>
              <w:right w:val="single" w:sz="8" w:color="auto"/>
            </w:tcBorders>
          </w:tcPr>
          <w:p>
            <w:pPr>
              <w:jc w:val="right"/>
              <w:ind w:right="28"/>
              <w:spacing w:after="0"/>
              <w:rPr>
                <w:sz w:val="20"/>
                <w:szCs w:val="20"/>
                <w:color w:val="auto"/>
              </w:rPr>
            </w:pPr>
            <w:r>
              <w:rPr>
                <w:rFonts w:ascii="Arial" w:cs="Arial" w:eastAsia="Arial" w:hAnsi="Arial"/>
                <w:sz w:val="14"/>
                <w:szCs w:val="14"/>
                <w:color w:val="auto"/>
              </w:rPr>
              <w:t>8,750</w:t>
            </w:r>
          </w:p>
        </w:tc>
        <w:tc>
          <w:tcPr>
            <w:tcW w:w="11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107</w:t>
            </w:r>
          </w:p>
        </w:tc>
        <w:tc>
          <w:tcPr>
            <w:tcW w:w="9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28,903</w:t>
            </w:r>
          </w:p>
        </w:tc>
      </w:tr>
      <w:tr>
        <w:trPr>
          <w:trHeight w:val="196"/>
        </w:trPr>
        <w:tc>
          <w:tcPr>
            <w:tcW w:w="4180" w:type="dxa"/>
            <w:vAlign w:val="bottom"/>
            <w:tcBorders>
              <w:left w:val="single" w:sz="8" w:color="auto"/>
              <w:bottom w:val="single" w:sz="8" w:color="auto"/>
              <w:right w:val="single" w:sz="8" w:color="auto"/>
            </w:tcBorders>
          </w:tcPr>
          <w:p>
            <w:pPr>
              <w:ind w:left="300"/>
              <w:spacing w:after="0"/>
              <w:rPr>
                <w:sz w:val="20"/>
                <w:szCs w:val="20"/>
                <w:color w:val="auto"/>
              </w:rPr>
            </w:pPr>
            <w:r>
              <w:rPr>
                <w:rFonts w:ascii="Arial" w:cs="Arial" w:eastAsia="Arial" w:hAnsi="Arial"/>
                <w:sz w:val="14"/>
                <w:szCs w:val="14"/>
                <w:color w:val="auto"/>
              </w:rPr>
              <w:t>MGM Collection with Marriott Bonvoy</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12</w:t>
            </w:r>
          </w:p>
        </w:tc>
        <w:tc>
          <w:tcPr>
            <w:tcW w:w="94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26,210</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right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12</w:t>
            </w:r>
          </w:p>
        </w:tc>
        <w:tc>
          <w:tcPr>
            <w:tcW w:w="9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26,210</w:t>
            </w:r>
          </w:p>
        </w:tc>
      </w:tr>
      <w:tr>
        <w:trPr>
          <w:trHeight w:val="196"/>
        </w:trPr>
        <w:tc>
          <w:tcPr>
            <w:tcW w:w="4180" w:type="dxa"/>
            <w:vAlign w:val="bottom"/>
            <w:tcBorders>
              <w:left w:val="single" w:sz="8" w:color="auto"/>
              <w:bottom w:val="single" w:sz="8" w:color="auto"/>
              <w:right w:val="single" w:sz="8" w:color="auto"/>
            </w:tcBorders>
          </w:tcPr>
          <w:p>
            <w:pPr>
              <w:ind w:left="300"/>
              <w:spacing w:after="0"/>
              <w:rPr>
                <w:sz w:val="20"/>
                <w:szCs w:val="20"/>
                <w:color w:val="auto"/>
              </w:rPr>
            </w:pPr>
            <w:r>
              <w:rPr>
                <w:rFonts w:ascii="Arial" w:cs="Arial" w:eastAsia="Arial" w:hAnsi="Arial"/>
                <w:sz w:val="14"/>
                <w:szCs w:val="14"/>
                <w:color w:val="auto"/>
              </w:rPr>
              <w:t>Delta Hotels by Marriott</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70</w:t>
            </w:r>
          </w:p>
        </w:tc>
        <w:tc>
          <w:tcPr>
            <w:tcW w:w="94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15,864</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41</w:t>
            </w:r>
          </w:p>
        </w:tc>
        <w:tc>
          <w:tcPr>
            <w:tcW w:w="960" w:type="dxa"/>
            <w:vAlign w:val="bottom"/>
            <w:tcBorders>
              <w:bottom w:val="single" w:sz="8" w:color="auto"/>
              <w:right w:val="single" w:sz="8" w:color="auto"/>
            </w:tcBorders>
          </w:tcPr>
          <w:p>
            <w:pPr>
              <w:jc w:val="right"/>
              <w:ind w:right="28"/>
              <w:spacing w:after="0"/>
              <w:rPr>
                <w:sz w:val="20"/>
                <w:szCs w:val="20"/>
                <w:color w:val="auto"/>
              </w:rPr>
            </w:pPr>
            <w:r>
              <w:rPr>
                <w:rFonts w:ascii="Arial" w:cs="Arial" w:eastAsia="Arial" w:hAnsi="Arial"/>
                <w:sz w:val="14"/>
                <w:szCs w:val="14"/>
                <w:color w:val="auto"/>
              </w:rPr>
              <w:t>7,926</w:t>
            </w:r>
          </w:p>
        </w:tc>
        <w:tc>
          <w:tcPr>
            <w:tcW w:w="11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111</w:t>
            </w:r>
          </w:p>
        </w:tc>
        <w:tc>
          <w:tcPr>
            <w:tcW w:w="9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23,790</w:t>
            </w:r>
          </w:p>
        </w:tc>
      </w:tr>
      <w:tr>
        <w:trPr>
          <w:trHeight w:val="196"/>
        </w:trPr>
        <w:tc>
          <w:tcPr>
            <w:tcW w:w="4180" w:type="dxa"/>
            <w:vAlign w:val="bottom"/>
            <w:tcBorders>
              <w:left w:val="single" w:sz="8" w:color="auto"/>
              <w:bottom w:val="single" w:sz="8" w:color="auto"/>
              <w:right w:val="single" w:sz="8" w:color="auto"/>
            </w:tcBorders>
          </w:tcPr>
          <w:p>
            <w:pPr>
              <w:ind w:left="300"/>
              <w:spacing w:after="0"/>
              <w:rPr>
                <w:sz w:val="20"/>
                <w:szCs w:val="20"/>
                <w:color w:val="auto"/>
              </w:rPr>
            </w:pPr>
            <w:r>
              <w:rPr>
                <w:rFonts w:ascii="Arial" w:cs="Arial" w:eastAsia="Arial" w:hAnsi="Arial"/>
                <w:sz w:val="14"/>
                <w:szCs w:val="14"/>
                <w:color w:val="auto"/>
              </w:rPr>
              <w:t>Timeshare*</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73</w:t>
            </w:r>
          </w:p>
        </w:tc>
        <w:tc>
          <w:tcPr>
            <w:tcW w:w="94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18,949</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22</w:t>
            </w:r>
          </w:p>
        </w:tc>
        <w:tc>
          <w:tcPr>
            <w:tcW w:w="960" w:type="dxa"/>
            <w:vAlign w:val="bottom"/>
            <w:tcBorders>
              <w:bottom w:val="single" w:sz="8" w:color="auto"/>
              <w:right w:val="single" w:sz="8" w:color="auto"/>
            </w:tcBorders>
          </w:tcPr>
          <w:p>
            <w:pPr>
              <w:jc w:val="right"/>
              <w:ind w:right="28"/>
              <w:spacing w:after="0"/>
              <w:rPr>
                <w:sz w:val="20"/>
                <w:szCs w:val="20"/>
                <w:color w:val="auto"/>
              </w:rPr>
            </w:pPr>
            <w:r>
              <w:rPr>
                <w:rFonts w:ascii="Arial" w:cs="Arial" w:eastAsia="Arial" w:hAnsi="Arial"/>
                <w:sz w:val="14"/>
                <w:szCs w:val="14"/>
                <w:color w:val="auto"/>
              </w:rPr>
              <w:t>3,963</w:t>
            </w:r>
          </w:p>
        </w:tc>
        <w:tc>
          <w:tcPr>
            <w:tcW w:w="11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95</w:t>
            </w:r>
          </w:p>
        </w:tc>
        <w:tc>
          <w:tcPr>
            <w:tcW w:w="9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22,912</w:t>
            </w:r>
          </w:p>
        </w:tc>
      </w:tr>
      <w:tr>
        <w:trPr>
          <w:trHeight w:val="196"/>
        </w:trPr>
        <w:tc>
          <w:tcPr>
            <w:tcW w:w="4180" w:type="dxa"/>
            <w:vAlign w:val="bottom"/>
            <w:tcBorders>
              <w:left w:val="single" w:sz="8" w:color="auto"/>
              <w:bottom w:val="single" w:sz="8" w:color="auto"/>
              <w:right w:val="single" w:sz="8" w:color="auto"/>
            </w:tcBorders>
          </w:tcPr>
          <w:p>
            <w:pPr>
              <w:ind w:left="300"/>
              <w:spacing w:after="0"/>
              <w:rPr>
                <w:sz w:val="20"/>
                <w:szCs w:val="20"/>
                <w:color w:val="auto"/>
              </w:rPr>
            </w:pPr>
            <w:r>
              <w:rPr>
                <w:rFonts w:ascii="Arial" w:cs="Arial" w:eastAsia="Arial" w:hAnsi="Arial"/>
                <w:sz w:val="14"/>
                <w:szCs w:val="14"/>
                <w:color w:val="auto"/>
              </w:rPr>
              <w:t>The Luxury Collection</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17</w:t>
            </w:r>
          </w:p>
        </w:tc>
        <w:tc>
          <w:tcPr>
            <w:tcW w:w="94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8,245</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66</w:t>
            </w:r>
          </w:p>
        </w:tc>
        <w:tc>
          <w:tcPr>
            <w:tcW w:w="960" w:type="dxa"/>
            <w:vAlign w:val="bottom"/>
            <w:tcBorders>
              <w:bottom w:val="single" w:sz="8" w:color="auto"/>
              <w:right w:val="single" w:sz="8" w:color="auto"/>
            </w:tcBorders>
          </w:tcPr>
          <w:p>
            <w:pPr>
              <w:jc w:val="right"/>
              <w:ind w:right="28"/>
              <w:spacing w:after="0"/>
              <w:rPr>
                <w:sz w:val="20"/>
                <w:szCs w:val="20"/>
                <w:color w:val="auto"/>
              </w:rPr>
            </w:pPr>
            <w:r>
              <w:rPr>
                <w:rFonts w:ascii="Arial" w:cs="Arial" w:eastAsia="Arial" w:hAnsi="Arial"/>
                <w:sz w:val="14"/>
                <w:szCs w:val="14"/>
                <w:color w:val="auto"/>
              </w:rPr>
              <w:t>14,203</w:t>
            </w:r>
          </w:p>
        </w:tc>
        <w:tc>
          <w:tcPr>
            <w:tcW w:w="11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83</w:t>
            </w:r>
          </w:p>
        </w:tc>
        <w:tc>
          <w:tcPr>
            <w:tcW w:w="9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22,448</w:t>
            </w:r>
          </w:p>
        </w:tc>
      </w:tr>
      <w:tr>
        <w:trPr>
          <w:trHeight w:val="196"/>
        </w:trPr>
        <w:tc>
          <w:tcPr>
            <w:tcW w:w="4180" w:type="dxa"/>
            <w:vAlign w:val="bottom"/>
            <w:tcBorders>
              <w:left w:val="single" w:sz="8" w:color="auto"/>
              <w:bottom w:val="single" w:sz="8" w:color="auto"/>
              <w:right w:val="single" w:sz="8" w:color="auto"/>
            </w:tcBorders>
          </w:tcPr>
          <w:p>
            <w:pPr>
              <w:ind w:left="300"/>
              <w:spacing w:after="0"/>
              <w:rPr>
                <w:sz w:val="20"/>
                <w:szCs w:val="20"/>
                <w:color w:val="auto"/>
              </w:rPr>
            </w:pPr>
            <w:r>
              <w:rPr>
                <w:rFonts w:ascii="Arial" w:cs="Arial" w:eastAsia="Arial" w:hAnsi="Arial"/>
                <w:sz w:val="14"/>
                <w:szCs w:val="14"/>
                <w:color w:val="auto"/>
              </w:rPr>
              <w:t>City Express by Marriott</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16</w:t>
            </w:r>
          </w:p>
        </w:tc>
        <w:tc>
          <w:tcPr>
            <w:tcW w:w="94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1,569</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150</w:t>
            </w:r>
          </w:p>
        </w:tc>
        <w:tc>
          <w:tcPr>
            <w:tcW w:w="960" w:type="dxa"/>
            <w:vAlign w:val="bottom"/>
            <w:tcBorders>
              <w:bottom w:val="single" w:sz="8" w:color="auto"/>
              <w:right w:val="single" w:sz="8" w:color="auto"/>
            </w:tcBorders>
          </w:tcPr>
          <w:p>
            <w:pPr>
              <w:jc w:val="right"/>
              <w:ind w:right="28"/>
              <w:spacing w:after="0"/>
              <w:rPr>
                <w:sz w:val="20"/>
                <w:szCs w:val="20"/>
                <w:color w:val="auto"/>
              </w:rPr>
            </w:pPr>
            <w:r>
              <w:rPr>
                <w:rFonts w:ascii="Arial" w:cs="Arial" w:eastAsia="Arial" w:hAnsi="Arial"/>
                <w:sz w:val="14"/>
                <w:szCs w:val="14"/>
                <w:color w:val="auto"/>
              </w:rPr>
              <w:t>17,907</w:t>
            </w:r>
          </w:p>
        </w:tc>
        <w:tc>
          <w:tcPr>
            <w:tcW w:w="11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166</w:t>
            </w:r>
          </w:p>
        </w:tc>
        <w:tc>
          <w:tcPr>
            <w:tcW w:w="9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19,476</w:t>
            </w:r>
          </w:p>
        </w:tc>
      </w:tr>
      <w:tr>
        <w:trPr>
          <w:trHeight w:val="196"/>
        </w:trPr>
        <w:tc>
          <w:tcPr>
            <w:tcW w:w="4180" w:type="dxa"/>
            <w:vAlign w:val="bottom"/>
            <w:tcBorders>
              <w:left w:val="single" w:sz="8" w:color="auto"/>
              <w:bottom w:val="single" w:sz="8" w:color="auto"/>
              <w:right w:val="single" w:sz="8" w:color="auto"/>
            </w:tcBorders>
          </w:tcPr>
          <w:p>
            <w:pPr>
              <w:ind w:left="300"/>
              <w:spacing w:after="0"/>
              <w:rPr>
                <w:sz w:val="20"/>
                <w:szCs w:val="20"/>
                <w:color w:val="auto"/>
              </w:rPr>
            </w:pPr>
            <w:r>
              <w:rPr>
                <w:rFonts w:ascii="Arial" w:cs="Arial" w:eastAsia="Arial" w:hAnsi="Arial"/>
                <w:sz w:val="14"/>
                <w:szCs w:val="14"/>
                <w:color w:val="auto"/>
              </w:rPr>
              <w:t>Design Hotels*</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28</w:t>
            </w:r>
          </w:p>
        </w:tc>
        <w:tc>
          <w:tcPr>
            <w:tcW w:w="94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2,845</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206</w:t>
            </w:r>
          </w:p>
        </w:tc>
        <w:tc>
          <w:tcPr>
            <w:tcW w:w="960" w:type="dxa"/>
            <w:vAlign w:val="bottom"/>
            <w:tcBorders>
              <w:bottom w:val="single" w:sz="8" w:color="auto"/>
              <w:right w:val="single" w:sz="8" w:color="auto"/>
            </w:tcBorders>
          </w:tcPr>
          <w:p>
            <w:pPr>
              <w:jc w:val="right"/>
              <w:ind w:right="28"/>
              <w:spacing w:after="0"/>
              <w:rPr>
                <w:sz w:val="20"/>
                <w:szCs w:val="20"/>
                <w:color w:val="auto"/>
              </w:rPr>
            </w:pPr>
            <w:r>
              <w:rPr>
                <w:rFonts w:ascii="Arial" w:cs="Arial" w:eastAsia="Arial" w:hAnsi="Arial"/>
                <w:sz w:val="14"/>
                <w:szCs w:val="14"/>
                <w:color w:val="auto"/>
              </w:rPr>
              <w:t>13,246</w:t>
            </w:r>
          </w:p>
        </w:tc>
        <w:tc>
          <w:tcPr>
            <w:tcW w:w="11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234</w:t>
            </w:r>
          </w:p>
        </w:tc>
        <w:tc>
          <w:tcPr>
            <w:tcW w:w="9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16,091</w:t>
            </w:r>
          </w:p>
        </w:tc>
      </w:tr>
      <w:tr>
        <w:trPr>
          <w:trHeight w:val="196"/>
        </w:trPr>
        <w:tc>
          <w:tcPr>
            <w:tcW w:w="4180" w:type="dxa"/>
            <w:vAlign w:val="bottom"/>
            <w:tcBorders>
              <w:left w:val="single" w:sz="8" w:color="auto"/>
              <w:bottom w:val="single" w:sz="8" w:color="auto"/>
              <w:right w:val="single" w:sz="8" w:color="auto"/>
            </w:tcBorders>
          </w:tcPr>
          <w:p>
            <w:pPr>
              <w:ind w:left="300"/>
              <w:spacing w:after="0"/>
              <w:rPr>
                <w:sz w:val="20"/>
                <w:szCs w:val="20"/>
                <w:color w:val="auto"/>
              </w:rPr>
            </w:pPr>
            <w:r>
              <w:rPr>
                <w:rFonts w:ascii="Arial" w:cs="Arial" w:eastAsia="Arial" w:hAnsi="Arial"/>
                <w:sz w:val="14"/>
                <w:szCs w:val="14"/>
                <w:color w:val="auto"/>
              </w:rPr>
              <w:t>Element Hotels</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102</w:t>
            </w:r>
          </w:p>
        </w:tc>
        <w:tc>
          <w:tcPr>
            <w:tcW w:w="94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13,697</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7</w:t>
            </w:r>
          </w:p>
        </w:tc>
        <w:tc>
          <w:tcPr>
            <w:tcW w:w="960" w:type="dxa"/>
            <w:vAlign w:val="bottom"/>
            <w:tcBorders>
              <w:bottom w:val="single" w:sz="8" w:color="auto"/>
              <w:right w:val="single" w:sz="8" w:color="auto"/>
            </w:tcBorders>
          </w:tcPr>
          <w:p>
            <w:pPr>
              <w:jc w:val="right"/>
              <w:ind w:right="28"/>
              <w:spacing w:after="0"/>
              <w:rPr>
                <w:sz w:val="20"/>
                <w:szCs w:val="20"/>
                <w:color w:val="auto"/>
              </w:rPr>
            </w:pPr>
            <w:r>
              <w:rPr>
                <w:rFonts w:ascii="Arial" w:cs="Arial" w:eastAsia="Arial" w:hAnsi="Arial"/>
                <w:sz w:val="14"/>
                <w:szCs w:val="14"/>
                <w:color w:val="auto"/>
              </w:rPr>
              <w:t>1,043</w:t>
            </w:r>
          </w:p>
        </w:tc>
        <w:tc>
          <w:tcPr>
            <w:tcW w:w="11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109</w:t>
            </w:r>
          </w:p>
        </w:tc>
        <w:tc>
          <w:tcPr>
            <w:tcW w:w="9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14,740</w:t>
            </w:r>
          </w:p>
        </w:tc>
      </w:tr>
      <w:tr>
        <w:trPr>
          <w:trHeight w:val="196"/>
        </w:trPr>
        <w:tc>
          <w:tcPr>
            <w:tcW w:w="4180" w:type="dxa"/>
            <w:vAlign w:val="bottom"/>
            <w:tcBorders>
              <w:left w:val="single" w:sz="8" w:color="auto"/>
              <w:bottom w:val="single" w:sz="8" w:color="auto"/>
              <w:right w:val="single" w:sz="8" w:color="auto"/>
            </w:tcBorders>
          </w:tcPr>
          <w:p>
            <w:pPr>
              <w:ind w:left="300"/>
              <w:spacing w:after="0"/>
              <w:rPr>
                <w:sz w:val="20"/>
                <w:szCs w:val="20"/>
                <w:color w:val="auto"/>
              </w:rPr>
            </w:pPr>
            <w:r>
              <w:rPr>
                <w:rFonts w:ascii="Arial" w:cs="Arial" w:eastAsia="Arial" w:hAnsi="Arial"/>
                <w:sz w:val="14"/>
                <w:szCs w:val="14"/>
                <w:color w:val="auto"/>
              </w:rPr>
              <w:t>Le Méridien</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24</w:t>
            </w:r>
          </w:p>
        </w:tc>
        <w:tc>
          <w:tcPr>
            <w:tcW w:w="94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5,299</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29</w:t>
            </w:r>
          </w:p>
        </w:tc>
        <w:tc>
          <w:tcPr>
            <w:tcW w:w="960" w:type="dxa"/>
            <w:vAlign w:val="bottom"/>
            <w:tcBorders>
              <w:bottom w:val="single" w:sz="8" w:color="auto"/>
              <w:right w:val="single" w:sz="8" w:color="auto"/>
            </w:tcBorders>
          </w:tcPr>
          <w:p>
            <w:pPr>
              <w:jc w:val="right"/>
              <w:ind w:right="28"/>
              <w:spacing w:after="0"/>
              <w:rPr>
                <w:sz w:val="20"/>
                <w:szCs w:val="20"/>
                <w:color w:val="auto"/>
              </w:rPr>
            </w:pPr>
            <w:r>
              <w:rPr>
                <w:rFonts w:ascii="Arial" w:cs="Arial" w:eastAsia="Arial" w:hAnsi="Arial"/>
                <w:sz w:val="14"/>
                <w:szCs w:val="14"/>
                <w:color w:val="auto"/>
              </w:rPr>
              <w:t>8,194</w:t>
            </w:r>
          </w:p>
        </w:tc>
        <w:tc>
          <w:tcPr>
            <w:tcW w:w="11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53</w:t>
            </w:r>
          </w:p>
        </w:tc>
        <w:tc>
          <w:tcPr>
            <w:tcW w:w="9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13,493</w:t>
            </w:r>
          </w:p>
        </w:tc>
      </w:tr>
      <w:tr>
        <w:trPr>
          <w:trHeight w:val="196"/>
        </w:trPr>
        <w:tc>
          <w:tcPr>
            <w:tcW w:w="4180" w:type="dxa"/>
            <w:vAlign w:val="bottom"/>
            <w:tcBorders>
              <w:left w:val="single" w:sz="8" w:color="auto"/>
              <w:bottom w:val="single" w:sz="8" w:color="auto"/>
              <w:right w:val="single" w:sz="8" w:color="auto"/>
            </w:tcBorders>
          </w:tcPr>
          <w:p>
            <w:pPr>
              <w:ind w:left="300"/>
              <w:spacing w:after="0"/>
              <w:rPr>
                <w:sz w:val="20"/>
                <w:szCs w:val="20"/>
                <w:color w:val="auto"/>
              </w:rPr>
            </w:pPr>
            <w:r>
              <w:rPr>
                <w:rFonts w:ascii="Arial" w:cs="Arial" w:eastAsia="Arial" w:hAnsi="Arial"/>
                <w:sz w:val="14"/>
                <w:szCs w:val="14"/>
                <w:color w:val="auto"/>
              </w:rPr>
              <w:t>JW Marriott</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13</w:t>
            </w:r>
          </w:p>
        </w:tc>
        <w:tc>
          <w:tcPr>
            <w:tcW w:w="94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6,327</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16</w:t>
            </w:r>
          </w:p>
        </w:tc>
        <w:tc>
          <w:tcPr>
            <w:tcW w:w="960" w:type="dxa"/>
            <w:vAlign w:val="bottom"/>
            <w:tcBorders>
              <w:bottom w:val="single" w:sz="8" w:color="auto"/>
              <w:right w:val="single" w:sz="8" w:color="auto"/>
            </w:tcBorders>
          </w:tcPr>
          <w:p>
            <w:pPr>
              <w:jc w:val="right"/>
              <w:ind w:right="28"/>
              <w:spacing w:after="0"/>
              <w:rPr>
                <w:sz w:val="20"/>
                <w:szCs w:val="20"/>
                <w:color w:val="auto"/>
              </w:rPr>
            </w:pPr>
            <w:r>
              <w:rPr>
                <w:rFonts w:ascii="Arial" w:cs="Arial" w:eastAsia="Arial" w:hAnsi="Arial"/>
                <w:sz w:val="14"/>
                <w:szCs w:val="14"/>
                <w:color w:val="auto"/>
              </w:rPr>
              <w:t>4,279</w:t>
            </w:r>
          </w:p>
        </w:tc>
        <w:tc>
          <w:tcPr>
            <w:tcW w:w="11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29</w:t>
            </w:r>
          </w:p>
        </w:tc>
        <w:tc>
          <w:tcPr>
            <w:tcW w:w="9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10,606</w:t>
            </w:r>
          </w:p>
        </w:tc>
      </w:tr>
      <w:tr>
        <w:trPr>
          <w:trHeight w:val="196"/>
        </w:trPr>
        <w:tc>
          <w:tcPr>
            <w:tcW w:w="4180" w:type="dxa"/>
            <w:vAlign w:val="bottom"/>
            <w:tcBorders>
              <w:left w:val="single" w:sz="8" w:color="auto"/>
              <w:bottom w:val="single" w:sz="8" w:color="auto"/>
              <w:right w:val="single" w:sz="8" w:color="auto"/>
            </w:tcBorders>
          </w:tcPr>
          <w:p>
            <w:pPr>
              <w:ind w:left="300"/>
              <w:spacing w:after="0"/>
              <w:rPr>
                <w:sz w:val="20"/>
                <w:szCs w:val="20"/>
                <w:color w:val="auto"/>
              </w:rPr>
            </w:pPr>
            <w:r>
              <w:rPr>
                <w:rFonts w:ascii="Arial" w:cs="Arial" w:eastAsia="Arial" w:hAnsi="Arial"/>
                <w:sz w:val="14"/>
                <w:szCs w:val="14"/>
                <w:color w:val="auto"/>
              </w:rPr>
              <w:t>citizenM</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16</w:t>
            </w:r>
          </w:p>
        </w:tc>
        <w:tc>
          <w:tcPr>
            <w:tcW w:w="94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4,374</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19</w:t>
            </w:r>
          </w:p>
        </w:tc>
        <w:tc>
          <w:tcPr>
            <w:tcW w:w="960" w:type="dxa"/>
            <w:vAlign w:val="bottom"/>
            <w:tcBorders>
              <w:bottom w:val="single" w:sz="8" w:color="auto"/>
              <w:right w:val="single" w:sz="8" w:color="auto"/>
            </w:tcBorders>
          </w:tcPr>
          <w:p>
            <w:pPr>
              <w:jc w:val="right"/>
              <w:ind w:right="28"/>
              <w:spacing w:after="0"/>
              <w:rPr>
                <w:sz w:val="20"/>
                <w:szCs w:val="20"/>
                <w:color w:val="auto"/>
              </w:rPr>
            </w:pPr>
            <w:r>
              <w:rPr>
                <w:rFonts w:ascii="Arial" w:cs="Arial" w:eastAsia="Arial" w:hAnsi="Arial"/>
                <w:sz w:val="14"/>
                <w:szCs w:val="14"/>
                <w:color w:val="auto"/>
              </w:rPr>
              <w:t>3,938</w:t>
            </w:r>
          </w:p>
        </w:tc>
        <w:tc>
          <w:tcPr>
            <w:tcW w:w="11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35</w:t>
            </w:r>
          </w:p>
        </w:tc>
        <w:tc>
          <w:tcPr>
            <w:tcW w:w="9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8,312</w:t>
            </w:r>
          </w:p>
        </w:tc>
      </w:tr>
      <w:tr>
        <w:trPr>
          <w:trHeight w:val="196"/>
        </w:trPr>
        <w:tc>
          <w:tcPr>
            <w:tcW w:w="4180" w:type="dxa"/>
            <w:vAlign w:val="bottom"/>
            <w:tcBorders>
              <w:left w:val="single" w:sz="8" w:color="auto"/>
              <w:bottom w:val="single" w:sz="8" w:color="auto"/>
              <w:right w:val="single" w:sz="8" w:color="auto"/>
            </w:tcBorders>
          </w:tcPr>
          <w:p>
            <w:pPr>
              <w:ind w:left="300"/>
              <w:spacing w:after="0"/>
              <w:rPr>
                <w:sz w:val="20"/>
                <w:szCs w:val="20"/>
                <w:color w:val="auto"/>
              </w:rPr>
            </w:pPr>
            <w:r>
              <w:rPr>
                <w:rFonts w:ascii="Arial" w:cs="Arial" w:eastAsia="Arial" w:hAnsi="Arial"/>
                <w:sz w:val="14"/>
                <w:szCs w:val="14"/>
                <w:color w:val="auto"/>
              </w:rPr>
              <w:t>Four Points Flex by Sheraton</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57</w:t>
            </w:r>
          </w:p>
        </w:tc>
        <w:tc>
          <w:tcPr>
            <w:tcW w:w="960" w:type="dxa"/>
            <w:vAlign w:val="bottom"/>
            <w:tcBorders>
              <w:bottom w:val="single" w:sz="8" w:color="auto"/>
              <w:right w:val="single" w:sz="8" w:color="auto"/>
            </w:tcBorders>
          </w:tcPr>
          <w:p>
            <w:pPr>
              <w:jc w:val="right"/>
              <w:ind w:right="28"/>
              <w:spacing w:after="0"/>
              <w:rPr>
                <w:sz w:val="20"/>
                <w:szCs w:val="20"/>
                <w:color w:val="auto"/>
              </w:rPr>
            </w:pPr>
            <w:r>
              <w:rPr>
                <w:rFonts w:ascii="Arial" w:cs="Arial" w:eastAsia="Arial" w:hAnsi="Arial"/>
                <w:sz w:val="14"/>
                <w:szCs w:val="14"/>
                <w:color w:val="auto"/>
              </w:rPr>
              <w:t>8,259</w:t>
            </w:r>
          </w:p>
        </w:tc>
        <w:tc>
          <w:tcPr>
            <w:tcW w:w="11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57</w:t>
            </w:r>
          </w:p>
        </w:tc>
        <w:tc>
          <w:tcPr>
            <w:tcW w:w="9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8,259</w:t>
            </w:r>
          </w:p>
        </w:tc>
      </w:tr>
      <w:tr>
        <w:trPr>
          <w:trHeight w:val="196"/>
        </w:trPr>
        <w:tc>
          <w:tcPr>
            <w:tcW w:w="4180" w:type="dxa"/>
            <w:vAlign w:val="bottom"/>
            <w:tcBorders>
              <w:left w:val="single" w:sz="8" w:color="auto"/>
              <w:bottom w:val="single" w:sz="8" w:color="auto"/>
              <w:right w:val="single" w:sz="8" w:color="auto"/>
            </w:tcBorders>
          </w:tcPr>
          <w:p>
            <w:pPr>
              <w:ind w:left="300"/>
              <w:spacing w:after="0"/>
              <w:rPr>
                <w:sz w:val="20"/>
                <w:szCs w:val="20"/>
                <w:color w:val="auto"/>
              </w:rPr>
            </w:pPr>
            <w:r>
              <w:rPr>
                <w:rFonts w:ascii="Arial" w:cs="Arial" w:eastAsia="Arial" w:hAnsi="Arial"/>
                <w:sz w:val="14"/>
                <w:szCs w:val="14"/>
                <w:color w:val="auto"/>
              </w:rPr>
              <w:t>Series by Marriott</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5</w:t>
            </w:r>
          </w:p>
        </w:tc>
        <w:tc>
          <w:tcPr>
            <w:tcW w:w="94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550</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50</w:t>
            </w:r>
          </w:p>
        </w:tc>
        <w:tc>
          <w:tcPr>
            <w:tcW w:w="960" w:type="dxa"/>
            <w:vAlign w:val="bottom"/>
            <w:tcBorders>
              <w:bottom w:val="single" w:sz="8" w:color="auto"/>
              <w:right w:val="single" w:sz="8" w:color="auto"/>
            </w:tcBorders>
          </w:tcPr>
          <w:p>
            <w:pPr>
              <w:jc w:val="right"/>
              <w:ind w:right="28"/>
              <w:spacing w:after="0"/>
              <w:rPr>
                <w:sz w:val="20"/>
                <w:szCs w:val="20"/>
                <w:color w:val="auto"/>
              </w:rPr>
            </w:pPr>
            <w:r>
              <w:rPr>
                <w:rFonts w:ascii="Arial" w:cs="Arial" w:eastAsia="Arial" w:hAnsi="Arial"/>
                <w:sz w:val="14"/>
                <w:szCs w:val="14"/>
                <w:color w:val="auto"/>
              </w:rPr>
              <w:t>3,555</w:t>
            </w:r>
          </w:p>
        </w:tc>
        <w:tc>
          <w:tcPr>
            <w:tcW w:w="11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55</w:t>
            </w:r>
          </w:p>
        </w:tc>
        <w:tc>
          <w:tcPr>
            <w:tcW w:w="9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4,105</w:t>
            </w:r>
          </w:p>
        </w:tc>
      </w:tr>
      <w:tr>
        <w:trPr>
          <w:trHeight w:val="196"/>
        </w:trPr>
        <w:tc>
          <w:tcPr>
            <w:tcW w:w="4180" w:type="dxa"/>
            <w:vAlign w:val="bottom"/>
            <w:tcBorders>
              <w:left w:val="single" w:sz="8" w:color="auto"/>
              <w:bottom w:val="single" w:sz="8" w:color="auto"/>
              <w:right w:val="single" w:sz="8" w:color="auto"/>
            </w:tcBorders>
          </w:tcPr>
          <w:p>
            <w:pPr>
              <w:ind w:left="300"/>
              <w:spacing w:after="0"/>
              <w:rPr>
                <w:sz w:val="20"/>
                <w:szCs w:val="20"/>
                <w:color w:val="auto"/>
              </w:rPr>
            </w:pPr>
            <w:r>
              <w:rPr>
                <w:rFonts w:ascii="Arial" w:cs="Arial" w:eastAsia="Arial" w:hAnsi="Arial"/>
                <w:sz w:val="14"/>
                <w:szCs w:val="14"/>
                <w:color w:val="auto"/>
              </w:rPr>
              <w:t>Protea Hotels by Marriott</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38</w:t>
            </w:r>
          </w:p>
        </w:tc>
        <w:tc>
          <w:tcPr>
            <w:tcW w:w="960" w:type="dxa"/>
            <w:vAlign w:val="bottom"/>
            <w:tcBorders>
              <w:bottom w:val="single" w:sz="8" w:color="auto"/>
              <w:right w:val="single" w:sz="8" w:color="auto"/>
            </w:tcBorders>
          </w:tcPr>
          <w:p>
            <w:pPr>
              <w:jc w:val="right"/>
              <w:ind w:right="28"/>
              <w:spacing w:after="0"/>
              <w:rPr>
                <w:sz w:val="20"/>
                <w:szCs w:val="20"/>
                <w:color w:val="auto"/>
              </w:rPr>
            </w:pPr>
            <w:r>
              <w:rPr>
                <w:rFonts w:ascii="Arial" w:cs="Arial" w:eastAsia="Arial" w:hAnsi="Arial"/>
                <w:sz w:val="14"/>
                <w:szCs w:val="14"/>
                <w:color w:val="auto"/>
              </w:rPr>
              <w:t>3,371</w:t>
            </w:r>
          </w:p>
        </w:tc>
        <w:tc>
          <w:tcPr>
            <w:tcW w:w="11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38</w:t>
            </w:r>
          </w:p>
        </w:tc>
        <w:tc>
          <w:tcPr>
            <w:tcW w:w="9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3,371</w:t>
            </w:r>
          </w:p>
        </w:tc>
      </w:tr>
      <w:tr>
        <w:trPr>
          <w:trHeight w:val="196"/>
        </w:trPr>
        <w:tc>
          <w:tcPr>
            <w:tcW w:w="4180" w:type="dxa"/>
            <w:vAlign w:val="bottom"/>
            <w:tcBorders>
              <w:left w:val="single" w:sz="8" w:color="auto"/>
              <w:bottom w:val="single" w:sz="8" w:color="auto"/>
              <w:right w:val="single" w:sz="8" w:color="auto"/>
            </w:tcBorders>
          </w:tcPr>
          <w:p>
            <w:pPr>
              <w:ind w:left="300"/>
              <w:spacing w:after="0"/>
              <w:rPr>
                <w:sz w:val="20"/>
                <w:szCs w:val="20"/>
                <w:color w:val="auto"/>
              </w:rPr>
            </w:pPr>
            <w:r>
              <w:rPr>
                <w:rFonts w:ascii="Arial" w:cs="Arial" w:eastAsia="Arial" w:hAnsi="Arial"/>
                <w:sz w:val="14"/>
                <w:szCs w:val="14"/>
                <w:color w:val="auto"/>
              </w:rPr>
              <w:t>Marriott Executive Apartments</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9</w:t>
            </w:r>
          </w:p>
        </w:tc>
        <w:tc>
          <w:tcPr>
            <w:tcW w:w="960" w:type="dxa"/>
            <w:vAlign w:val="bottom"/>
            <w:tcBorders>
              <w:bottom w:val="single" w:sz="8" w:color="auto"/>
              <w:right w:val="single" w:sz="8" w:color="auto"/>
            </w:tcBorders>
          </w:tcPr>
          <w:p>
            <w:pPr>
              <w:jc w:val="right"/>
              <w:ind w:right="28"/>
              <w:spacing w:after="0"/>
              <w:rPr>
                <w:sz w:val="20"/>
                <w:szCs w:val="20"/>
                <w:color w:val="auto"/>
              </w:rPr>
            </w:pPr>
            <w:r>
              <w:rPr>
                <w:rFonts w:ascii="Arial" w:cs="Arial" w:eastAsia="Arial" w:hAnsi="Arial"/>
                <w:sz w:val="14"/>
                <w:szCs w:val="14"/>
                <w:color w:val="auto"/>
              </w:rPr>
              <w:t>1,797</w:t>
            </w:r>
          </w:p>
        </w:tc>
        <w:tc>
          <w:tcPr>
            <w:tcW w:w="11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9</w:t>
            </w:r>
          </w:p>
        </w:tc>
        <w:tc>
          <w:tcPr>
            <w:tcW w:w="9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1,797</w:t>
            </w:r>
          </w:p>
        </w:tc>
      </w:tr>
      <w:tr>
        <w:trPr>
          <w:trHeight w:val="196"/>
        </w:trPr>
        <w:tc>
          <w:tcPr>
            <w:tcW w:w="4180" w:type="dxa"/>
            <w:vAlign w:val="bottom"/>
            <w:tcBorders>
              <w:left w:val="single" w:sz="8" w:color="auto"/>
              <w:bottom w:val="single" w:sz="8" w:color="auto"/>
              <w:right w:val="single" w:sz="8" w:color="auto"/>
            </w:tcBorders>
          </w:tcPr>
          <w:p>
            <w:pPr>
              <w:ind w:left="300"/>
              <w:spacing w:after="0"/>
              <w:rPr>
                <w:sz w:val="20"/>
                <w:szCs w:val="20"/>
                <w:color w:val="auto"/>
              </w:rPr>
            </w:pPr>
            <w:r>
              <w:rPr>
                <w:rFonts w:ascii="Arial" w:cs="Arial" w:eastAsia="Arial" w:hAnsi="Arial"/>
                <w:sz w:val="14"/>
                <w:szCs w:val="14"/>
                <w:color w:val="auto"/>
              </w:rPr>
              <w:t>Outdoor Collection by Marriott Bonvoy</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32</w:t>
            </w:r>
          </w:p>
        </w:tc>
        <w:tc>
          <w:tcPr>
            <w:tcW w:w="94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1,532</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right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32</w:t>
            </w:r>
          </w:p>
        </w:tc>
        <w:tc>
          <w:tcPr>
            <w:tcW w:w="9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1,532</w:t>
            </w:r>
          </w:p>
        </w:tc>
      </w:tr>
      <w:tr>
        <w:trPr>
          <w:trHeight w:val="196"/>
        </w:trPr>
        <w:tc>
          <w:tcPr>
            <w:tcW w:w="4180" w:type="dxa"/>
            <w:vAlign w:val="bottom"/>
            <w:tcBorders>
              <w:left w:val="single" w:sz="8" w:color="auto"/>
              <w:bottom w:val="single" w:sz="8" w:color="auto"/>
              <w:right w:val="single" w:sz="8" w:color="auto"/>
            </w:tcBorders>
          </w:tcPr>
          <w:p>
            <w:pPr>
              <w:ind w:left="300"/>
              <w:spacing w:after="0"/>
              <w:rPr>
                <w:sz w:val="20"/>
                <w:szCs w:val="20"/>
                <w:color w:val="auto"/>
              </w:rPr>
            </w:pPr>
            <w:r>
              <w:rPr>
                <w:rFonts w:ascii="Arial" w:cs="Arial" w:eastAsia="Arial" w:hAnsi="Arial"/>
                <w:sz w:val="14"/>
                <w:szCs w:val="14"/>
                <w:color w:val="auto"/>
              </w:rPr>
              <w:t>W Hotels</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w:t>
            </w:r>
          </w:p>
        </w:tc>
        <w:tc>
          <w:tcPr>
            <w:tcW w:w="94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1,117</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w:t>
            </w:r>
          </w:p>
        </w:tc>
        <w:tc>
          <w:tcPr>
            <w:tcW w:w="960" w:type="dxa"/>
            <w:vAlign w:val="bottom"/>
            <w:tcBorders>
              <w:bottom w:val="single" w:sz="8" w:color="auto"/>
              <w:right w:val="single" w:sz="8" w:color="auto"/>
            </w:tcBorders>
          </w:tcPr>
          <w:p>
            <w:pPr>
              <w:jc w:val="right"/>
              <w:ind w:right="28"/>
              <w:spacing w:after="0"/>
              <w:rPr>
                <w:sz w:val="20"/>
                <w:szCs w:val="20"/>
                <w:color w:val="auto"/>
              </w:rPr>
            </w:pPr>
            <w:r>
              <w:rPr>
                <w:rFonts w:ascii="Arial" w:cs="Arial" w:eastAsia="Arial" w:hAnsi="Arial"/>
                <w:sz w:val="14"/>
                <w:szCs w:val="14"/>
                <w:color w:val="auto"/>
              </w:rPr>
              <w:t>226</w:t>
            </w:r>
          </w:p>
        </w:tc>
        <w:tc>
          <w:tcPr>
            <w:tcW w:w="11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w:t>
            </w:r>
          </w:p>
        </w:tc>
        <w:tc>
          <w:tcPr>
            <w:tcW w:w="9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1,343</w:t>
            </w:r>
          </w:p>
        </w:tc>
      </w:tr>
      <w:tr>
        <w:trPr>
          <w:trHeight w:val="196"/>
        </w:trPr>
        <w:tc>
          <w:tcPr>
            <w:tcW w:w="4180" w:type="dxa"/>
            <w:vAlign w:val="bottom"/>
            <w:tcBorders>
              <w:left w:val="single" w:sz="8" w:color="auto"/>
              <w:bottom w:val="single" w:sz="8" w:color="auto"/>
              <w:right w:val="single" w:sz="8" w:color="auto"/>
            </w:tcBorders>
          </w:tcPr>
          <w:p>
            <w:pPr>
              <w:ind w:left="300"/>
              <w:spacing w:after="0"/>
              <w:rPr>
                <w:sz w:val="20"/>
                <w:szCs w:val="20"/>
                <w:color w:val="auto"/>
              </w:rPr>
            </w:pPr>
            <w:r>
              <w:rPr>
                <w:rFonts w:ascii="Arial" w:cs="Arial" w:eastAsia="Arial" w:hAnsi="Arial"/>
                <w:sz w:val="14"/>
                <w:szCs w:val="14"/>
                <w:color w:val="auto"/>
              </w:rPr>
              <w:t>StudioRes</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6</w:t>
            </w:r>
          </w:p>
        </w:tc>
        <w:tc>
          <w:tcPr>
            <w:tcW w:w="94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744</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right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6</w:t>
            </w:r>
          </w:p>
        </w:tc>
        <w:tc>
          <w:tcPr>
            <w:tcW w:w="9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744</w:t>
            </w:r>
          </w:p>
        </w:tc>
      </w:tr>
      <w:tr>
        <w:trPr>
          <w:trHeight w:val="196"/>
        </w:trPr>
        <w:tc>
          <w:tcPr>
            <w:tcW w:w="4180" w:type="dxa"/>
            <w:vAlign w:val="bottom"/>
            <w:tcBorders>
              <w:left w:val="single" w:sz="8" w:color="auto"/>
              <w:bottom w:val="single" w:sz="8" w:color="auto"/>
              <w:right w:val="single" w:sz="8" w:color="auto"/>
            </w:tcBorders>
          </w:tcPr>
          <w:p>
            <w:pPr>
              <w:ind w:left="300"/>
              <w:spacing w:after="0"/>
              <w:rPr>
                <w:sz w:val="20"/>
                <w:szCs w:val="20"/>
                <w:color w:val="auto"/>
              </w:rPr>
            </w:pPr>
            <w:r>
              <w:rPr>
                <w:rFonts w:ascii="Arial" w:cs="Arial" w:eastAsia="Arial" w:hAnsi="Arial"/>
                <w:sz w:val="14"/>
                <w:szCs w:val="14"/>
                <w:color w:val="auto"/>
              </w:rPr>
              <w:t>The Ritz-Carlton</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w:t>
            </w:r>
          </w:p>
        </w:tc>
        <w:tc>
          <w:tcPr>
            <w:tcW w:w="94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429</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w:t>
            </w:r>
          </w:p>
        </w:tc>
        <w:tc>
          <w:tcPr>
            <w:tcW w:w="960" w:type="dxa"/>
            <w:vAlign w:val="bottom"/>
            <w:tcBorders>
              <w:bottom w:val="single" w:sz="8" w:color="auto"/>
              <w:right w:val="single" w:sz="8" w:color="auto"/>
            </w:tcBorders>
          </w:tcPr>
          <w:p>
            <w:pPr>
              <w:jc w:val="right"/>
              <w:ind w:right="28"/>
              <w:spacing w:after="0"/>
              <w:rPr>
                <w:sz w:val="20"/>
                <w:szCs w:val="20"/>
                <w:color w:val="auto"/>
              </w:rPr>
            </w:pPr>
            <w:r>
              <w:rPr>
                <w:rFonts w:ascii="Arial" w:cs="Arial" w:eastAsia="Arial" w:hAnsi="Arial"/>
                <w:sz w:val="14"/>
                <w:szCs w:val="14"/>
                <w:color w:val="auto"/>
              </w:rPr>
              <w:t>262</w:t>
            </w:r>
          </w:p>
        </w:tc>
        <w:tc>
          <w:tcPr>
            <w:tcW w:w="11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w:t>
            </w:r>
          </w:p>
        </w:tc>
        <w:tc>
          <w:tcPr>
            <w:tcW w:w="9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691</w:t>
            </w:r>
          </w:p>
        </w:tc>
      </w:tr>
      <w:tr>
        <w:trPr>
          <w:trHeight w:val="196"/>
        </w:trPr>
        <w:tc>
          <w:tcPr>
            <w:tcW w:w="4180" w:type="dxa"/>
            <w:vAlign w:val="bottom"/>
            <w:tcBorders>
              <w:left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4"/>
                <w:szCs w:val="14"/>
                <w:color w:val="auto"/>
              </w:rPr>
              <w:t>Apartments by Marriott Bonvoy</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w:t>
            </w:r>
          </w:p>
        </w:tc>
        <w:tc>
          <w:tcPr>
            <w:tcW w:w="94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413</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w:t>
            </w:r>
          </w:p>
        </w:tc>
        <w:tc>
          <w:tcPr>
            <w:tcW w:w="960" w:type="dxa"/>
            <w:vAlign w:val="bottom"/>
            <w:tcBorders>
              <w:bottom w:val="single" w:sz="8" w:color="auto"/>
              <w:right w:val="single" w:sz="8" w:color="auto"/>
            </w:tcBorders>
          </w:tcPr>
          <w:p>
            <w:pPr>
              <w:jc w:val="right"/>
              <w:ind w:right="28"/>
              <w:spacing w:after="0"/>
              <w:rPr>
                <w:sz w:val="20"/>
                <w:szCs w:val="20"/>
                <w:color w:val="auto"/>
              </w:rPr>
            </w:pPr>
            <w:r>
              <w:rPr>
                <w:rFonts w:ascii="Arial" w:cs="Arial" w:eastAsia="Arial" w:hAnsi="Arial"/>
                <w:sz w:val="14"/>
                <w:szCs w:val="14"/>
                <w:color w:val="auto"/>
              </w:rPr>
              <w:t>258</w:t>
            </w:r>
          </w:p>
        </w:tc>
        <w:tc>
          <w:tcPr>
            <w:tcW w:w="11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5</w:t>
            </w:r>
          </w:p>
        </w:tc>
        <w:tc>
          <w:tcPr>
            <w:tcW w:w="9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671</w:t>
            </w:r>
          </w:p>
        </w:tc>
      </w:tr>
      <w:tr>
        <w:trPr>
          <w:trHeight w:val="196"/>
        </w:trPr>
        <w:tc>
          <w:tcPr>
            <w:tcW w:w="4180" w:type="dxa"/>
            <w:vAlign w:val="bottom"/>
            <w:tcBorders>
              <w:left w:val="single" w:sz="8" w:color="auto"/>
              <w:bottom w:val="single" w:sz="8" w:color="auto"/>
              <w:right w:val="single" w:sz="8" w:color="auto"/>
            </w:tcBorders>
          </w:tcPr>
          <w:p>
            <w:pPr>
              <w:ind w:left="300"/>
              <w:spacing w:after="0"/>
              <w:rPr>
                <w:sz w:val="20"/>
                <w:szCs w:val="20"/>
                <w:color w:val="auto"/>
              </w:rPr>
            </w:pPr>
            <w:r>
              <w:rPr>
                <w:rFonts w:ascii="Arial" w:cs="Arial" w:eastAsia="Arial" w:hAnsi="Arial"/>
                <w:sz w:val="14"/>
                <w:szCs w:val="14"/>
                <w:color w:val="auto"/>
              </w:rPr>
              <w:t>The Ritz-Carlton Yacht Collection*</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w:t>
            </w:r>
          </w:p>
        </w:tc>
        <w:tc>
          <w:tcPr>
            <w:tcW w:w="960" w:type="dxa"/>
            <w:vAlign w:val="bottom"/>
            <w:tcBorders>
              <w:bottom w:val="single" w:sz="8" w:color="auto"/>
              <w:right w:val="single" w:sz="8" w:color="auto"/>
            </w:tcBorders>
          </w:tcPr>
          <w:p>
            <w:pPr>
              <w:jc w:val="right"/>
              <w:ind w:right="28"/>
              <w:spacing w:after="0"/>
              <w:rPr>
                <w:sz w:val="20"/>
                <w:szCs w:val="20"/>
                <w:color w:val="auto"/>
              </w:rPr>
            </w:pPr>
            <w:r>
              <w:rPr>
                <w:rFonts w:ascii="Arial" w:cs="Arial" w:eastAsia="Arial" w:hAnsi="Arial"/>
                <w:sz w:val="14"/>
                <w:szCs w:val="14"/>
                <w:color w:val="auto"/>
              </w:rPr>
              <w:t>603</w:t>
            </w:r>
          </w:p>
        </w:tc>
        <w:tc>
          <w:tcPr>
            <w:tcW w:w="11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w:t>
            </w:r>
          </w:p>
        </w:tc>
        <w:tc>
          <w:tcPr>
            <w:tcW w:w="9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603</w:t>
            </w:r>
          </w:p>
        </w:tc>
      </w:tr>
      <w:tr>
        <w:trPr>
          <w:trHeight w:val="196"/>
        </w:trPr>
        <w:tc>
          <w:tcPr>
            <w:tcW w:w="4180" w:type="dxa"/>
            <w:vAlign w:val="bottom"/>
            <w:tcBorders>
              <w:left w:val="single" w:sz="8" w:color="auto"/>
              <w:bottom w:val="single" w:sz="8" w:color="auto"/>
              <w:right w:val="single" w:sz="8" w:color="auto"/>
            </w:tcBorders>
          </w:tcPr>
          <w:p>
            <w:pPr>
              <w:ind w:left="300"/>
              <w:spacing w:after="0"/>
              <w:rPr>
                <w:sz w:val="20"/>
                <w:szCs w:val="20"/>
                <w:color w:val="auto"/>
              </w:rPr>
            </w:pPr>
            <w:r>
              <w:rPr>
                <w:rFonts w:ascii="Arial" w:cs="Arial" w:eastAsia="Arial" w:hAnsi="Arial"/>
                <w:sz w:val="14"/>
                <w:szCs w:val="14"/>
                <w:color w:val="auto"/>
              </w:rPr>
              <w:t>St. Regis</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w:t>
            </w:r>
          </w:p>
        </w:tc>
        <w:tc>
          <w:tcPr>
            <w:tcW w:w="960" w:type="dxa"/>
            <w:vAlign w:val="bottom"/>
            <w:tcBorders>
              <w:bottom w:val="single" w:sz="8" w:color="auto"/>
              <w:right w:val="single" w:sz="8" w:color="auto"/>
            </w:tcBorders>
          </w:tcPr>
          <w:p>
            <w:pPr>
              <w:jc w:val="right"/>
              <w:ind w:right="28"/>
              <w:spacing w:after="0"/>
              <w:rPr>
                <w:sz w:val="20"/>
                <w:szCs w:val="20"/>
                <w:color w:val="auto"/>
              </w:rPr>
            </w:pPr>
            <w:r>
              <w:rPr>
                <w:rFonts w:ascii="Arial" w:cs="Arial" w:eastAsia="Arial" w:hAnsi="Arial"/>
                <w:sz w:val="14"/>
                <w:szCs w:val="14"/>
                <w:color w:val="auto"/>
              </w:rPr>
              <w:t>172</w:t>
            </w:r>
          </w:p>
        </w:tc>
        <w:tc>
          <w:tcPr>
            <w:tcW w:w="11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w:t>
            </w:r>
          </w:p>
        </w:tc>
        <w:tc>
          <w:tcPr>
            <w:tcW w:w="9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172</w:t>
            </w:r>
          </w:p>
        </w:tc>
      </w:tr>
      <w:tr>
        <w:trPr>
          <w:trHeight w:val="196"/>
        </w:trPr>
        <w:tc>
          <w:tcPr>
            <w:tcW w:w="4180" w:type="dxa"/>
            <w:vAlign w:val="bottom"/>
            <w:tcBorders>
              <w:left w:val="single" w:sz="8" w:color="auto"/>
              <w:bottom w:val="single" w:sz="8" w:color="auto"/>
              <w:right w:val="single" w:sz="8" w:color="auto"/>
            </w:tcBorders>
          </w:tcPr>
          <w:p>
            <w:pPr>
              <w:ind w:left="300"/>
              <w:spacing w:after="0"/>
              <w:rPr>
                <w:sz w:val="20"/>
                <w:szCs w:val="20"/>
                <w:color w:val="auto"/>
              </w:rPr>
            </w:pPr>
            <w:r>
              <w:rPr>
                <w:rFonts w:ascii="Arial" w:cs="Arial" w:eastAsia="Arial" w:hAnsi="Arial"/>
                <w:sz w:val="14"/>
                <w:szCs w:val="14"/>
                <w:color w:val="auto"/>
              </w:rPr>
              <w:t>Bvlgari</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w:t>
            </w:r>
          </w:p>
        </w:tc>
        <w:tc>
          <w:tcPr>
            <w:tcW w:w="960" w:type="dxa"/>
            <w:vAlign w:val="bottom"/>
            <w:tcBorders>
              <w:bottom w:val="single" w:sz="8" w:color="auto"/>
              <w:right w:val="single" w:sz="8" w:color="auto"/>
            </w:tcBorders>
          </w:tcPr>
          <w:p>
            <w:pPr>
              <w:jc w:val="right"/>
              <w:ind w:right="28"/>
              <w:spacing w:after="0"/>
              <w:rPr>
                <w:sz w:val="20"/>
                <w:szCs w:val="20"/>
                <w:color w:val="auto"/>
              </w:rPr>
            </w:pPr>
            <w:r>
              <w:rPr>
                <w:rFonts w:ascii="Arial" w:cs="Arial" w:eastAsia="Arial" w:hAnsi="Arial"/>
                <w:sz w:val="14"/>
                <w:szCs w:val="14"/>
                <w:color w:val="auto"/>
              </w:rPr>
              <w:t>161</w:t>
            </w:r>
          </w:p>
        </w:tc>
        <w:tc>
          <w:tcPr>
            <w:tcW w:w="11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w:t>
            </w:r>
          </w:p>
        </w:tc>
        <w:tc>
          <w:tcPr>
            <w:tcW w:w="9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161</w:t>
            </w:r>
          </w:p>
        </w:tc>
      </w:tr>
      <w:tr>
        <w:trPr>
          <w:trHeight w:val="199"/>
        </w:trPr>
        <w:tc>
          <w:tcPr>
            <w:tcW w:w="4180" w:type="dxa"/>
            <w:vAlign w:val="bottom"/>
            <w:tcBorders>
              <w:left w:val="single" w:sz="8" w:color="auto"/>
              <w:bottom w:val="single" w:sz="8" w:color="auto"/>
              <w:right w:val="single" w:sz="8" w:color="auto"/>
            </w:tcBorders>
            <w:shd w:val="clear" w:color="auto" w:fill="DBDBDB"/>
          </w:tcPr>
          <w:p>
            <w:pPr>
              <w:ind w:left="80"/>
              <w:spacing w:after="0"/>
              <w:rPr>
                <w:sz w:val="20"/>
                <w:szCs w:val="20"/>
                <w:color w:val="auto"/>
              </w:rPr>
            </w:pPr>
            <w:r>
              <w:rPr>
                <w:rFonts w:ascii="Arial" w:cs="Arial" w:eastAsia="Arial" w:hAnsi="Arial"/>
                <w:sz w:val="14"/>
                <w:szCs w:val="14"/>
                <w:b w:val="1"/>
                <w:bCs w:val="1"/>
                <w:color w:val="auto"/>
              </w:rPr>
              <w:t>Owned/Leased</w:t>
            </w:r>
          </w:p>
        </w:tc>
        <w:tc>
          <w:tcPr>
            <w:tcW w:w="1160" w:type="dxa"/>
            <w:vAlign w:val="bottom"/>
            <w:tcBorders>
              <w:bottom w:val="single" w:sz="8" w:color="auto"/>
            </w:tcBorders>
            <w:shd w:val="clear" w:color="auto" w:fill="D6D6D6"/>
          </w:tcPr>
          <w:p>
            <w:pPr>
              <w:jc w:val="right"/>
              <w:ind w:right="108"/>
              <w:spacing w:after="0"/>
              <w:rPr>
                <w:sz w:val="20"/>
                <w:szCs w:val="20"/>
                <w:color w:val="auto"/>
              </w:rPr>
            </w:pPr>
            <w:r>
              <w:rPr>
                <w:rFonts w:ascii="Arial" w:cs="Arial" w:eastAsia="Arial" w:hAnsi="Arial"/>
                <w:sz w:val="14"/>
                <w:szCs w:val="14"/>
                <w:b w:val="1"/>
                <w:bCs w:val="1"/>
                <w:color w:val="auto"/>
              </w:rPr>
              <w:t>14</w:t>
            </w:r>
          </w:p>
        </w:tc>
        <w:tc>
          <w:tcPr>
            <w:tcW w:w="940" w:type="dxa"/>
            <w:vAlign w:val="bottom"/>
            <w:tcBorders>
              <w:bottom w:val="single" w:sz="8" w:color="auto"/>
              <w:right w:val="single" w:sz="8" w:color="auto"/>
            </w:tcBorders>
            <w:shd w:val="clear" w:color="auto" w:fill="D6D6D6"/>
          </w:tcPr>
          <w:p>
            <w:pPr>
              <w:jc w:val="right"/>
              <w:ind w:right="8"/>
              <w:spacing w:after="0"/>
              <w:rPr>
                <w:sz w:val="20"/>
                <w:szCs w:val="20"/>
                <w:color w:val="auto"/>
              </w:rPr>
            </w:pPr>
            <w:r>
              <w:rPr>
                <w:rFonts w:ascii="Arial" w:cs="Arial" w:eastAsia="Arial" w:hAnsi="Arial"/>
                <w:sz w:val="14"/>
                <w:szCs w:val="14"/>
                <w:b w:val="1"/>
                <w:bCs w:val="1"/>
                <w:color w:val="auto"/>
              </w:rPr>
              <w:t>5,539</w:t>
            </w:r>
          </w:p>
        </w:tc>
        <w:tc>
          <w:tcPr>
            <w:tcW w:w="1160" w:type="dxa"/>
            <w:vAlign w:val="bottom"/>
            <w:tcBorders>
              <w:bottom w:val="single" w:sz="8" w:color="auto"/>
            </w:tcBorders>
            <w:shd w:val="clear" w:color="auto" w:fill="D6D6D6"/>
          </w:tcPr>
          <w:p>
            <w:pPr>
              <w:jc w:val="right"/>
              <w:ind w:right="108"/>
              <w:spacing w:after="0"/>
              <w:rPr>
                <w:sz w:val="20"/>
                <w:szCs w:val="20"/>
                <w:color w:val="auto"/>
              </w:rPr>
            </w:pPr>
            <w:r>
              <w:rPr>
                <w:rFonts w:ascii="Arial" w:cs="Arial" w:eastAsia="Arial" w:hAnsi="Arial"/>
                <w:sz w:val="14"/>
                <w:szCs w:val="14"/>
                <w:b w:val="1"/>
                <w:bCs w:val="1"/>
                <w:color w:val="auto"/>
              </w:rPr>
              <w:t>37</w:t>
            </w:r>
          </w:p>
        </w:tc>
        <w:tc>
          <w:tcPr>
            <w:tcW w:w="960" w:type="dxa"/>
            <w:vAlign w:val="bottom"/>
            <w:tcBorders>
              <w:bottom w:val="single" w:sz="8" w:color="auto"/>
              <w:right w:val="single" w:sz="8" w:color="auto"/>
            </w:tcBorders>
            <w:shd w:val="clear" w:color="auto" w:fill="D6D6D6"/>
          </w:tcPr>
          <w:p>
            <w:pPr>
              <w:jc w:val="right"/>
              <w:ind w:right="28"/>
              <w:spacing w:after="0"/>
              <w:rPr>
                <w:sz w:val="20"/>
                <w:szCs w:val="20"/>
                <w:color w:val="auto"/>
              </w:rPr>
            </w:pPr>
            <w:r>
              <w:rPr>
                <w:rFonts w:ascii="Arial" w:cs="Arial" w:eastAsia="Arial" w:hAnsi="Arial"/>
                <w:sz w:val="14"/>
                <w:szCs w:val="14"/>
                <w:b w:val="1"/>
                <w:bCs w:val="1"/>
                <w:color w:val="auto"/>
              </w:rPr>
              <w:t>8,867</w:t>
            </w:r>
          </w:p>
        </w:tc>
        <w:tc>
          <w:tcPr>
            <w:tcW w:w="1140" w:type="dxa"/>
            <w:vAlign w:val="bottom"/>
            <w:tcBorders>
              <w:bottom w:val="single" w:sz="8" w:color="auto"/>
            </w:tcBorders>
            <w:shd w:val="clear" w:color="auto" w:fill="D6D6D6"/>
          </w:tcPr>
          <w:p>
            <w:pPr>
              <w:jc w:val="right"/>
              <w:ind w:right="108"/>
              <w:spacing w:after="0"/>
              <w:rPr>
                <w:sz w:val="20"/>
                <w:szCs w:val="20"/>
                <w:color w:val="auto"/>
              </w:rPr>
            </w:pPr>
            <w:r>
              <w:rPr>
                <w:rFonts w:ascii="Arial" w:cs="Arial" w:eastAsia="Arial" w:hAnsi="Arial"/>
                <w:sz w:val="14"/>
                <w:szCs w:val="14"/>
                <w:b w:val="1"/>
                <w:bCs w:val="1"/>
                <w:color w:val="auto"/>
              </w:rPr>
              <w:t>51</w:t>
            </w:r>
          </w:p>
        </w:tc>
        <w:tc>
          <w:tcPr>
            <w:tcW w:w="960" w:type="dxa"/>
            <w:vAlign w:val="bottom"/>
            <w:tcBorders>
              <w:bottom w:val="single" w:sz="8" w:color="auto"/>
              <w:right w:val="single" w:sz="8" w:color="auto"/>
            </w:tcBorders>
            <w:shd w:val="clear" w:color="auto" w:fill="D6D6D6"/>
          </w:tcPr>
          <w:p>
            <w:pPr>
              <w:jc w:val="right"/>
              <w:ind w:right="8"/>
              <w:spacing w:after="0"/>
              <w:rPr>
                <w:sz w:val="20"/>
                <w:szCs w:val="20"/>
                <w:color w:val="auto"/>
              </w:rPr>
            </w:pPr>
            <w:r>
              <w:rPr>
                <w:rFonts w:ascii="Arial" w:cs="Arial" w:eastAsia="Arial" w:hAnsi="Arial"/>
                <w:sz w:val="14"/>
                <w:szCs w:val="14"/>
                <w:b w:val="1"/>
                <w:bCs w:val="1"/>
                <w:color w:val="auto"/>
              </w:rPr>
              <w:t>14,406</w:t>
            </w:r>
          </w:p>
        </w:tc>
      </w:tr>
      <w:tr>
        <w:trPr>
          <w:trHeight w:val="193"/>
        </w:trPr>
        <w:tc>
          <w:tcPr>
            <w:tcW w:w="4180" w:type="dxa"/>
            <w:vAlign w:val="bottom"/>
            <w:tcBorders>
              <w:left w:val="single" w:sz="8" w:color="auto"/>
              <w:bottom w:val="single" w:sz="8" w:color="auto"/>
              <w:right w:val="single" w:sz="8" w:color="auto"/>
            </w:tcBorders>
          </w:tcPr>
          <w:p>
            <w:pPr>
              <w:ind w:left="300"/>
              <w:spacing w:after="0"/>
              <w:rPr>
                <w:sz w:val="20"/>
                <w:szCs w:val="20"/>
                <w:color w:val="auto"/>
              </w:rPr>
            </w:pPr>
            <w:r>
              <w:rPr>
                <w:rFonts w:ascii="Arial" w:cs="Arial" w:eastAsia="Arial" w:hAnsi="Arial"/>
                <w:sz w:val="14"/>
                <w:szCs w:val="14"/>
                <w:color w:val="auto"/>
              </w:rPr>
              <w:t>Sheraton</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w:t>
            </w:r>
          </w:p>
        </w:tc>
        <w:tc>
          <w:tcPr>
            <w:tcW w:w="94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1,218</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w:t>
            </w:r>
          </w:p>
        </w:tc>
        <w:tc>
          <w:tcPr>
            <w:tcW w:w="960" w:type="dxa"/>
            <w:vAlign w:val="bottom"/>
            <w:tcBorders>
              <w:bottom w:val="single" w:sz="8" w:color="auto"/>
              <w:right w:val="single" w:sz="8" w:color="auto"/>
            </w:tcBorders>
          </w:tcPr>
          <w:p>
            <w:pPr>
              <w:jc w:val="right"/>
              <w:ind w:right="28"/>
              <w:spacing w:after="0"/>
              <w:rPr>
                <w:sz w:val="20"/>
                <w:szCs w:val="20"/>
                <w:color w:val="auto"/>
              </w:rPr>
            </w:pPr>
            <w:r>
              <w:rPr>
                <w:rFonts w:ascii="Arial" w:cs="Arial" w:eastAsia="Arial" w:hAnsi="Arial"/>
                <w:sz w:val="14"/>
                <w:szCs w:val="14"/>
                <w:color w:val="auto"/>
              </w:rPr>
              <w:t>1,724</w:t>
            </w:r>
          </w:p>
        </w:tc>
        <w:tc>
          <w:tcPr>
            <w:tcW w:w="11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w:t>
            </w:r>
          </w:p>
        </w:tc>
        <w:tc>
          <w:tcPr>
            <w:tcW w:w="9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2,942</w:t>
            </w:r>
          </w:p>
        </w:tc>
      </w:tr>
      <w:tr>
        <w:trPr>
          <w:trHeight w:val="196"/>
        </w:trPr>
        <w:tc>
          <w:tcPr>
            <w:tcW w:w="4180" w:type="dxa"/>
            <w:vAlign w:val="bottom"/>
            <w:tcBorders>
              <w:left w:val="single" w:sz="8" w:color="auto"/>
              <w:bottom w:val="single" w:sz="8" w:color="auto"/>
              <w:right w:val="single" w:sz="8" w:color="auto"/>
            </w:tcBorders>
          </w:tcPr>
          <w:p>
            <w:pPr>
              <w:ind w:left="300"/>
              <w:spacing w:after="0"/>
              <w:rPr>
                <w:sz w:val="20"/>
                <w:szCs w:val="20"/>
                <w:color w:val="auto"/>
              </w:rPr>
            </w:pPr>
            <w:r>
              <w:rPr>
                <w:rFonts w:ascii="Arial" w:cs="Arial" w:eastAsia="Arial" w:hAnsi="Arial"/>
                <w:sz w:val="14"/>
                <w:szCs w:val="14"/>
                <w:color w:val="auto"/>
              </w:rPr>
              <w:t>Marriott Hotels</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w:t>
            </w:r>
          </w:p>
        </w:tc>
        <w:tc>
          <w:tcPr>
            <w:tcW w:w="94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1,304</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5</w:t>
            </w:r>
          </w:p>
        </w:tc>
        <w:tc>
          <w:tcPr>
            <w:tcW w:w="960" w:type="dxa"/>
            <w:vAlign w:val="bottom"/>
            <w:tcBorders>
              <w:bottom w:val="single" w:sz="8" w:color="auto"/>
              <w:right w:val="single" w:sz="8" w:color="auto"/>
            </w:tcBorders>
          </w:tcPr>
          <w:p>
            <w:pPr>
              <w:jc w:val="right"/>
              <w:ind w:right="28"/>
              <w:spacing w:after="0"/>
              <w:rPr>
                <w:sz w:val="20"/>
                <w:szCs w:val="20"/>
                <w:color w:val="auto"/>
              </w:rPr>
            </w:pPr>
            <w:r>
              <w:rPr>
                <w:rFonts w:ascii="Arial" w:cs="Arial" w:eastAsia="Arial" w:hAnsi="Arial"/>
                <w:sz w:val="14"/>
                <w:szCs w:val="14"/>
                <w:color w:val="auto"/>
              </w:rPr>
              <w:t>1,631</w:t>
            </w:r>
          </w:p>
        </w:tc>
        <w:tc>
          <w:tcPr>
            <w:tcW w:w="11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7</w:t>
            </w:r>
          </w:p>
        </w:tc>
        <w:tc>
          <w:tcPr>
            <w:tcW w:w="9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2,935</w:t>
            </w:r>
          </w:p>
        </w:tc>
      </w:tr>
      <w:tr>
        <w:trPr>
          <w:trHeight w:val="196"/>
        </w:trPr>
        <w:tc>
          <w:tcPr>
            <w:tcW w:w="4180" w:type="dxa"/>
            <w:vAlign w:val="bottom"/>
            <w:tcBorders>
              <w:left w:val="single" w:sz="8" w:color="auto"/>
              <w:bottom w:val="single" w:sz="8" w:color="auto"/>
              <w:right w:val="single" w:sz="8" w:color="auto"/>
            </w:tcBorders>
          </w:tcPr>
          <w:p>
            <w:pPr>
              <w:ind w:left="300"/>
              <w:spacing w:after="0"/>
              <w:rPr>
                <w:sz w:val="20"/>
                <w:szCs w:val="20"/>
                <w:color w:val="auto"/>
              </w:rPr>
            </w:pPr>
            <w:r>
              <w:rPr>
                <w:rFonts w:ascii="Arial" w:cs="Arial" w:eastAsia="Arial" w:hAnsi="Arial"/>
                <w:sz w:val="14"/>
                <w:szCs w:val="14"/>
                <w:color w:val="auto"/>
              </w:rPr>
              <w:t>Courtyard by Marriott</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7</w:t>
            </w:r>
          </w:p>
        </w:tc>
        <w:tc>
          <w:tcPr>
            <w:tcW w:w="94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987</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w:t>
            </w:r>
          </w:p>
        </w:tc>
        <w:tc>
          <w:tcPr>
            <w:tcW w:w="960" w:type="dxa"/>
            <w:vAlign w:val="bottom"/>
            <w:tcBorders>
              <w:bottom w:val="single" w:sz="8" w:color="auto"/>
              <w:right w:val="single" w:sz="8" w:color="auto"/>
            </w:tcBorders>
          </w:tcPr>
          <w:p>
            <w:pPr>
              <w:jc w:val="right"/>
              <w:ind w:right="28"/>
              <w:spacing w:after="0"/>
              <w:rPr>
                <w:sz w:val="20"/>
                <w:szCs w:val="20"/>
                <w:color w:val="auto"/>
              </w:rPr>
            </w:pPr>
            <w:r>
              <w:rPr>
                <w:rFonts w:ascii="Arial" w:cs="Arial" w:eastAsia="Arial" w:hAnsi="Arial"/>
                <w:sz w:val="14"/>
                <w:szCs w:val="14"/>
                <w:color w:val="auto"/>
              </w:rPr>
              <w:t>894</w:t>
            </w:r>
          </w:p>
        </w:tc>
        <w:tc>
          <w:tcPr>
            <w:tcW w:w="11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11</w:t>
            </w:r>
          </w:p>
        </w:tc>
        <w:tc>
          <w:tcPr>
            <w:tcW w:w="9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1,881</w:t>
            </w:r>
          </w:p>
        </w:tc>
      </w:tr>
      <w:tr>
        <w:trPr>
          <w:trHeight w:val="196"/>
        </w:trPr>
        <w:tc>
          <w:tcPr>
            <w:tcW w:w="4180" w:type="dxa"/>
            <w:vAlign w:val="bottom"/>
            <w:tcBorders>
              <w:left w:val="single" w:sz="8" w:color="auto"/>
              <w:bottom w:val="single" w:sz="8" w:color="auto"/>
              <w:right w:val="single" w:sz="8" w:color="auto"/>
            </w:tcBorders>
          </w:tcPr>
          <w:p>
            <w:pPr>
              <w:ind w:left="300"/>
              <w:spacing w:after="0"/>
              <w:rPr>
                <w:sz w:val="20"/>
                <w:szCs w:val="20"/>
                <w:color w:val="auto"/>
              </w:rPr>
            </w:pPr>
            <w:r>
              <w:rPr>
                <w:rFonts w:ascii="Arial" w:cs="Arial" w:eastAsia="Arial" w:hAnsi="Arial"/>
                <w:sz w:val="14"/>
                <w:szCs w:val="14"/>
                <w:color w:val="auto"/>
              </w:rPr>
              <w:t>W Hotels</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w:t>
            </w:r>
          </w:p>
        </w:tc>
        <w:tc>
          <w:tcPr>
            <w:tcW w:w="94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765</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w:t>
            </w:r>
          </w:p>
        </w:tc>
        <w:tc>
          <w:tcPr>
            <w:tcW w:w="960" w:type="dxa"/>
            <w:vAlign w:val="bottom"/>
            <w:tcBorders>
              <w:bottom w:val="single" w:sz="8" w:color="auto"/>
              <w:right w:val="single" w:sz="8" w:color="auto"/>
            </w:tcBorders>
          </w:tcPr>
          <w:p>
            <w:pPr>
              <w:jc w:val="right"/>
              <w:ind w:right="28"/>
              <w:spacing w:after="0"/>
              <w:rPr>
                <w:sz w:val="20"/>
                <w:szCs w:val="20"/>
                <w:color w:val="auto"/>
              </w:rPr>
            </w:pPr>
            <w:r>
              <w:rPr>
                <w:rFonts w:ascii="Arial" w:cs="Arial" w:eastAsia="Arial" w:hAnsi="Arial"/>
                <w:sz w:val="14"/>
                <w:szCs w:val="14"/>
                <w:color w:val="auto"/>
              </w:rPr>
              <w:t>665</w:t>
            </w:r>
          </w:p>
        </w:tc>
        <w:tc>
          <w:tcPr>
            <w:tcW w:w="11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w:t>
            </w:r>
          </w:p>
        </w:tc>
        <w:tc>
          <w:tcPr>
            <w:tcW w:w="9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1,430</w:t>
            </w:r>
          </w:p>
        </w:tc>
      </w:tr>
      <w:tr>
        <w:trPr>
          <w:trHeight w:val="196"/>
        </w:trPr>
        <w:tc>
          <w:tcPr>
            <w:tcW w:w="4180" w:type="dxa"/>
            <w:vAlign w:val="bottom"/>
            <w:tcBorders>
              <w:left w:val="single" w:sz="8" w:color="auto"/>
              <w:bottom w:val="single" w:sz="8" w:color="auto"/>
              <w:right w:val="single" w:sz="8" w:color="auto"/>
            </w:tcBorders>
          </w:tcPr>
          <w:p>
            <w:pPr>
              <w:ind w:left="300"/>
              <w:spacing w:after="0"/>
              <w:rPr>
                <w:sz w:val="20"/>
                <w:szCs w:val="20"/>
                <w:color w:val="auto"/>
              </w:rPr>
            </w:pPr>
            <w:r>
              <w:rPr>
                <w:rFonts w:ascii="Arial" w:cs="Arial" w:eastAsia="Arial" w:hAnsi="Arial"/>
                <w:sz w:val="14"/>
                <w:szCs w:val="14"/>
                <w:color w:val="auto"/>
              </w:rPr>
              <w:t>Westin</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w:t>
            </w:r>
          </w:p>
        </w:tc>
        <w:tc>
          <w:tcPr>
            <w:tcW w:w="94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1,073</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right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w:t>
            </w:r>
          </w:p>
        </w:tc>
        <w:tc>
          <w:tcPr>
            <w:tcW w:w="9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1,073</w:t>
            </w:r>
          </w:p>
        </w:tc>
      </w:tr>
      <w:tr>
        <w:trPr>
          <w:trHeight w:val="196"/>
        </w:trPr>
        <w:tc>
          <w:tcPr>
            <w:tcW w:w="4180" w:type="dxa"/>
            <w:vAlign w:val="bottom"/>
            <w:tcBorders>
              <w:left w:val="single" w:sz="8" w:color="auto"/>
              <w:bottom w:val="single" w:sz="8" w:color="auto"/>
              <w:right w:val="single" w:sz="8" w:color="auto"/>
            </w:tcBorders>
          </w:tcPr>
          <w:p>
            <w:pPr>
              <w:ind w:left="300"/>
              <w:spacing w:after="0"/>
              <w:rPr>
                <w:sz w:val="20"/>
                <w:szCs w:val="20"/>
                <w:color w:val="auto"/>
              </w:rPr>
            </w:pPr>
            <w:r>
              <w:rPr>
                <w:rFonts w:ascii="Arial" w:cs="Arial" w:eastAsia="Arial" w:hAnsi="Arial"/>
                <w:sz w:val="14"/>
                <w:szCs w:val="14"/>
                <w:color w:val="auto"/>
              </w:rPr>
              <w:t>Protea Hotels by Marriott</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5</w:t>
            </w:r>
          </w:p>
        </w:tc>
        <w:tc>
          <w:tcPr>
            <w:tcW w:w="960" w:type="dxa"/>
            <w:vAlign w:val="bottom"/>
            <w:tcBorders>
              <w:bottom w:val="single" w:sz="8" w:color="auto"/>
              <w:right w:val="single" w:sz="8" w:color="auto"/>
            </w:tcBorders>
          </w:tcPr>
          <w:p>
            <w:pPr>
              <w:jc w:val="right"/>
              <w:ind w:right="28"/>
              <w:spacing w:after="0"/>
              <w:rPr>
                <w:sz w:val="20"/>
                <w:szCs w:val="20"/>
                <w:color w:val="auto"/>
              </w:rPr>
            </w:pPr>
            <w:r>
              <w:rPr>
                <w:rFonts w:ascii="Arial" w:cs="Arial" w:eastAsia="Arial" w:hAnsi="Arial"/>
                <w:sz w:val="14"/>
                <w:szCs w:val="14"/>
                <w:color w:val="auto"/>
              </w:rPr>
              <w:t>912</w:t>
            </w:r>
          </w:p>
        </w:tc>
        <w:tc>
          <w:tcPr>
            <w:tcW w:w="11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5</w:t>
            </w:r>
          </w:p>
        </w:tc>
        <w:tc>
          <w:tcPr>
            <w:tcW w:w="9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912</w:t>
            </w:r>
          </w:p>
        </w:tc>
      </w:tr>
      <w:tr>
        <w:trPr>
          <w:trHeight w:val="196"/>
        </w:trPr>
        <w:tc>
          <w:tcPr>
            <w:tcW w:w="4180" w:type="dxa"/>
            <w:vAlign w:val="bottom"/>
            <w:tcBorders>
              <w:left w:val="single" w:sz="8" w:color="auto"/>
              <w:bottom w:val="single" w:sz="8" w:color="auto"/>
              <w:right w:val="single" w:sz="8" w:color="auto"/>
            </w:tcBorders>
          </w:tcPr>
          <w:p>
            <w:pPr>
              <w:ind w:left="300"/>
              <w:spacing w:after="0"/>
              <w:rPr>
                <w:sz w:val="20"/>
                <w:szCs w:val="20"/>
                <w:color w:val="auto"/>
              </w:rPr>
            </w:pPr>
            <w:r>
              <w:rPr>
                <w:rFonts w:ascii="Arial" w:cs="Arial" w:eastAsia="Arial" w:hAnsi="Arial"/>
                <w:sz w:val="14"/>
                <w:szCs w:val="14"/>
                <w:color w:val="auto"/>
              </w:rPr>
              <w:t>JW Marriott</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w:t>
            </w:r>
          </w:p>
        </w:tc>
        <w:tc>
          <w:tcPr>
            <w:tcW w:w="960" w:type="dxa"/>
            <w:vAlign w:val="bottom"/>
            <w:tcBorders>
              <w:bottom w:val="single" w:sz="8" w:color="auto"/>
              <w:right w:val="single" w:sz="8" w:color="auto"/>
            </w:tcBorders>
          </w:tcPr>
          <w:p>
            <w:pPr>
              <w:jc w:val="right"/>
              <w:ind w:right="28"/>
              <w:spacing w:after="0"/>
              <w:rPr>
                <w:sz w:val="20"/>
                <w:szCs w:val="20"/>
                <w:color w:val="auto"/>
              </w:rPr>
            </w:pPr>
            <w:r>
              <w:rPr>
                <w:rFonts w:ascii="Arial" w:cs="Arial" w:eastAsia="Arial" w:hAnsi="Arial"/>
                <w:sz w:val="14"/>
                <w:szCs w:val="14"/>
                <w:color w:val="auto"/>
              </w:rPr>
              <w:t>696</w:t>
            </w:r>
          </w:p>
        </w:tc>
        <w:tc>
          <w:tcPr>
            <w:tcW w:w="11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w:t>
            </w:r>
          </w:p>
        </w:tc>
        <w:tc>
          <w:tcPr>
            <w:tcW w:w="9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696</w:t>
            </w:r>
          </w:p>
        </w:tc>
      </w:tr>
      <w:tr>
        <w:trPr>
          <w:trHeight w:val="196"/>
        </w:trPr>
        <w:tc>
          <w:tcPr>
            <w:tcW w:w="4180" w:type="dxa"/>
            <w:vAlign w:val="bottom"/>
            <w:tcBorders>
              <w:left w:val="single" w:sz="8" w:color="auto"/>
              <w:bottom w:val="single" w:sz="8" w:color="auto"/>
              <w:right w:val="single" w:sz="8" w:color="auto"/>
            </w:tcBorders>
          </w:tcPr>
          <w:p>
            <w:pPr>
              <w:ind w:left="300"/>
              <w:spacing w:after="0"/>
              <w:rPr>
                <w:sz w:val="20"/>
                <w:szCs w:val="20"/>
                <w:color w:val="auto"/>
              </w:rPr>
            </w:pPr>
            <w:r>
              <w:rPr>
                <w:rFonts w:ascii="Arial" w:cs="Arial" w:eastAsia="Arial" w:hAnsi="Arial"/>
                <w:sz w:val="14"/>
                <w:szCs w:val="14"/>
                <w:color w:val="auto"/>
              </w:rPr>
              <w:t>The Ritz-Carlton</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w:t>
            </w:r>
          </w:p>
        </w:tc>
        <w:tc>
          <w:tcPr>
            <w:tcW w:w="960" w:type="dxa"/>
            <w:vAlign w:val="bottom"/>
            <w:tcBorders>
              <w:bottom w:val="single" w:sz="8" w:color="auto"/>
              <w:right w:val="single" w:sz="8" w:color="auto"/>
            </w:tcBorders>
          </w:tcPr>
          <w:p>
            <w:pPr>
              <w:jc w:val="right"/>
              <w:ind w:right="28"/>
              <w:spacing w:after="0"/>
              <w:rPr>
                <w:sz w:val="20"/>
                <w:szCs w:val="20"/>
                <w:color w:val="auto"/>
              </w:rPr>
            </w:pPr>
            <w:r>
              <w:rPr>
                <w:rFonts w:ascii="Arial" w:cs="Arial" w:eastAsia="Arial" w:hAnsi="Arial"/>
                <w:sz w:val="14"/>
                <w:szCs w:val="14"/>
                <w:color w:val="auto"/>
              </w:rPr>
              <w:t>548</w:t>
            </w:r>
          </w:p>
        </w:tc>
        <w:tc>
          <w:tcPr>
            <w:tcW w:w="11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w:t>
            </w:r>
          </w:p>
        </w:tc>
        <w:tc>
          <w:tcPr>
            <w:tcW w:w="9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548</w:t>
            </w:r>
          </w:p>
        </w:tc>
      </w:tr>
      <w:tr>
        <w:trPr>
          <w:trHeight w:val="196"/>
        </w:trPr>
        <w:tc>
          <w:tcPr>
            <w:tcW w:w="4180" w:type="dxa"/>
            <w:vAlign w:val="bottom"/>
            <w:tcBorders>
              <w:left w:val="single" w:sz="8" w:color="auto"/>
              <w:bottom w:val="single" w:sz="8" w:color="auto"/>
              <w:right w:val="single" w:sz="8" w:color="auto"/>
            </w:tcBorders>
          </w:tcPr>
          <w:p>
            <w:pPr>
              <w:ind w:left="300"/>
              <w:spacing w:after="0"/>
              <w:rPr>
                <w:sz w:val="20"/>
                <w:szCs w:val="20"/>
                <w:color w:val="auto"/>
              </w:rPr>
            </w:pPr>
            <w:r>
              <w:rPr>
                <w:rFonts w:ascii="Arial" w:cs="Arial" w:eastAsia="Arial" w:hAnsi="Arial"/>
                <w:sz w:val="14"/>
                <w:szCs w:val="14"/>
                <w:color w:val="auto"/>
              </w:rPr>
              <w:t>Renaissance Hotels</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w:t>
            </w:r>
          </w:p>
        </w:tc>
        <w:tc>
          <w:tcPr>
            <w:tcW w:w="960" w:type="dxa"/>
            <w:vAlign w:val="bottom"/>
            <w:tcBorders>
              <w:bottom w:val="single" w:sz="8" w:color="auto"/>
              <w:right w:val="single" w:sz="8" w:color="auto"/>
            </w:tcBorders>
          </w:tcPr>
          <w:p>
            <w:pPr>
              <w:jc w:val="right"/>
              <w:ind w:right="28"/>
              <w:spacing w:after="0"/>
              <w:rPr>
                <w:sz w:val="20"/>
                <w:szCs w:val="20"/>
                <w:color w:val="auto"/>
              </w:rPr>
            </w:pPr>
            <w:r>
              <w:rPr>
                <w:rFonts w:ascii="Arial" w:cs="Arial" w:eastAsia="Arial" w:hAnsi="Arial"/>
                <w:sz w:val="14"/>
                <w:szCs w:val="14"/>
                <w:color w:val="auto"/>
              </w:rPr>
              <w:t>505</w:t>
            </w:r>
          </w:p>
        </w:tc>
        <w:tc>
          <w:tcPr>
            <w:tcW w:w="11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w:t>
            </w:r>
          </w:p>
        </w:tc>
        <w:tc>
          <w:tcPr>
            <w:tcW w:w="9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505</w:t>
            </w:r>
          </w:p>
        </w:tc>
      </w:tr>
      <w:tr>
        <w:trPr>
          <w:trHeight w:val="196"/>
        </w:trPr>
        <w:tc>
          <w:tcPr>
            <w:tcW w:w="4180" w:type="dxa"/>
            <w:vAlign w:val="bottom"/>
            <w:tcBorders>
              <w:left w:val="single" w:sz="8" w:color="auto"/>
              <w:bottom w:val="single" w:sz="8" w:color="auto"/>
              <w:right w:val="single" w:sz="8" w:color="auto"/>
            </w:tcBorders>
          </w:tcPr>
          <w:p>
            <w:pPr>
              <w:ind w:left="300"/>
              <w:spacing w:after="0"/>
              <w:rPr>
                <w:sz w:val="20"/>
                <w:szCs w:val="20"/>
                <w:color w:val="auto"/>
              </w:rPr>
            </w:pPr>
            <w:r>
              <w:rPr>
                <w:rFonts w:ascii="Arial" w:cs="Arial" w:eastAsia="Arial" w:hAnsi="Arial"/>
                <w:sz w:val="14"/>
                <w:szCs w:val="14"/>
                <w:color w:val="auto"/>
              </w:rPr>
              <w:t>The Luxury Collection</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w:t>
            </w:r>
          </w:p>
        </w:tc>
        <w:tc>
          <w:tcPr>
            <w:tcW w:w="960" w:type="dxa"/>
            <w:vAlign w:val="bottom"/>
            <w:tcBorders>
              <w:bottom w:val="single" w:sz="8" w:color="auto"/>
              <w:right w:val="single" w:sz="8" w:color="auto"/>
            </w:tcBorders>
          </w:tcPr>
          <w:p>
            <w:pPr>
              <w:jc w:val="right"/>
              <w:ind w:right="28"/>
              <w:spacing w:after="0"/>
              <w:rPr>
                <w:sz w:val="20"/>
                <w:szCs w:val="20"/>
                <w:color w:val="auto"/>
              </w:rPr>
            </w:pPr>
            <w:r>
              <w:rPr>
                <w:rFonts w:ascii="Arial" w:cs="Arial" w:eastAsia="Arial" w:hAnsi="Arial"/>
                <w:sz w:val="14"/>
                <w:szCs w:val="14"/>
                <w:color w:val="auto"/>
              </w:rPr>
              <w:t>383</w:t>
            </w:r>
          </w:p>
        </w:tc>
        <w:tc>
          <w:tcPr>
            <w:tcW w:w="11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w:t>
            </w:r>
          </w:p>
        </w:tc>
        <w:tc>
          <w:tcPr>
            <w:tcW w:w="9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383</w:t>
            </w:r>
          </w:p>
        </w:tc>
      </w:tr>
      <w:tr>
        <w:trPr>
          <w:trHeight w:val="196"/>
        </w:trPr>
        <w:tc>
          <w:tcPr>
            <w:tcW w:w="4180" w:type="dxa"/>
            <w:vAlign w:val="bottom"/>
            <w:tcBorders>
              <w:left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4"/>
                <w:szCs w:val="14"/>
                <w:color w:val="auto"/>
              </w:rPr>
              <w:t>Autograph Collection</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5</w:t>
            </w:r>
          </w:p>
        </w:tc>
        <w:tc>
          <w:tcPr>
            <w:tcW w:w="960" w:type="dxa"/>
            <w:vAlign w:val="bottom"/>
            <w:tcBorders>
              <w:bottom w:val="single" w:sz="8" w:color="auto"/>
              <w:right w:val="single" w:sz="8" w:color="auto"/>
            </w:tcBorders>
          </w:tcPr>
          <w:p>
            <w:pPr>
              <w:jc w:val="right"/>
              <w:ind w:right="28"/>
              <w:spacing w:after="0"/>
              <w:rPr>
                <w:sz w:val="20"/>
                <w:szCs w:val="20"/>
                <w:color w:val="auto"/>
              </w:rPr>
            </w:pPr>
            <w:r>
              <w:rPr>
                <w:rFonts w:ascii="Arial" w:cs="Arial" w:eastAsia="Arial" w:hAnsi="Arial"/>
                <w:sz w:val="14"/>
                <w:szCs w:val="14"/>
                <w:color w:val="auto"/>
              </w:rPr>
              <w:t>360</w:t>
            </w:r>
          </w:p>
        </w:tc>
        <w:tc>
          <w:tcPr>
            <w:tcW w:w="11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5</w:t>
            </w:r>
          </w:p>
        </w:tc>
        <w:tc>
          <w:tcPr>
            <w:tcW w:w="9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360</w:t>
            </w:r>
          </w:p>
        </w:tc>
      </w:tr>
      <w:tr>
        <w:trPr>
          <w:trHeight w:val="196"/>
        </w:trPr>
        <w:tc>
          <w:tcPr>
            <w:tcW w:w="4180" w:type="dxa"/>
            <w:vAlign w:val="bottom"/>
            <w:tcBorders>
              <w:left w:val="single" w:sz="8" w:color="auto"/>
              <w:bottom w:val="single" w:sz="8" w:color="auto"/>
              <w:right w:val="single" w:sz="8" w:color="auto"/>
            </w:tcBorders>
          </w:tcPr>
          <w:p>
            <w:pPr>
              <w:ind w:left="300"/>
              <w:spacing w:after="0"/>
              <w:rPr>
                <w:sz w:val="20"/>
                <w:szCs w:val="20"/>
                <w:color w:val="auto"/>
              </w:rPr>
            </w:pPr>
            <w:r>
              <w:rPr>
                <w:rFonts w:ascii="Arial" w:cs="Arial" w:eastAsia="Arial" w:hAnsi="Arial"/>
                <w:sz w:val="14"/>
                <w:szCs w:val="14"/>
                <w:color w:val="auto"/>
              </w:rPr>
              <w:t>Residence Inn by Marriott</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w:t>
            </w:r>
          </w:p>
        </w:tc>
        <w:tc>
          <w:tcPr>
            <w:tcW w:w="94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192</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w:t>
            </w:r>
          </w:p>
        </w:tc>
        <w:tc>
          <w:tcPr>
            <w:tcW w:w="960" w:type="dxa"/>
            <w:vAlign w:val="bottom"/>
            <w:tcBorders>
              <w:bottom w:val="single" w:sz="8" w:color="auto"/>
              <w:right w:val="single" w:sz="8" w:color="auto"/>
            </w:tcBorders>
          </w:tcPr>
          <w:p>
            <w:pPr>
              <w:jc w:val="right"/>
              <w:ind w:right="28"/>
              <w:spacing w:after="0"/>
              <w:rPr>
                <w:sz w:val="20"/>
                <w:szCs w:val="20"/>
                <w:color w:val="auto"/>
              </w:rPr>
            </w:pPr>
            <w:r>
              <w:rPr>
                <w:rFonts w:ascii="Arial" w:cs="Arial" w:eastAsia="Arial" w:hAnsi="Arial"/>
                <w:sz w:val="14"/>
                <w:szCs w:val="14"/>
                <w:color w:val="auto"/>
              </w:rPr>
              <w:t>140</w:t>
            </w:r>
          </w:p>
        </w:tc>
        <w:tc>
          <w:tcPr>
            <w:tcW w:w="11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w:t>
            </w:r>
          </w:p>
        </w:tc>
        <w:tc>
          <w:tcPr>
            <w:tcW w:w="9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332</w:t>
            </w:r>
          </w:p>
        </w:tc>
      </w:tr>
      <w:tr>
        <w:trPr>
          <w:trHeight w:val="196"/>
        </w:trPr>
        <w:tc>
          <w:tcPr>
            <w:tcW w:w="4180" w:type="dxa"/>
            <w:vAlign w:val="bottom"/>
            <w:tcBorders>
              <w:left w:val="single" w:sz="8" w:color="auto"/>
              <w:bottom w:val="single" w:sz="8" w:color="auto"/>
              <w:right w:val="single" w:sz="8" w:color="auto"/>
            </w:tcBorders>
          </w:tcPr>
          <w:p>
            <w:pPr>
              <w:ind w:left="300"/>
              <w:spacing w:after="0"/>
              <w:rPr>
                <w:sz w:val="20"/>
                <w:szCs w:val="20"/>
                <w:color w:val="auto"/>
              </w:rPr>
            </w:pPr>
            <w:r>
              <w:rPr>
                <w:rFonts w:ascii="Arial" w:cs="Arial" w:eastAsia="Arial" w:hAnsi="Arial"/>
                <w:sz w:val="14"/>
                <w:szCs w:val="14"/>
                <w:color w:val="auto"/>
              </w:rPr>
              <w:t>Tribute Portfolio</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w:t>
            </w:r>
          </w:p>
        </w:tc>
        <w:tc>
          <w:tcPr>
            <w:tcW w:w="960" w:type="dxa"/>
            <w:vAlign w:val="bottom"/>
            <w:tcBorders>
              <w:bottom w:val="single" w:sz="8" w:color="auto"/>
              <w:right w:val="single" w:sz="8" w:color="auto"/>
            </w:tcBorders>
          </w:tcPr>
          <w:p>
            <w:pPr>
              <w:jc w:val="right"/>
              <w:ind w:right="28"/>
              <w:spacing w:after="0"/>
              <w:rPr>
                <w:sz w:val="20"/>
                <w:szCs w:val="20"/>
                <w:color w:val="auto"/>
              </w:rPr>
            </w:pPr>
            <w:r>
              <w:rPr>
                <w:rFonts w:ascii="Arial" w:cs="Arial" w:eastAsia="Arial" w:hAnsi="Arial"/>
                <w:sz w:val="14"/>
                <w:szCs w:val="14"/>
                <w:color w:val="auto"/>
              </w:rPr>
              <w:t>249</w:t>
            </w:r>
          </w:p>
        </w:tc>
        <w:tc>
          <w:tcPr>
            <w:tcW w:w="11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w:t>
            </w:r>
          </w:p>
        </w:tc>
        <w:tc>
          <w:tcPr>
            <w:tcW w:w="9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249</w:t>
            </w:r>
          </w:p>
        </w:tc>
      </w:tr>
      <w:tr>
        <w:trPr>
          <w:trHeight w:val="196"/>
        </w:trPr>
        <w:tc>
          <w:tcPr>
            <w:tcW w:w="4180" w:type="dxa"/>
            <w:vAlign w:val="bottom"/>
            <w:tcBorders>
              <w:left w:val="single" w:sz="8" w:color="auto"/>
              <w:bottom w:val="single" w:sz="8" w:color="auto"/>
              <w:right w:val="single" w:sz="8" w:color="auto"/>
            </w:tcBorders>
          </w:tcPr>
          <w:p>
            <w:pPr>
              <w:ind w:left="300"/>
              <w:spacing w:after="0"/>
              <w:rPr>
                <w:sz w:val="20"/>
                <w:szCs w:val="20"/>
                <w:color w:val="auto"/>
              </w:rPr>
            </w:pPr>
            <w:r>
              <w:rPr>
                <w:rFonts w:ascii="Arial" w:cs="Arial" w:eastAsia="Arial" w:hAnsi="Arial"/>
                <w:sz w:val="14"/>
                <w:szCs w:val="14"/>
                <w:color w:val="auto"/>
              </w:rPr>
              <w:t>St. Regis</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w:t>
            </w:r>
          </w:p>
        </w:tc>
        <w:tc>
          <w:tcPr>
            <w:tcW w:w="960" w:type="dxa"/>
            <w:vAlign w:val="bottom"/>
            <w:tcBorders>
              <w:bottom w:val="single" w:sz="8" w:color="auto"/>
              <w:right w:val="single" w:sz="8" w:color="auto"/>
            </w:tcBorders>
          </w:tcPr>
          <w:p>
            <w:pPr>
              <w:jc w:val="right"/>
              <w:ind w:right="28"/>
              <w:spacing w:after="0"/>
              <w:rPr>
                <w:sz w:val="20"/>
                <w:szCs w:val="20"/>
                <w:color w:val="auto"/>
              </w:rPr>
            </w:pPr>
            <w:r>
              <w:rPr>
                <w:rFonts w:ascii="Arial" w:cs="Arial" w:eastAsia="Arial" w:hAnsi="Arial"/>
                <w:sz w:val="14"/>
                <w:szCs w:val="14"/>
                <w:color w:val="auto"/>
              </w:rPr>
              <w:t>160</w:t>
            </w:r>
          </w:p>
        </w:tc>
        <w:tc>
          <w:tcPr>
            <w:tcW w:w="11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w:t>
            </w:r>
          </w:p>
        </w:tc>
        <w:tc>
          <w:tcPr>
            <w:tcW w:w="9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160</w:t>
            </w:r>
          </w:p>
        </w:tc>
      </w:tr>
    </w:tbl>
    <w:p>
      <w:pPr>
        <w:spacing w:after="0" w:line="200" w:lineRule="exact"/>
        <w:rPr>
          <w:sz w:val="20"/>
          <w:szCs w:val="20"/>
          <w:color w:val="auto"/>
        </w:rPr>
      </w:pPr>
    </w:p>
    <w:p>
      <w:pPr>
        <w:sectPr>
          <w:pgSz w:w="11900" w:h="16838" w:orient="portrait"/>
          <w:cols w:equalWidth="0" w:num="1">
            <w:col w:w="10500"/>
          </w:cols>
          <w:pgMar w:left="700" w:top="495" w:right="699" w:bottom="1440" w:gutter="0" w:footer="0" w:header="0"/>
        </w:sect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A-5</w:t>
      </w:r>
    </w:p>
    <w:p>
      <w:pPr>
        <w:sectPr>
          <w:pgSz w:w="11900" w:h="16838" w:orient="portrait"/>
          <w:cols w:equalWidth="0" w:num="1">
            <w:col w:w="10500"/>
          </w:cols>
          <w:pgMar w:left="700" w:top="495" w:right="699" w:bottom="1440" w:gutter="0" w:footer="0" w:header="0"/>
          <w:type w:val="continuous"/>
        </w:sectPr>
      </w:pPr>
    </w:p>
    <w:bookmarkStart w:id="15" w:name="page16"/>
    <w:bookmarkEnd w:id="15"/>
    <w:p>
      <w:pPr>
        <w:jc w:val="center"/>
        <w:ind w:right="20"/>
        <w:spacing w:after="0"/>
        <w:rPr>
          <w:sz w:val="20"/>
          <w:szCs w:val="20"/>
          <w:color w:val="auto"/>
        </w:rPr>
      </w:pPr>
      <w:r>
        <w:rPr>
          <w:rFonts w:ascii="Arial" w:cs="Arial" w:eastAsia="Arial" w:hAnsi="Arial"/>
          <w:sz w:val="14"/>
          <w:szCs w:val="14"/>
          <w:b w:val="1"/>
          <w:bCs w:val="1"/>
          <w:color w:val="auto"/>
        </w:rPr>
        <w:t>MARRIOTT INTERNATIONAL, INC.</w:t>
      </w:r>
    </w:p>
    <w:p>
      <w:pPr>
        <w:spacing w:after="0" w:line="42"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TOTAL LODGING PRODUCTS BY OWNERSHIP TYPE</w:t>
      </w:r>
    </w:p>
    <w:p>
      <w:pPr>
        <w:spacing w:after="0" w:line="42"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As of March 31, 2026</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220"/>
        </w:trPr>
        <w:tc>
          <w:tcPr>
            <w:tcW w:w="4160" w:type="dxa"/>
            <w:vAlign w:val="bottom"/>
            <w:tcBorders>
              <w:top w:val="single" w:sz="8" w:color="auto"/>
              <w:left w:val="single" w:sz="8" w:color="auto"/>
              <w:right w:val="single" w:sz="8" w:color="auto"/>
            </w:tcBorders>
          </w:tcPr>
          <w:p>
            <w:pPr>
              <w:spacing w:after="0"/>
              <w:rPr>
                <w:sz w:val="19"/>
                <w:szCs w:val="19"/>
                <w:color w:val="auto"/>
              </w:rPr>
            </w:pPr>
          </w:p>
        </w:tc>
        <w:tc>
          <w:tcPr>
            <w:tcW w:w="2120" w:type="dxa"/>
            <w:vAlign w:val="bottom"/>
            <w:tcBorders>
              <w:top w:val="single" w:sz="8" w:color="auto"/>
              <w:right w:val="single" w:sz="8" w:color="auto"/>
            </w:tcBorders>
            <w:gridSpan w:val="2"/>
          </w:tcPr>
          <w:p>
            <w:pPr>
              <w:jc w:val="right"/>
              <w:ind w:right="548"/>
              <w:spacing w:after="0"/>
              <w:rPr>
                <w:sz w:val="20"/>
                <w:szCs w:val="20"/>
                <w:color w:val="auto"/>
              </w:rPr>
            </w:pPr>
            <w:r>
              <w:rPr>
                <w:rFonts w:ascii="Arial" w:cs="Arial" w:eastAsia="Arial" w:hAnsi="Arial"/>
                <w:sz w:val="14"/>
                <w:szCs w:val="14"/>
                <w:b w:val="1"/>
                <w:bCs w:val="1"/>
                <w:color w:val="auto"/>
              </w:rPr>
              <w:t>US &amp; Canada</w:t>
            </w:r>
          </w:p>
        </w:tc>
        <w:tc>
          <w:tcPr>
            <w:tcW w:w="2100" w:type="dxa"/>
            <w:vAlign w:val="bottom"/>
            <w:tcBorders>
              <w:top w:val="single" w:sz="8" w:color="auto"/>
              <w:right w:val="single" w:sz="8" w:color="auto"/>
            </w:tcBorders>
            <w:gridSpan w:val="2"/>
          </w:tcPr>
          <w:p>
            <w:pPr>
              <w:jc w:val="right"/>
              <w:ind w:right="348"/>
              <w:spacing w:after="0"/>
              <w:rPr>
                <w:sz w:val="20"/>
                <w:szCs w:val="20"/>
                <w:color w:val="auto"/>
              </w:rPr>
            </w:pPr>
            <w:r>
              <w:rPr>
                <w:rFonts w:ascii="Arial" w:cs="Arial" w:eastAsia="Arial" w:hAnsi="Arial"/>
                <w:sz w:val="14"/>
                <w:szCs w:val="14"/>
                <w:b w:val="1"/>
                <w:bCs w:val="1"/>
                <w:color w:val="auto"/>
              </w:rPr>
              <w:t>Total International</w:t>
            </w:r>
            <w:r>
              <w:rPr>
                <w:rFonts w:ascii="Arial" w:cs="Arial" w:eastAsia="Arial" w:hAnsi="Arial"/>
                <w:sz w:val="18"/>
                <w:szCs w:val="18"/>
                <w:b w:val="1"/>
                <w:bCs w:val="1"/>
                <w:color w:val="auto"/>
                <w:vertAlign w:val="superscript"/>
              </w:rPr>
              <w:t>1</w:t>
            </w:r>
          </w:p>
        </w:tc>
        <w:tc>
          <w:tcPr>
            <w:tcW w:w="2100" w:type="dxa"/>
            <w:vAlign w:val="bottom"/>
            <w:tcBorders>
              <w:top w:val="single" w:sz="8" w:color="auto"/>
              <w:right w:val="single" w:sz="8" w:color="auto"/>
            </w:tcBorders>
            <w:gridSpan w:val="2"/>
          </w:tcPr>
          <w:p>
            <w:pPr>
              <w:jc w:val="right"/>
              <w:ind w:right="428"/>
              <w:spacing w:after="0"/>
              <w:rPr>
                <w:sz w:val="20"/>
                <w:szCs w:val="20"/>
                <w:color w:val="auto"/>
              </w:rPr>
            </w:pPr>
            <w:r>
              <w:rPr>
                <w:rFonts w:ascii="Arial" w:cs="Arial" w:eastAsia="Arial" w:hAnsi="Arial"/>
                <w:sz w:val="14"/>
                <w:szCs w:val="14"/>
                <w:b w:val="1"/>
                <w:bCs w:val="1"/>
                <w:color w:val="auto"/>
              </w:rPr>
              <w:t>Total Worldwide</w:t>
            </w:r>
          </w:p>
        </w:tc>
      </w:tr>
      <w:tr>
        <w:trPr>
          <w:trHeight w:val="194"/>
        </w:trPr>
        <w:tc>
          <w:tcPr>
            <w:tcW w:w="4160" w:type="dxa"/>
            <w:vAlign w:val="bottom"/>
            <w:tcBorders>
              <w:left w:val="single" w:sz="8" w:color="auto"/>
              <w:bottom w:val="single" w:sz="8" w:color="auto"/>
              <w:right w:val="single" w:sz="8" w:color="auto"/>
            </w:tcBorders>
          </w:tcPr>
          <w:p>
            <w:pPr>
              <w:spacing w:after="0"/>
              <w:rPr>
                <w:sz w:val="16"/>
                <w:szCs w:val="16"/>
                <w:color w:val="auto"/>
              </w:rPr>
            </w:pPr>
          </w:p>
        </w:tc>
        <w:tc>
          <w:tcPr>
            <w:tcW w:w="11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Properties</w:t>
            </w:r>
          </w:p>
        </w:tc>
        <w:tc>
          <w:tcPr>
            <w:tcW w:w="960" w:type="dxa"/>
            <w:vAlign w:val="bottom"/>
            <w:tcBorders>
              <w:bottom w:val="single" w:sz="8" w:color="auto"/>
              <w:right w:val="single" w:sz="8" w:color="auto"/>
            </w:tcBorders>
          </w:tcPr>
          <w:p>
            <w:pPr>
              <w:jc w:val="right"/>
              <w:ind w:right="248"/>
              <w:spacing w:after="0"/>
              <w:rPr>
                <w:sz w:val="20"/>
                <w:szCs w:val="20"/>
                <w:color w:val="auto"/>
              </w:rPr>
            </w:pPr>
            <w:r>
              <w:rPr>
                <w:rFonts w:ascii="Arial" w:cs="Arial" w:eastAsia="Arial" w:hAnsi="Arial"/>
                <w:sz w:val="14"/>
                <w:szCs w:val="14"/>
                <w:color w:val="auto"/>
              </w:rPr>
              <w:t>Rooms</w:t>
            </w:r>
          </w:p>
        </w:tc>
        <w:tc>
          <w:tcPr>
            <w:tcW w:w="11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Properties</w:t>
            </w:r>
          </w:p>
        </w:tc>
        <w:tc>
          <w:tcPr>
            <w:tcW w:w="960" w:type="dxa"/>
            <w:vAlign w:val="bottom"/>
            <w:tcBorders>
              <w:bottom w:val="single" w:sz="8" w:color="auto"/>
              <w:right w:val="single" w:sz="8" w:color="auto"/>
            </w:tcBorders>
          </w:tcPr>
          <w:p>
            <w:pPr>
              <w:jc w:val="right"/>
              <w:ind w:right="248"/>
              <w:spacing w:after="0"/>
              <w:rPr>
                <w:sz w:val="20"/>
                <w:szCs w:val="20"/>
                <w:color w:val="auto"/>
              </w:rPr>
            </w:pPr>
            <w:r>
              <w:rPr>
                <w:rFonts w:ascii="Arial" w:cs="Arial" w:eastAsia="Arial" w:hAnsi="Arial"/>
                <w:sz w:val="14"/>
                <w:szCs w:val="14"/>
                <w:color w:val="auto"/>
              </w:rPr>
              <w:t>Rooms</w:t>
            </w:r>
          </w:p>
        </w:tc>
        <w:tc>
          <w:tcPr>
            <w:tcW w:w="11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Properties</w:t>
            </w:r>
          </w:p>
        </w:tc>
        <w:tc>
          <w:tcPr>
            <w:tcW w:w="940" w:type="dxa"/>
            <w:vAlign w:val="bottom"/>
            <w:tcBorders>
              <w:bottom w:val="single" w:sz="8" w:color="auto"/>
              <w:right w:val="single" w:sz="8" w:color="auto"/>
            </w:tcBorders>
          </w:tcPr>
          <w:p>
            <w:pPr>
              <w:jc w:val="right"/>
              <w:ind w:right="228"/>
              <w:spacing w:after="0"/>
              <w:rPr>
                <w:sz w:val="20"/>
                <w:szCs w:val="20"/>
                <w:color w:val="auto"/>
              </w:rPr>
            </w:pPr>
            <w:r>
              <w:rPr>
                <w:rFonts w:ascii="Arial" w:cs="Arial" w:eastAsia="Arial" w:hAnsi="Arial"/>
                <w:sz w:val="14"/>
                <w:szCs w:val="14"/>
                <w:color w:val="auto"/>
              </w:rPr>
              <w:t>Rooms</w:t>
            </w:r>
          </w:p>
        </w:tc>
      </w:tr>
      <w:tr>
        <w:trPr>
          <w:trHeight w:val="199"/>
        </w:trPr>
        <w:tc>
          <w:tcPr>
            <w:tcW w:w="4160" w:type="dxa"/>
            <w:vAlign w:val="bottom"/>
            <w:tcBorders>
              <w:left w:val="single" w:sz="8" w:color="auto"/>
              <w:bottom w:val="single" w:sz="8" w:color="auto"/>
              <w:right w:val="single" w:sz="8" w:color="auto"/>
            </w:tcBorders>
            <w:shd w:val="clear" w:color="auto" w:fill="D6D6D6"/>
          </w:tcPr>
          <w:p>
            <w:pPr>
              <w:ind w:left="20"/>
              <w:spacing w:after="0"/>
              <w:rPr>
                <w:sz w:val="20"/>
                <w:szCs w:val="20"/>
                <w:color w:val="auto"/>
              </w:rPr>
            </w:pPr>
            <w:r>
              <w:rPr>
                <w:rFonts w:ascii="Arial" w:cs="Arial" w:eastAsia="Arial" w:hAnsi="Arial"/>
                <w:sz w:val="14"/>
                <w:szCs w:val="14"/>
                <w:b w:val="1"/>
                <w:bCs w:val="1"/>
                <w:color w:val="auto"/>
              </w:rPr>
              <w:t>Managed</w:t>
            </w:r>
          </w:p>
        </w:tc>
        <w:tc>
          <w:tcPr>
            <w:tcW w:w="1160" w:type="dxa"/>
            <w:vAlign w:val="bottom"/>
            <w:tcBorders>
              <w:bottom w:val="single" w:sz="8" w:color="auto"/>
            </w:tcBorders>
            <w:shd w:val="clear" w:color="auto" w:fill="DBDBDB"/>
          </w:tcPr>
          <w:p>
            <w:pPr>
              <w:jc w:val="right"/>
              <w:ind w:right="108"/>
              <w:spacing w:after="0"/>
              <w:rPr>
                <w:sz w:val="20"/>
                <w:szCs w:val="20"/>
                <w:color w:val="auto"/>
              </w:rPr>
            </w:pPr>
            <w:r>
              <w:rPr>
                <w:rFonts w:ascii="Arial" w:cs="Arial" w:eastAsia="Arial" w:hAnsi="Arial"/>
                <w:sz w:val="14"/>
                <w:szCs w:val="14"/>
                <w:b w:val="1"/>
                <w:bCs w:val="1"/>
                <w:color w:val="auto"/>
              </w:rPr>
              <w:t>564</w:t>
            </w:r>
          </w:p>
        </w:tc>
        <w:tc>
          <w:tcPr>
            <w:tcW w:w="960" w:type="dxa"/>
            <w:vAlign w:val="bottom"/>
            <w:tcBorders>
              <w:bottom w:val="single" w:sz="8" w:color="auto"/>
              <w:right w:val="single" w:sz="8" w:color="auto"/>
            </w:tcBorders>
            <w:shd w:val="clear" w:color="auto" w:fill="DBDBDB"/>
          </w:tcPr>
          <w:p>
            <w:pPr>
              <w:jc w:val="right"/>
              <w:ind w:right="8"/>
              <w:spacing w:after="0"/>
              <w:rPr>
                <w:sz w:val="20"/>
                <w:szCs w:val="20"/>
                <w:color w:val="auto"/>
              </w:rPr>
            </w:pPr>
            <w:r>
              <w:rPr>
                <w:rFonts w:ascii="Arial" w:cs="Arial" w:eastAsia="Arial" w:hAnsi="Arial"/>
                <w:sz w:val="14"/>
                <w:szCs w:val="14"/>
                <w:b w:val="1"/>
                <w:bCs w:val="1"/>
                <w:color w:val="auto"/>
              </w:rPr>
              <w:t>203,110</w:t>
            </w:r>
          </w:p>
        </w:tc>
        <w:tc>
          <w:tcPr>
            <w:tcW w:w="1140" w:type="dxa"/>
            <w:vAlign w:val="bottom"/>
            <w:tcBorders>
              <w:bottom w:val="single" w:sz="8" w:color="auto"/>
            </w:tcBorders>
            <w:shd w:val="clear" w:color="auto" w:fill="DBDBDB"/>
          </w:tcPr>
          <w:p>
            <w:pPr>
              <w:jc w:val="right"/>
              <w:ind w:right="108"/>
              <w:spacing w:after="0"/>
              <w:rPr>
                <w:sz w:val="20"/>
                <w:szCs w:val="20"/>
                <w:color w:val="auto"/>
              </w:rPr>
            </w:pPr>
            <w:r>
              <w:rPr>
                <w:rFonts w:ascii="Arial" w:cs="Arial" w:eastAsia="Arial" w:hAnsi="Arial"/>
                <w:sz w:val="14"/>
                <w:szCs w:val="14"/>
                <w:b w:val="1"/>
                <w:bCs w:val="1"/>
                <w:color w:val="auto"/>
              </w:rPr>
              <w:t>1,384</w:t>
            </w:r>
          </w:p>
        </w:tc>
        <w:tc>
          <w:tcPr>
            <w:tcW w:w="960" w:type="dxa"/>
            <w:vAlign w:val="bottom"/>
            <w:tcBorders>
              <w:bottom w:val="single" w:sz="8" w:color="auto"/>
              <w:right w:val="single" w:sz="8" w:color="auto"/>
            </w:tcBorders>
            <w:shd w:val="clear" w:color="auto" w:fill="DBDBDB"/>
          </w:tcPr>
          <w:p>
            <w:pPr>
              <w:jc w:val="right"/>
              <w:ind w:right="8"/>
              <w:spacing w:after="0"/>
              <w:rPr>
                <w:sz w:val="20"/>
                <w:szCs w:val="20"/>
                <w:color w:val="auto"/>
              </w:rPr>
            </w:pPr>
            <w:r>
              <w:rPr>
                <w:rFonts w:ascii="Arial" w:cs="Arial" w:eastAsia="Arial" w:hAnsi="Arial"/>
                <w:sz w:val="14"/>
                <w:szCs w:val="14"/>
                <w:b w:val="1"/>
                <w:bCs w:val="1"/>
                <w:color w:val="auto"/>
              </w:rPr>
              <w:t>357,548</w:t>
            </w:r>
          </w:p>
        </w:tc>
        <w:tc>
          <w:tcPr>
            <w:tcW w:w="1160" w:type="dxa"/>
            <w:vAlign w:val="bottom"/>
            <w:tcBorders>
              <w:bottom w:val="single" w:sz="8" w:color="auto"/>
            </w:tcBorders>
            <w:shd w:val="clear" w:color="auto" w:fill="DBDBDB"/>
          </w:tcPr>
          <w:p>
            <w:pPr>
              <w:jc w:val="right"/>
              <w:ind w:right="108"/>
              <w:spacing w:after="0"/>
              <w:rPr>
                <w:sz w:val="20"/>
                <w:szCs w:val="20"/>
                <w:color w:val="auto"/>
              </w:rPr>
            </w:pPr>
            <w:r>
              <w:rPr>
                <w:rFonts w:ascii="Arial" w:cs="Arial" w:eastAsia="Arial" w:hAnsi="Arial"/>
                <w:sz w:val="14"/>
                <w:szCs w:val="14"/>
                <w:b w:val="1"/>
                <w:bCs w:val="1"/>
                <w:color w:val="auto"/>
              </w:rPr>
              <w:t>1,948</w:t>
            </w:r>
          </w:p>
        </w:tc>
        <w:tc>
          <w:tcPr>
            <w:tcW w:w="940" w:type="dxa"/>
            <w:vAlign w:val="bottom"/>
            <w:tcBorders>
              <w:bottom w:val="single" w:sz="8" w:color="auto"/>
              <w:right w:val="single" w:sz="8" w:color="auto"/>
            </w:tcBorders>
            <w:shd w:val="clear" w:color="auto" w:fill="DBDBDB"/>
          </w:tcPr>
          <w:p>
            <w:pPr>
              <w:jc w:val="right"/>
              <w:ind w:right="8"/>
              <w:spacing w:after="0"/>
              <w:rPr>
                <w:sz w:val="20"/>
                <w:szCs w:val="20"/>
                <w:color w:val="auto"/>
              </w:rPr>
            </w:pPr>
            <w:r>
              <w:rPr>
                <w:rFonts w:ascii="Arial" w:cs="Arial" w:eastAsia="Arial" w:hAnsi="Arial"/>
                <w:sz w:val="14"/>
                <w:szCs w:val="14"/>
                <w:b w:val="1"/>
                <w:bCs w:val="1"/>
                <w:color w:val="auto"/>
              </w:rPr>
              <w:t>560,658</w:t>
            </w:r>
          </w:p>
        </w:tc>
      </w:tr>
      <w:tr>
        <w:trPr>
          <w:trHeight w:val="193"/>
        </w:trPr>
        <w:tc>
          <w:tcPr>
            <w:tcW w:w="4160" w:type="dxa"/>
            <w:vAlign w:val="bottom"/>
            <w:tcBorders>
              <w:left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4"/>
                <w:szCs w:val="14"/>
                <w:color w:val="auto"/>
              </w:rPr>
              <w:t>Marriott Hotels</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97</w:t>
            </w:r>
          </w:p>
        </w:tc>
        <w:tc>
          <w:tcPr>
            <w:tcW w:w="9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55,400</w:t>
            </w:r>
          </w:p>
        </w:tc>
        <w:tc>
          <w:tcPr>
            <w:tcW w:w="11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193</w:t>
            </w:r>
          </w:p>
        </w:tc>
        <w:tc>
          <w:tcPr>
            <w:tcW w:w="9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60,956</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290</w:t>
            </w:r>
          </w:p>
        </w:tc>
        <w:tc>
          <w:tcPr>
            <w:tcW w:w="94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116,356</w:t>
            </w:r>
          </w:p>
        </w:tc>
      </w:tr>
      <w:tr>
        <w:trPr>
          <w:trHeight w:val="196"/>
        </w:trPr>
        <w:tc>
          <w:tcPr>
            <w:tcW w:w="4160" w:type="dxa"/>
            <w:vAlign w:val="bottom"/>
            <w:tcBorders>
              <w:left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4"/>
                <w:szCs w:val="14"/>
                <w:color w:val="auto"/>
              </w:rPr>
              <w:t>Sheraton</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23</w:t>
            </w:r>
          </w:p>
        </w:tc>
        <w:tc>
          <w:tcPr>
            <w:tcW w:w="9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18,928</w:t>
            </w:r>
          </w:p>
        </w:tc>
        <w:tc>
          <w:tcPr>
            <w:tcW w:w="11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180</w:t>
            </w:r>
          </w:p>
        </w:tc>
        <w:tc>
          <w:tcPr>
            <w:tcW w:w="9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58,127</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203</w:t>
            </w:r>
          </w:p>
        </w:tc>
        <w:tc>
          <w:tcPr>
            <w:tcW w:w="94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77,055</w:t>
            </w:r>
          </w:p>
        </w:tc>
      </w:tr>
      <w:tr>
        <w:trPr>
          <w:trHeight w:val="196"/>
        </w:trPr>
        <w:tc>
          <w:tcPr>
            <w:tcW w:w="4160" w:type="dxa"/>
            <w:vAlign w:val="bottom"/>
            <w:tcBorders>
              <w:left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4"/>
                <w:szCs w:val="14"/>
                <w:color w:val="auto"/>
              </w:rPr>
              <w:t>Courtyard by Marriott</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139</w:t>
            </w:r>
          </w:p>
        </w:tc>
        <w:tc>
          <w:tcPr>
            <w:tcW w:w="9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22,657</w:t>
            </w:r>
          </w:p>
        </w:tc>
        <w:tc>
          <w:tcPr>
            <w:tcW w:w="11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134</w:t>
            </w:r>
          </w:p>
        </w:tc>
        <w:tc>
          <w:tcPr>
            <w:tcW w:w="9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29,422</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273</w:t>
            </w:r>
          </w:p>
        </w:tc>
        <w:tc>
          <w:tcPr>
            <w:tcW w:w="94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52,079</w:t>
            </w:r>
          </w:p>
        </w:tc>
      </w:tr>
      <w:tr>
        <w:trPr>
          <w:trHeight w:val="196"/>
        </w:trPr>
        <w:tc>
          <w:tcPr>
            <w:tcW w:w="4160" w:type="dxa"/>
            <w:vAlign w:val="bottom"/>
            <w:tcBorders>
              <w:left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4"/>
                <w:szCs w:val="14"/>
                <w:color w:val="auto"/>
              </w:rPr>
              <w:t>Westin</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39</w:t>
            </w:r>
          </w:p>
        </w:tc>
        <w:tc>
          <w:tcPr>
            <w:tcW w:w="9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21,281</w:t>
            </w:r>
          </w:p>
        </w:tc>
        <w:tc>
          <w:tcPr>
            <w:tcW w:w="11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80</w:t>
            </w:r>
          </w:p>
        </w:tc>
        <w:tc>
          <w:tcPr>
            <w:tcW w:w="9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24,174</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119</w:t>
            </w:r>
          </w:p>
        </w:tc>
        <w:tc>
          <w:tcPr>
            <w:tcW w:w="94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45,455</w:t>
            </w:r>
          </w:p>
        </w:tc>
      </w:tr>
      <w:tr>
        <w:trPr>
          <w:trHeight w:val="196"/>
        </w:trPr>
        <w:tc>
          <w:tcPr>
            <w:tcW w:w="4160" w:type="dxa"/>
            <w:vAlign w:val="bottom"/>
            <w:tcBorders>
              <w:left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4"/>
                <w:szCs w:val="14"/>
                <w:color w:val="auto"/>
              </w:rPr>
              <w:t>JW Marriott</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23</w:t>
            </w:r>
          </w:p>
        </w:tc>
        <w:tc>
          <w:tcPr>
            <w:tcW w:w="9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13,191</w:t>
            </w:r>
          </w:p>
        </w:tc>
        <w:tc>
          <w:tcPr>
            <w:tcW w:w="11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76</w:t>
            </w:r>
          </w:p>
        </w:tc>
        <w:tc>
          <w:tcPr>
            <w:tcW w:w="9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26,398</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99</w:t>
            </w:r>
          </w:p>
        </w:tc>
        <w:tc>
          <w:tcPr>
            <w:tcW w:w="94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39,589</w:t>
            </w:r>
          </w:p>
        </w:tc>
      </w:tr>
      <w:tr>
        <w:trPr>
          <w:trHeight w:val="196"/>
        </w:trPr>
        <w:tc>
          <w:tcPr>
            <w:tcW w:w="4160" w:type="dxa"/>
            <w:vAlign w:val="bottom"/>
            <w:tcBorders>
              <w:left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4"/>
                <w:szCs w:val="14"/>
                <w:color w:val="auto"/>
              </w:rPr>
              <w:t>The Ritz-Carlton</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42</w:t>
            </w:r>
          </w:p>
        </w:tc>
        <w:tc>
          <w:tcPr>
            <w:tcW w:w="9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12,799</w:t>
            </w:r>
          </w:p>
        </w:tc>
        <w:tc>
          <w:tcPr>
            <w:tcW w:w="11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80</w:t>
            </w:r>
          </w:p>
        </w:tc>
        <w:tc>
          <w:tcPr>
            <w:tcW w:w="9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18,443</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122</w:t>
            </w:r>
          </w:p>
        </w:tc>
        <w:tc>
          <w:tcPr>
            <w:tcW w:w="94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31,242</w:t>
            </w:r>
          </w:p>
        </w:tc>
      </w:tr>
      <w:tr>
        <w:trPr>
          <w:trHeight w:val="196"/>
        </w:trPr>
        <w:tc>
          <w:tcPr>
            <w:tcW w:w="4160" w:type="dxa"/>
            <w:vAlign w:val="bottom"/>
            <w:tcBorders>
              <w:left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4"/>
                <w:szCs w:val="14"/>
                <w:color w:val="auto"/>
              </w:rPr>
              <w:t>Four Points by Sheraton</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w:t>
            </w:r>
          </w:p>
        </w:tc>
        <w:tc>
          <w:tcPr>
            <w:tcW w:w="9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134</w:t>
            </w:r>
          </w:p>
        </w:tc>
        <w:tc>
          <w:tcPr>
            <w:tcW w:w="11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97</w:t>
            </w:r>
          </w:p>
        </w:tc>
        <w:tc>
          <w:tcPr>
            <w:tcW w:w="9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25,555</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98</w:t>
            </w:r>
          </w:p>
        </w:tc>
        <w:tc>
          <w:tcPr>
            <w:tcW w:w="94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25,689</w:t>
            </w:r>
          </w:p>
        </w:tc>
      </w:tr>
      <w:tr>
        <w:trPr>
          <w:trHeight w:val="196"/>
        </w:trPr>
        <w:tc>
          <w:tcPr>
            <w:tcW w:w="4160" w:type="dxa"/>
            <w:vAlign w:val="bottom"/>
            <w:tcBorders>
              <w:left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4"/>
                <w:szCs w:val="14"/>
                <w:color w:val="auto"/>
              </w:rPr>
              <w:t>Renaissance Hotels</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20</w:t>
            </w:r>
          </w:p>
        </w:tc>
        <w:tc>
          <w:tcPr>
            <w:tcW w:w="9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8,657</w:t>
            </w:r>
          </w:p>
        </w:tc>
        <w:tc>
          <w:tcPr>
            <w:tcW w:w="11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53</w:t>
            </w:r>
          </w:p>
        </w:tc>
        <w:tc>
          <w:tcPr>
            <w:tcW w:w="9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16,533</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73</w:t>
            </w:r>
          </w:p>
        </w:tc>
        <w:tc>
          <w:tcPr>
            <w:tcW w:w="94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25,190</w:t>
            </w:r>
          </w:p>
        </w:tc>
      </w:tr>
      <w:tr>
        <w:trPr>
          <w:trHeight w:val="196"/>
        </w:trPr>
        <w:tc>
          <w:tcPr>
            <w:tcW w:w="4160" w:type="dxa"/>
            <w:vAlign w:val="bottom"/>
            <w:tcBorders>
              <w:left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4"/>
                <w:szCs w:val="14"/>
                <w:color w:val="auto"/>
              </w:rPr>
              <w:t>Le Méridien</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70</w:t>
            </w:r>
          </w:p>
        </w:tc>
        <w:tc>
          <w:tcPr>
            <w:tcW w:w="9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18,646</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70</w:t>
            </w:r>
          </w:p>
        </w:tc>
        <w:tc>
          <w:tcPr>
            <w:tcW w:w="94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18,646</w:t>
            </w:r>
          </w:p>
        </w:tc>
      </w:tr>
      <w:tr>
        <w:trPr>
          <w:trHeight w:val="196"/>
        </w:trPr>
        <w:tc>
          <w:tcPr>
            <w:tcW w:w="4160" w:type="dxa"/>
            <w:vAlign w:val="bottom"/>
            <w:tcBorders>
              <w:left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4"/>
                <w:szCs w:val="14"/>
                <w:color w:val="auto"/>
              </w:rPr>
              <w:t>W Hotels</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20</w:t>
            </w:r>
          </w:p>
        </w:tc>
        <w:tc>
          <w:tcPr>
            <w:tcW w:w="9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5,400</w:t>
            </w:r>
          </w:p>
        </w:tc>
        <w:tc>
          <w:tcPr>
            <w:tcW w:w="11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46</w:t>
            </w:r>
          </w:p>
        </w:tc>
        <w:tc>
          <w:tcPr>
            <w:tcW w:w="9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12,060</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66</w:t>
            </w:r>
          </w:p>
        </w:tc>
        <w:tc>
          <w:tcPr>
            <w:tcW w:w="94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17,460</w:t>
            </w:r>
          </w:p>
        </w:tc>
      </w:tr>
      <w:tr>
        <w:trPr>
          <w:trHeight w:val="196"/>
        </w:trPr>
        <w:tc>
          <w:tcPr>
            <w:tcW w:w="4160" w:type="dxa"/>
            <w:vAlign w:val="bottom"/>
            <w:tcBorders>
              <w:left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4"/>
                <w:szCs w:val="14"/>
                <w:color w:val="auto"/>
              </w:rPr>
              <w:t>St. Regis</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13</w:t>
            </w:r>
          </w:p>
        </w:tc>
        <w:tc>
          <w:tcPr>
            <w:tcW w:w="9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2,608</w:t>
            </w:r>
          </w:p>
        </w:tc>
        <w:tc>
          <w:tcPr>
            <w:tcW w:w="11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51</w:t>
            </w:r>
          </w:p>
        </w:tc>
        <w:tc>
          <w:tcPr>
            <w:tcW w:w="9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11,236</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64</w:t>
            </w:r>
          </w:p>
        </w:tc>
        <w:tc>
          <w:tcPr>
            <w:tcW w:w="94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13,844</w:t>
            </w:r>
          </w:p>
        </w:tc>
      </w:tr>
      <w:tr>
        <w:trPr>
          <w:trHeight w:val="196"/>
        </w:trPr>
        <w:tc>
          <w:tcPr>
            <w:tcW w:w="4160" w:type="dxa"/>
            <w:vAlign w:val="bottom"/>
            <w:tcBorders>
              <w:left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4"/>
                <w:szCs w:val="14"/>
                <w:color w:val="auto"/>
              </w:rPr>
              <w:t>Residence Inn by Marriott</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64</w:t>
            </w:r>
          </w:p>
        </w:tc>
        <w:tc>
          <w:tcPr>
            <w:tcW w:w="9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10,748</w:t>
            </w:r>
          </w:p>
        </w:tc>
        <w:tc>
          <w:tcPr>
            <w:tcW w:w="11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9</w:t>
            </w:r>
          </w:p>
        </w:tc>
        <w:tc>
          <w:tcPr>
            <w:tcW w:w="9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1,102</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73</w:t>
            </w:r>
          </w:p>
        </w:tc>
        <w:tc>
          <w:tcPr>
            <w:tcW w:w="94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11,850</w:t>
            </w:r>
          </w:p>
        </w:tc>
      </w:tr>
      <w:tr>
        <w:trPr>
          <w:trHeight w:val="196"/>
        </w:trPr>
        <w:tc>
          <w:tcPr>
            <w:tcW w:w="4160" w:type="dxa"/>
            <w:vAlign w:val="bottom"/>
            <w:tcBorders>
              <w:left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4"/>
                <w:szCs w:val="14"/>
                <w:color w:val="auto"/>
              </w:rPr>
              <w:t>Gaylord Hotels</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7</w:t>
            </w:r>
          </w:p>
        </w:tc>
        <w:tc>
          <w:tcPr>
            <w:tcW w:w="9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11,820</w:t>
            </w:r>
          </w:p>
        </w:tc>
        <w:tc>
          <w:tcPr>
            <w:tcW w:w="11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7</w:t>
            </w:r>
          </w:p>
        </w:tc>
        <w:tc>
          <w:tcPr>
            <w:tcW w:w="94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11,820</w:t>
            </w:r>
          </w:p>
        </w:tc>
      </w:tr>
      <w:tr>
        <w:trPr>
          <w:trHeight w:val="196"/>
        </w:trPr>
        <w:tc>
          <w:tcPr>
            <w:tcW w:w="4160" w:type="dxa"/>
            <w:vAlign w:val="bottom"/>
            <w:tcBorders>
              <w:left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4"/>
                <w:szCs w:val="14"/>
                <w:color w:val="auto"/>
              </w:rPr>
              <w:t>The Luxury Collection</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6</w:t>
            </w:r>
          </w:p>
        </w:tc>
        <w:tc>
          <w:tcPr>
            <w:tcW w:w="9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2,316</w:t>
            </w:r>
          </w:p>
        </w:tc>
        <w:tc>
          <w:tcPr>
            <w:tcW w:w="11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43</w:t>
            </w:r>
          </w:p>
        </w:tc>
        <w:tc>
          <w:tcPr>
            <w:tcW w:w="9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8,436</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49</w:t>
            </w:r>
          </w:p>
        </w:tc>
        <w:tc>
          <w:tcPr>
            <w:tcW w:w="94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10,752</w:t>
            </w:r>
          </w:p>
        </w:tc>
      </w:tr>
      <w:tr>
        <w:trPr>
          <w:trHeight w:val="196"/>
        </w:trPr>
        <w:tc>
          <w:tcPr>
            <w:tcW w:w="4160" w:type="dxa"/>
            <w:vAlign w:val="bottom"/>
            <w:tcBorders>
              <w:left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4"/>
                <w:szCs w:val="14"/>
                <w:color w:val="auto"/>
              </w:rPr>
              <w:t>Aloft Hotels</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w:t>
            </w:r>
          </w:p>
        </w:tc>
        <w:tc>
          <w:tcPr>
            <w:tcW w:w="9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505</w:t>
            </w:r>
          </w:p>
        </w:tc>
        <w:tc>
          <w:tcPr>
            <w:tcW w:w="11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42</w:t>
            </w:r>
          </w:p>
        </w:tc>
        <w:tc>
          <w:tcPr>
            <w:tcW w:w="9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9,342</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44</w:t>
            </w:r>
          </w:p>
        </w:tc>
        <w:tc>
          <w:tcPr>
            <w:tcW w:w="94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9,847</w:t>
            </w:r>
          </w:p>
        </w:tc>
      </w:tr>
      <w:tr>
        <w:trPr>
          <w:trHeight w:val="196"/>
        </w:trPr>
        <w:tc>
          <w:tcPr>
            <w:tcW w:w="4160" w:type="dxa"/>
            <w:vAlign w:val="bottom"/>
            <w:tcBorders>
              <w:left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4"/>
                <w:szCs w:val="14"/>
                <w:color w:val="auto"/>
              </w:rPr>
              <w:t>Fairfield by Marriott</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w:t>
            </w:r>
          </w:p>
        </w:tc>
        <w:tc>
          <w:tcPr>
            <w:tcW w:w="9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698</w:t>
            </w:r>
          </w:p>
        </w:tc>
        <w:tc>
          <w:tcPr>
            <w:tcW w:w="11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57</w:t>
            </w:r>
          </w:p>
        </w:tc>
        <w:tc>
          <w:tcPr>
            <w:tcW w:w="9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8,750</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60</w:t>
            </w:r>
          </w:p>
        </w:tc>
        <w:tc>
          <w:tcPr>
            <w:tcW w:w="94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9,448</w:t>
            </w:r>
          </w:p>
        </w:tc>
      </w:tr>
      <w:tr>
        <w:trPr>
          <w:trHeight w:val="196"/>
        </w:trPr>
        <w:tc>
          <w:tcPr>
            <w:tcW w:w="4160" w:type="dxa"/>
            <w:vAlign w:val="bottom"/>
            <w:tcBorders>
              <w:left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4"/>
                <w:szCs w:val="14"/>
                <w:color w:val="auto"/>
              </w:rPr>
              <w:t>Delta Hotels by Marriott</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24</w:t>
            </w:r>
          </w:p>
        </w:tc>
        <w:tc>
          <w:tcPr>
            <w:tcW w:w="9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6,622</w:t>
            </w:r>
          </w:p>
        </w:tc>
        <w:tc>
          <w:tcPr>
            <w:tcW w:w="11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5</w:t>
            </w:r>
          </w:p>
        </w:tc>
        <w:tc>
          <w:tcPr>
            <w:tcW w:w="9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1,179</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29</w:t>
            </w:r>
          </w:p>
        </w:tc>
        <w:tc>
          <w:tcPr>
            <w:tcW w:w="94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7,801</w:t>
            </w:r>
          </w:p>
        </w:tc>
      </w:tr>
      <w:tr>
        <w:trPr>
          <w:trHeight w:val="196"/>
        </w:trPr>
        <w:tc>
          <w:tcPr>
            <w:tcW w:w="4160" w:type="dxa"/>
            <w:vAlign w:val="bottom"/>
            <w:tcBorders>
              <w:left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4"/>
                <w:szCs w:val="14"/>
                <w:color w:val="auto"/>
              </w:rPr>
              <w:t>Autograph Collection</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11</w:t>
            </w:r>
          </w:p>
        </w:tc>
        <w:tc>
          <w:tcPr>
            <w:tcW w:w="9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3,269</w:t>
            </w:r>
          </w:p>
        </w:tc>
        <w:tc>
          <w:tcPr>
            <w:tcW w:w="11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18</w:t>
            </w:r>
          </w:p>
        </w:tc>
        <w:tc>
          <w:tcPr>
            <w:tcW w:w="9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3,344</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29</w:t>
            </w:r>
          </w:p>
        </w:tc>
        <w:tc>
          <w:tcPr>
            <w:tcW w:w="94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6,613</w:t>
            </w:r>
          </w:p>
        </w:tc>
      </w:tr>
      <w:tr>
        <w:trPr>
          <w:trHeight w:val="196"/>
        </w:trPr>
        <w:tc>
          <w:tcPr>
            <w:tcW w:w="4160" w:type="dxa"/>
            <w:vAlign w:val="bottom"/>
            <w:tcBorders>
              <w:left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4"/>
                <w:szCs w:val="14"/>
                <w:color w:val="auto"/>
              </w:rPr>
              <w:t>Marriott Executive Apartments</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41</w:t>
            </w:r>
          </w:p>
        </w:tc>
        <w:tc>
          <w:tcPr>
            <w:tcW w:w="9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5,932</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41</w:t>
            </w:r>
          </w:p>
        </w:tc>
        <w:tc>
          <w:tcPr>
            <w:tcW w:w="94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5,932</w:t>
            </w:r>
          </w:p>
        </w:tc>
      </w:tr>
      <w:tr>
        <w:trPr>
          <w:trHeight w:val="196"/>
        </w:trPr>
        <w:tc>
          <w:tcPr>
            <w:tcW w:w="4160" w:type="dxa"/>
            <w:vAlign w:val="bottom"/>
            <w:tcBorders>
              <w:left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4"/>
                <w:szCs w:val="14"/>
                <w:color w:val="auto"/>
              </w:rPr>
              <w:t>AC Hotels by Marriott</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8</w:t>
            </w:r>
          </w:p>
        </w:tc>
        <w:tc>
          <w:tcPr>
            <w:tcW w:w="9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1,512</w:t>
            </w:r>
          </w:p>
        </w:tc>
        <w:tc>
          <w:tcPr>
            <w:tcW w:w="11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18</w:t>
            </w:r>
          </w:p>
        </w:tc>
        <w:tc>
          <w:tcPr>
            <w:tcW w:w="9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3,328</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26</w:t>
            </w:r>
          </w:p>
        </w:tc>
        <w:tc>
          <w:tcPr>
            <w:tcW w:w="94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4,840</w:t>
            </w:r>
          </w:p>
        </w:tc>
      </w:tr>
      <w:tr>
        <w:trPr>
          <w:trHeight w:val="196"/>
        </w:trPr>
        <w:tc>
          <w:tcPr>
            <w:tcW w:w="4160" w:type="dxa"/>
            <w:vAlign w:val="bottom"/>
            <w:tcBorders>
              <w:left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4"/>
                <w:szCs w:val="14"/>
                <w:color w:val="auto"/>
              </w:rPr>
              <w:t>EDITION</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5</w:t>
            </w:r>
          </w:p>
        </w:tc>
        <w:tc>
          <w:tcPr>
            <w:tcW w:w="9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1,379</w:t>
            </w:r>
          </w:p>
        </w:tc>
        <w:tc>
          <w:tcPr>
            <w:tcW w:w="11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17</w:t>
            </w:r>
          </w:p>
        </w:tc>
        <w:tc>
          <w:tcPr>
            <w:tcW w:w="9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3,238</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22</w:t>
            </w:r>
          </w:p>
        </w:tc>
        <w:tc>
          <w:tcPr>
            <w:tcW w:w="94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4,617</w:t>
            </w:r>
          </w:p>
        </w:tc>
      </w:tr>
      <w:tr>
        <w:trPr>
          <w:trHeight w:val="196"/>
        </w:trPr>
        <w:tc>
          <w:tcPr>
            <w:tcW w:w="4160" w:type="dxa"/>
            <w:vAlign w:val="bottom"/>
            <w:tcBorders>
              <w:left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4"/>
                <w:szCs w:val="14"/>
                <w:color w:val="auto"/>
              </w:rPr>
              <w:t>Element Hotels</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w:t>
            </w:r>
          </w:p>
        </w:tc>
        <w:tc>
          <w:tcPr>
            <w:tcW w:w="9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810</w:t>
            </w:r>
          </w:p>
        </w:tc>
        <w:tc>
          <w:tcPr>
            <w:tcW w:w="11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14</w:t>
            </w:r>
          </w:p>
        </w:tc>
        <w:tc>
          <w:tcPr>
            <w:tcW w:w="9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2,712</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17</w:t>
            </w:r>
          </w:p>
        </w:tc>
        <w:tc>
          <w:tcPr>
            <w:tcW w:w="94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3,522</w:t>
            </w:r>
          </w:p>
        </w:tc>
      </w:tr>
      <w:tr>
        <w:trPr>
          <w:trHeight w:val="196"/>
        </w:trPr>
        <w:tc>
          <w:tcPr>
            <w:tcW w:w="4160" w:type="dxa"/>
            <w:vAlign w:val="bottom"/>
            <w:tcBorders>
              <w:left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4"/>
                <w:szCs w:val="14"/>
                <w:color w:val="auto"/>
              </w:rPr>
              <w:t>Moxy Hotels</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w:t>
            </w:r>
          </w:p>
        </w:tc>
        <w:tc>
          <w:tcPr>
            <w:tcW w:w="9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380</w:t>
            </w:r>
          </w:p>
        </w:tc>
        <w:tc>
          <w:tcPr>
            <w:tcW w:w="11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15</w:t>
            </w:r>
          </w:p>
        </w:tc>
        <w:tc>
          <w:tcPr>
            <w:tcW w:w="9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3,099</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16</w:t>
            </w:r>
          </w:p>
        </w:tc>
        <w:tc>
          <w:tcPr>
            <w:tcW w:w="94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3,479</w:t>
            </w:r>
          </w:p>
        </w:tc>
      </w:tr>
      <w:tr>
        <w:trPr>
          <w:trHeight w:val="196"/>
        </w:trPr>
        <w:tc>
          <w:tcPr>
            <w:tcW w:w="4160" w:type="dxa"/>
            <w:vAlign w:val="bottom"/>
            <w:tcBorders>
              <w:left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4"/>
                <w:szCs w:val="14"/>
                <w:color w:val="auto"/>
              </w:rPr>
              <w:t>Protea Hotels by Marriott</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22</w:t>
            </w:r>
          </w:p>
        </w:tc>
        <w:tc>
          <w:tcPr>
            <w:tcW w:w="9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2,738</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22</w:t>
            </w:r>
          </w:p>
        </w:tc>
        <w:tc>
          <w:tcPr>
            <w:tcW w:w="94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2,738</w:t>
            </w:r>
          </w:p>
        </w:tc>
      </w:tr>
      <w:tr>
        <w:trPr>
          <w:trHeight w:val="196"/>
        </w:trPr>
        <w:tc>
          <w:tcPr>
            <w:tcW w:w="4160" w:type="dxa"/>
            <w:vAlign w:val="bottom"/>
            <w:tcBorders>
              <w:left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4"/>
                <w:szCs w:val="14"/>
                <w:color w:val="auto"/>
              </w:rPr>
              <w:t>Tribute Portfolio</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13</w:t>
            </w:r>
          </w:p>
        </w:tc>
        <w:tc>
          <w:tcPr>
            <w:tcW w:w="9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1,595</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13</w:t>
            </w:r>
          </w:p>
        </w:tc>
        <w:tc>
          <w:tcPr>
            <w:tcW w:w="94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1,595</w:t>
            </w:r>
          </w:p>
        </w:tc>
      </w:tr>
      <w:tr>
        <w:trPr>
          <w:trHeight w:val="196"/>
        </w:trPr>
        <w:tc>
          <w:tcPr>
            <w:tcW w:w="4160" w:type="dxa"/>
            <w:vAlign w:val="bottom"/>
            <w:tcBorders>
              <w:left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4"/>
                <w:szCs w:val="14"/>
                <w:color w:val="auto"/>
              </w:rPr>
              <w:t>SpringHill Suites by Marriott</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9</w:t>
            </w:r>
          </w:p>
        </w:tc>
        <w:tc>
          <w:tcPr>
            <w:tcW w:w="9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1,381</w:t>
            </w:r>
          </w:p>
        </w:tc>
        <w:tc>
          <w:tcPr>
            <w:tcW w:w="11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9</w:t>
            </w:r>
          </w:p>
        </w:tc>
        <w:tc>
          <w:tcPr>
            <w:tcW w:w="94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1,381</w:t>
            </w:r>
          </w:p>
        </w:tc>
      </w:tr>
      <w:tr>
        <w:trPr>
          <w:trHeight w:val="196"/>
        </w:trPr>
        <w:tc>
          <w:tcPr>
            <w:tcW w:w="4160" w:type="dxa"/>
            <w:vAlign w:val="bottom"/>
            <w:tcBorders>
              <w:left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4"/>
                <w:szCs w:val="14"/>
                <w:color w:val="auto"/>
              </w:rPr>
              <w:t>Bvlgari</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7</w:t>
            </w:r>
          </w:p>
        </w:tc>
        <w:tc>
          <w:tcPr>
            <w:tcW w:w="9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646</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7</w:t>
            </w:r>
          </w:p>
        </w:tc>
        <w:tc>
          <w:tcPr>
            <w:tcW w:w="94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646</w:t>
            </w:r>
          </w:p>
        </w:tc>
      </w:tr>
      <w:tr>
        <w:trPr>
          <w:trHeight w:val="196"/>
        </w:trPr>
        <w:tc>
          <w:tcPr>
            <w:tcW w:w="4160" w:type="dxa"/>
            <w:vAlign w:val="bottom"/>
            <w:tcBorders>
              <w:left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4"/>
                <w:szCs w:val="14"/>
                <w:color w:val="auto"/>
              </w:rPr>
              <w:t>TownePlace Suites by Marriott</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w:t>
            </w:r>
          </w:p>
        </w:tc>
        <w:tc>
          <w:tcPr>
            <w:tcW w:w="9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615</w:t>
            </w:r>
          </w:p>
        </w:tc>
        <w:tc>
          <w:tcPr>
            <w:tcW w:w="11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w:t>
            </w:r>
          </w:p>
        </w:tc>
        <w:tc>
          <w:tcPr>
            <w:tcW w:w="94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615</w:t>
            </w:r>
          </w:p>
        </w:tc>
      </w:tr>
      <w:tr>
        <w:trPr>
          <w:trHeight w:val="196"/>
        </w:trPr>
        <w:tc>
          <w:tcPr>
            <w:tcW w:w="4160" w:type="dxa"/>
            <w:vAlign w:val="bottom"/>
            <w:tcBorders>
              <w:left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4"/>
                <w:szCs w:val="14"/>
                <w:color w:val="auto"/>
              </w:rPr>
              <w:t>citizenM</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w:t>
            </w:r>
          </w:p>
        </w:tc>
        <w:tc>
          <w:tcPr>
            <w:tcW w:w="9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477</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w:t>
            </w:r>
          </w:p>
        </w:tc>
        <w:tc>
          <w:tcPr>
            <w:tcW w:w="94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477</w:t>
            </w:r>
          </w:p>
        </w:tc>
      </w:tr>
      <w:tr>
        <w:trPr>
          <w:trHeight w:val="196"/>
        </w:trPr>
        <w:tc>
          <w:tcPr>
            <w:tcW w:w="4160" w:type="dxa"/>
            <w:vAlign w:val="bottom"/>
            <w:tcBorders>
              <w:left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4"/>
                <w:szCs w:val="14"/>
                <w:color w:val="auto"/>
              </w:rPr>
              <w:t>Apartments by Marriott Bonvoy</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w:t>
            </w:r>
          </w:p>
        </w:tc>
        <w:tc>
          <w:tcPr>
            <w:tcW w:w="9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80</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w:t>
            </w:r>
          </w:p>
        </w:tc>
        <w:tc>
          <w:tcPr>
            <w:tcW w:w="94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80</w:t>
            </w:r>
          </w:p>
        </w:tc>
      </w:tr>
      <w:tr>
        <w:trPr>
          <w:trHeight w:val="199"/>
        </w:trPr>
        <w:tc>
          <w:tcPr>
            <w:tcW w:w="4160" w:type="dxa"/>
            <w:vAlign w:val="bottom"/>
            <w:tcBorders>
              <w:left w:val="single" w:sz="8" w:color="auto"/>
              <w:bottom w:val="single" w:sz="8" w:color="auto"/>
              <w:right w:val="single" w:sz="8" w:color="auto"/>
            </w:tcBorders>
            <w:shd w:val="clear" w:color="auto" w:fill="D6D6D6"/>
          </w:tcPr>
          <w:p>
            <w:pPr>
              <w:ind w:left="20"/>
              <w:spacing w:after="0"/>
              <w:rPr>
                <w:sz w:val="20"/>
                <w:szCs w:val="20"/>
                <w:color w:val="auto"/>
              </w:rPr>
            </w:pPr>
            <w:r>
              <w:rPr>
                <w:rFonts w:ascii="Arial" w:cs="Arial" w:eastAsia="Arial" w:hAnsi="Arial"/>
                <w:sz w:val="14"/>
                <w:szCs w:val="14"/>
                <w:b w:val="1"/>
                <w:bCs w:val="1"/>
                <w:color w:val="auto"/>
              </w:rPr>
              <w:t>Residences</w:t>
            </w:r>
          </w:p>
        </w:tc>
        <w:tc>
          <w:tcPr>
            <w:tcW w:w="1160" w:type="dxa"/>
            <w:vAlign w:val="bottom"/>
            <w:tcBorders>
              <w:bottom w:val="single" w:sz="8" w:color="auto"/>
            </w:tcBorders>
            <w:shd w:val="clear" w:color="auto" w:fill="DBDBDB"/>
          </w:tcPr>
          <w:p>
            <w:pPr>
              <w:jc w:val="right"/>
              <w:ind w:right="108"/>
              <w:spacing w:after="0"/>
              <w:rPr>
                <w:sz w:val="20"/>
                <w:szCs w:val="20"/>
                <w:color w:val="auto"/>
              </w:rPr>
            </w:pPr>
            <w:r>
              <w:rPr>
                <w:rFonts w:ascii="Arial" w:cs="Arial" w:eastAsia="Arial" w:hAnsi="Arial"/>
                <w:sz w:val="14"/>
                <w:szCs w:val="14"/>
                <w:b w:val="1"/>
                <w:bCs w:val="1"/>
                <w:color w:val="auto"/>
              </w:rPr>
              <w:t>74</w:t>
            </w:r>
          </w:p>
        </w:tc>
        <w:tc>
          <w:tcPr>
            <w:tcW w:w="960" w:type="dxa"/>
            <w:vAlign w:val="bottom"/>
            <w:tcBorders>
              <w:bottom w:val="single" w:sz="8" w:color="auto"/>
              <w:right w:val="single" w:sz="8" w:color="auto"/>
            </w:tcBorders>
            <w:shd w:val="clear" w:color="auto" w:fill="DBDBDB"/>
          </w:tcPr>
          <w:p>
            <w:pPr>
              <w:jc w:val="right"/>
              <w:ind w:right="8"/>
              <w:spacing w:after="0"/>
              <w:rPr>
                <w:sz w:val="20"/>
                <w:szCs w:val="20"/>
                <w:color w:val="auto"/>
              </w:rPr>
            </w:pPr>
            <w:r>
              <w:rPr>
                <w:rFonts w:ascii="Arial" w:cs="Arial" w:eastAsia="Arial" w:hAnsi="Arial"/>
                <w:sz w:val="14"/>
                <w:szCs w:val="14"/>
                <w:b w:val="1"/>
                <w:bCs w:val="1"/>
                <w:color w:val="auto"/>
              </w:rPr>
              <w:t>7,821</w:t>
            </w:r>
          </w:p>
        </w:tc>
        <w:tc>
          <w:tcPr>
            <w:tcW w:w="1140" w:type="dxa"/>
            <w:vAlign w:val="bottom"/>
            <w:tcBorders>
              <w:bottom w:val="single" w:sz="8" w:color="auto"/>
            </w:tcBorders>
            <w:shd w:val="clear" w:color="auto" w:fill="DBDBDB"/>
          </w:tcPr>
          <w:p>
            <w:pPr>
              <w:jc w:val="right"/>
              <w:ind w:right="108"/>
              <w:spacing w:after="0"/>
              <w:rPr>
                <w:sz w:val="20"/>
                <w:szCs w:val="20"/>
                <w:color w:val="auto"/>
              </w:rPr>
            </w:pPr>
            <w:r>
              <w:rPr>
                <w:rFonts w:ascii="Arial" w:cs="Arial" w:eastAsia="Arial" w:hAnsi="Arial"/>
                <w:sz w:val="14"/>
                <w:szCs w:val="14"/>
                <w:b w:val="1"/>
                <w:bCs w:val="1"/>
                <w:color w:val="auto"/>
              </w:rPr>
              <w:t>72</w:t>
            </w:r>
          </w:p>
        </w:tc>
        <w:tc>
          <w:tcPr>
            <w:tcW w:w="960" w:type="dxa"/>
            <w:vAlign w:val="bottom"/>
            <w:tcBorders>
              <w:bottom w:val="single" w:sz="8" w:color="auto"/>
              <w:right w:val="single" w:sz="8" w:color="auto"/>
            </w:tcBorders>
            <w:shd w:val="clear" w:color="auto" w:fill="DBDBDB"/>
          </w:tcPr>
          <w:p>
            <w:pPr>
              <w:jc w:val="right"/>
              <w:ind w:right="8"/>
              <w:spacing w:after="0"/>
              <w:rPr>
                <w:sz w:val="20"/>
                <w:szCs w:val="20"/>
                <w:color w:val="auto"/>
              </w:rPr>
            </w:pPr>
            <w:r>
              <w:rPr>
                <w:rFonts w:ascii="Arial" w:cs="Arial" w:eastAsia="Arial" w:hAnsi="Arial"/>
                <w:sz w:val="14"/>
                <w:szCs w:val="14"/>
                <w:b w:val="1"/>
                <w:bCs w:val="1"/>
                <w:color w:val="auto"/>
              </w:rPr>
              <w:t>8,700</w:t>
            </w:r>
          </w:p>
        </w:tc>
        <w:tc>
          <w:tcPr>
            <w:tcW w:w="1160" w:type="dxa"/>
            <w:vAlign w:val="bottom"/>
            <w:tcBorders>
              <w:bottom w:val="single" w:sz="8" w:color="auto"/>
            </w:tcBorders>
            <w:shd w:val="clear" w:color="auto" w:fill="DBDBDB"/>
          </w:tcPr>
          <w:p>
            <w:pPr>
              <w:jc w:val="right"/>
              <w:ind w:right="108"/>
              <w:spacing w:after="0"/>
              <w:rPr>
                <w:sz w:val="20"/>
                <w:szCs w:val="20"/>
                <w:color w:val="auto"/>
              </w:rPr>
            </w:pPr>
            <w:r>
              <w:rPr>
                <w:rFonts w:ascii="Arial" w:cs="Arial" w:eastAsia="Arial" w:hAnsi="Arial"/>
                <w:sz w:val="14"/>
                <w:szCs w:val="14"/>
                <w:b w:val="1"/>
                <w:bCs w:val="1"/>
                <w:color w:val="auto"/>
              </w:rPr>
              <w:t>146</w:t>
            </w:r>
          </w:p>
        </w:tc>
        <w:tc>
          <w:tcPr>
            <w:tcW w:w="940" w:type="dxa"/>
            <w:vAlign w:val="bottom"/>
            <w:tcBorders>
              <w:bottom w:val="single" w:sz="8" w:color="auto"/>
              <w:right w:val="single" w:sz="8" w:color="auto"/>
            </w:tcBorders>
            <w:shd w:val="clear" w:color="auto" w:fill="DBDBDB"/>
          </w:tcPr>
          <w:p>
            <w:pPr>
              <w:jc w:val="right"/>
              <w:ind w:right="8"/>
              <w:spacing w:after="0"/>
              <w:rPr>
                <w:sz w:val="20"/>
                <w:szCs w:val="20"/>
                <w:color w:val="auto"/>
              </w:rPr>
            </w:pPr>
            <w:r>
              <w:rPr>
                <w:rFonts w:ascii="Arial" w:cs="Arial" w:eastAsia="Arial" w:hAnsi="Arial"/>
                <w:sz w:val="14"/>
                <w:szCs w:val="14"/>
                <w:b w:val="1"/>
                <w:bCs w:val="1"/>
                <w:color w:val="auto"/>
              </w:rPr>
              <w:t>16,521</w:t>
            </w:r>
          </w:p>
        </w:tc>
      </w:tr>
      <w:tr>
        <w:trPr>
          <w:trHeight w:val="193"/>
        </w:trPr>
        <w:tc>
          <w:tcPr>
            <w:tcW w:w="4160" w:type="dxa"/>
            <w:vAlign w:val="bottom"/>
            <w:tcBorders>
              <w:left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4"/>
                <w:szCs w:val="14"/>
                <w:color w:val="auto"/>
              </w:rPr>
              <w:t>The Ritz-Carlton Residences</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45</w:t>
            </w:r>
          </w:p>
        </w:tc>
        <w:tc>
          <w:tcPr>
            <w:tcW w:w="9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5,031</w:t>
            </w:r>
          </w:p>
        </w:tc>
        <w:tc>
          <w:tcPr>
            <w:tcW w:w="11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23</w:t>
            </w:r>
          </w:p>
        </w:tc>
        <w:tc>
          <w:tcPr>
            <w:tcW w:w="9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1,928</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68</w:t>
            </w:r>
          </w:p>
        </w:tc>
        <w:tc>
          <w:tcPr>
            <w:tcW w:w="94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6,959</w:t>
            </w:r>
          </w:p>
        </w:tc>
      </w:tr>
      <w:tr>
        <w:trPr>
          <w:trHeight w:val="196"/>
        </w:trPr>
        <w:tc>
          <w:tcPr>
            <w:tcW w:w="4160" w:type="dxa"/>
            <w:vAlign w:val="bottom"/>
            <w:tcBorders>
              <w:left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4"/>
                <w:szCs w:val="14"/>
                <w:color w:val="auto"/>
              </w:rPr>
              <w:t>St. Regis Residences</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11</w:t>
            </w:r>
          </w:p>
        </w:tc>
        <w:tc>
          <w:tcPr>
            <w:tcW w:w="9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1,279</w:t>
            </w:r>
          </w:p>
        </w:tc>
        <w:tc>
          <w:tcPr>
            <w:tcW w:w="11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14</w:t>
            </w:r>
          </w:p>
        </w:tc>
        <w:tc>
          <w:tcPr>
            <w:tcW w:w="9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1,916</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25</w:t>
            </w:r>
          </w:p>
        </w:tc>
        <w:tc>
          <w:tcPr>
            <w:tcW w:w="94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3,195</w:t>
            </w:r>
          </w:p>
        </w:tc>
      </w:tr>
      <w:tr>
        <w:trPr>
          <w:trHeight w:val="196"/>
        </w:trPr>
        <w:tc>
          <w:tcPr>
            <w:tcW w:w="4160" w:type="dxa"/>
            <w:vAlign w:val="bottom"/>
            <w:tcBorders>
              <w:left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4"/>
                <w:szCs w:val="14"/>
                <w:color w:val="auto"/>
              </w:rPr>
              <w:t>W Residences</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9</w:t>
            </w:r>
          </w:p>
        </w:tc>
        <w:tc>
          <w:tcPr>
            <w:tcW w:w="9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869</w:t>
            </w:r>
          </w:p>
        </w:tc>
        <w:tc>
          <w:tcPr>
            <w:tcW w:w="11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8</w:t>
            </w:r>
          </w:p>
        </w:tc>
        <w:tc>
          <w:tcPr>
            <w:tcW w:w="9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768</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17</w:t>
            </w:r>
          </w:p>
        </w:tc>
        <w:tc>
          <w:tcPr>
            <w:tcW w:w="94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1,637</w:t>
            </w:r>
          </w:p>
        </w:tc>
      </w:tr>
      <w:tr>
        <w:trPr>
          <w:trHeight w:val="196"/>
        </w:trPr>
        <w:tc>
          <w:tcPr>
            <w:tcW w:w="4160" w:type="dxa"/>
            <w:vAlign w:val="bottom"/>
            <w:tcBorders>
              <w:left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4"/>
                <w:szCs w:val="14"/>
                <w:color w:val="auto"/>
              </w:rPr>
              <w:t>Marriott Residences</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5</w:t>
            </w:r>
          </w:p>
        </w:tc>
        <w:tc>
          <w:tcPr>
            <w:tcW w:w="9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1,283</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5</w:t>
            </w:r>
          </w:p>
        </w:tc>
        <w:tc>
          <w:tcPr>
            <w:tcW w:w="94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1,283</w:t>
            </w:r>
          </w:p>
        </w:tc>
      </w:tr>
      <w:tr>
        <w:trPr>
          <w:trHeight w:val="196"/>
        </w:trPr>
        <w:tc>
          <w:tcPr>
            <w:tcW w:w="4160" w:type="dxa"/>
            <w:vAlign w:val="bottom"/>
            <w:tcBorders>
              <w:left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4"/>
                <w:szCs w:val="14"/>
                <w:color w:val="auto"/>
              </w:rPr>
              <w:t>JW Marriott Residences</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w:t>
            </w:r>
          </w:p>
        </w:tc>
        <w:tc>
          <w:tcPr>
            <w:tcW w:w="9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91</w:t>
            </w:r>
          </w:p>
        </w:tc>
        <w:tc>
          <w:tcPr>
            <w:tcW w:w="11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w:t>
            </w:r>
          </w:p>
        </w:tc>
        <w:tc>
          <w:tcPr>
            <w:tcW w:w="9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1,055</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5</w:t>
            </w:r>
          </w:p>
        </w:tc>
        <w:tc>
          <w:tcPr>
            <w:tcW w:w="94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1,146</w:t>
            </w:r>
          </w:p>
        </w:tc>
      </w:tr>
      <w:tr>
        <w:trPr>
          <w:trHeight w:val="196"/>
        </w:trPr>
        <w:tc>
          <w:tcPr>
            <w:tcW w:w="4160" w:type="dxa"/>
            <w:vAlign w:val="bottom"/>
            <w:tcBorders>
              <w:left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4"/>
                <w:szCs w:val="14"/>
                <w:color w:val="auto"/>
              </w:rPr>
              <w:t>Westin Residences</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w:t>
            </w:r>
          </w:p>
        </w:tc>
        <w:tc>
          <w:tcPr>
            <w:tcW w:w="9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266</w:t>
            </w:r>
          </w:p>
        </w:tc>
        <w:tc>
          <w:tcPr>
            <w:tcW w:w="11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w:t>
            </w:r>
          </w:p>
        </w:tc>
        <w:tc>
          <w:tcPr>
            <w:tcW w:w="9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413</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6</w:t>
            </w:r>
          </w:p>
        </w:tc>
        <w:tc>
          <w:tcPr>
            <w:tcW w:w="94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679</w:t>
            </w:r>
          </w:p>
        </w:tc>
      </w:tr>
      <w:tr>
        <w:trPr>
          <w:trHeight w:val="196"/>
        </w:trPr>
        <w:tc>
          <w:tcPr>
            <w:tcW w:w="4160" w:type="dxa"/>
            <w:vAlign w:val="bottom"/>
            <w:tcBorders>
              <w:left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4"/>
                <w:szCs w:val="14"/>
                <w:color w:val="auto"/>
              </w:rPr>
              <w:t>Bvlgari Residences</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5</w:t>
            </w:r>
          </w:p>
        </w:tc>
        <w:tc>
          <w:tcPr>
            <w:tcW w:w="9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526</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5</w:t>
            </w:r>
          </w:p>
        </w:tc>
        <w:tc>
          <w:tcPr>
            <w:tcW w:w="94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526</w:t>
            </w:r>
          </w:p>
        </w:tc>
      </w:tr>
      <w:tr>
        <w:trPr>
          <w:trHeight w:val="196"/>
        </w:trPr>
        <w:tc>
          <w:tcPr>
            <w:tcW w:w="4160" w:type="dxa"/>
            <w:vAlign w:val="bottom"/>
            <w:tcBorders>
              <w:left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4"/>
                <w:szCs w:val="14"/>
                <w:color w:val="auto"/>
              </w:rPr>
              <w:t>Sheraton Residences</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w:t>
            </w:r>
          </w:p>
        </w:tc>
        <w:tc>
          <w:tcPr>
            <w:tcW w:w="9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472</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w:t>
            </w:r>
          </w:p>
        </w:tc>
        <w:tc>
          <w:tcPr>
            <w:tcW w:w="94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472</w:t>
            </w:r>
          </w:p>
        </w:tc>
      </w:tr>
      <w:tr>
        <w:trPr>
          <w:trHeight w:val="196"/>
        </w:trPr>
        <w:tc>
          <w:tcPr>
            <w:tcW w:w="4160" w:type="dxa"/>
            <w:vAlign w:val="bottom"/>
            <w:tcBorders>
              <w:left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4"/>
                <w:szCs w:val="14"/>
                <w:color w:val="auto"/>
              </w:rPr>
              <w:t>The Luxury Collection Residences</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w:t>
            </w:r>
          </w:p>
        </w:tc>
        <w:tc>
          <w:tcPr>
            <w:tcW w:w="9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91</w:t>
            </w:r>
          </w:p>
        </w:tc>
        <w:tc>
          <w:tcPr>
            <w:tcW w:w="11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w:t>
            </w:r>
          </w:p>
        </w:tc>
        <w:tc>
          <w:tcPr>
            <w:tcW w:w="9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85</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w:t>
            </w:r>
          </w:p>
        </w:tc>
        <w:tc>
          <w:tcPr>
            <w:tcW w:w="94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176</w:t>
            </w:r>
          </w:p>
        </w:tc>
      </w:tr>
      <w:tr>
        <w:trPr>
          <w:trHeight w:val="196"/>
        </w:trPr>
        <w:tc>
          <w:tcPr>
            <w:tcW w:w="4160" w:type="dxa"/>
            <w:vAlign w:val="bottom"/>
            <w:tcBorders>
              <w:left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4"/>
                <w:szCs w:val="14"/>
                <w:color w:val="auto"/>
              </w:rPr>
              <w:t>Tribute Portfolio Residences</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w:t>
            </w:r>
          </w:p>
        </w:tc>
        <w:tc>
          <w:tcPr>
            <w:tcW w:w="9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137</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w:t>
            </w:r>
          </w:p>
        </w:tc>
        <w:tc>
          <w:tcPr>
            <w:tcW w:w="94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137</w:t>
            </w:r>
          </w:p>
        </w:tc>
      </w:tr>
      <w:tr>
        <w:trPr>
          <w:trHeight w:val="196"/>
        </w:trPr>
        <w:tc>
          <w:tcPr>
            <w:tcW w:w="4160" w:type="dxa"/>
            <w:vAlign w:val="bottom"/>
            <w:tcBorders>
              <w:left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4"/>
                <w:szCs w:val="14"/>
                <w:color w:val="auto"/>
              </w:rPr>
              <w:t>Renaissance Residences</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w:t>
            </w:r>
          </w:p>
        </w:tc>
        <w:tc>
          <w:tcPr>
            <w:tcW w:w="9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112</w:t>
            </w:r>
          </w:p>
        </w:tc>
        <w:tc>
          <w:tcPr>
            <w:tcW w:w="11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w:t>
            </w:r>
          </w:p>
        </w:tc>
        <w:tc>
          <w:tcPr>
            <w:tcW w:w="94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112</w:t>
            </w:r>
          </w:p>
        </w:tc>
      </w:tr>
      <w:tr>
        <w:trPr>
          <w:trHeight w:val="196"/>
        </w:trPr>
        <w:tc>
          <w:tcPr>
            <w:tcW w:w="4160" w:type="dxa"/>
            <w:vAlign w:val="bottom"/>
            <w:tcBorders>
              <w:left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4"/>
                <w:szCs w:val="14"/>
                <w:color w:val="auto"/>
              </w:rPr>
              <w:t>EDITION Residences</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w:t>
            </w:r>
          </w:p>
        </w:tc>
        <w:tc>
          <w:tcPr>
            <w:tcW w:w="9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82</w:t>
            </w:r>
          </w:p>
        </w:tc>
        <w:tc>
          <w:tcPr>
            <w:tcW w:w="11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w:t>
            </w:r>
          </w:p>
        </w:tc>
        <w:tc>
          <w:tcPr>
            <w:tcW w:w="9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10</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w:t>
            </w:r>
          </w:p>
        </w:tc>
        <w:tc>
          <w:tcPr>
            <w:tcW w:w="94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92</w:t>
            </w:r>
          </w:p>
        </w:tc>
      </w:tr>
      <w:tr>
        <w:trPr>
          <w:trHeight w:val="196"/>
        </w:trPr>
        <w:tc>
          <w:tcPr>
            <w:tcW w:w="4160" w:type="dxa"/>
            <w:vAlign w:val="bottom"/>
            <w:tcBorders>
              <w:left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4"/>
                <w:szCs w:val="14"/>
                <w:color w:val="auto"/>
              </w:rPr>
              <w:t>Le Méridien Residences</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w:t>
            </w:r>
          </w:p>
        </w:tc>
        <w:tc>
          <w:tcPr>
            <w:tcW w:w="9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62</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w:t>
            </w:r>
          </w:p>
        </w:tc>
        <w:tc>
          <w:tcPr>
            <w:tcW w:w="94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62</w:t>
            </w:r>
          </w:p>
        </w:tc>
      </w:tr>
      <w:tr>
        <w:trPr>
          <w:trHeight w:val="196"/>
        </w:trPr>
        <w:tc>
          <w:tcPr>
            <w:tcW w:w="4160" w:type="dxa"/>
            <w:vAlign w:val="bottom"/>
            <w:tcBorders>
              <w:left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4"/>
                <w:szCs w:val="14"/>
                <w:color w:val="auto"/>
              </w:rPr>
              <w:t>Autograph Collection Residences</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w:t>
            </w:r>
          </w:p>
        </w:tc>
        <w:tc>
          <w:tcPr>
            <w:tcW w:w="9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45</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w:t>
            </w:r>
          </w:p>
        </w:tc>
        <w:tc>
          <w:tcPr>
            <w:tcW w:w="94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45</w:t>
            </w:r>
          </w:p>
        </w:tc>
      </w:tr>
      <w:tr>
        <w:trPr>
          <w:trHeight w:val="199"/>
        </w:trPr>
        <w:tc>
          <w:tcPr>
            <w:tcW w:w="4160" w:type="dxa"/>
            <w:vAlign w:val="bottom"/>
            <w:tcBorders>
              <w:left w:val="single" w:sz="8" w:color="auto"/>
              <w:bottom w:val="single" w:sz="8" w:color="auto"/>
              <w:right w:val="single" w:sz="8" w:color="auto"/>
            </w:tcBorders>
            <w:shd w:val="clear" w:color="auto" w:fill="DBDBDB"/>
          </w:tcPr>
          <w:p>
            <w:pPr>
              <w:ind w:left="20"/>
              <w:spacing w:after="0"/>
              <w:rPr>
                <w:sz w:val="20"/>
                <w:szCs w:val="20"/>
                <w:color w:val="auto"/>
              </w:rPr>
            </w:pPr>
            <w:r>
              <w:rPr>
                <w:rFonts w:ascii="Arial" w:cs="Arial" w:eastAsia="Arial" w:hAnsi="Arial"/>
                <w:sz w:val="14"/>
                <w:szCs w:val="14"/>
                <w:b w:val="1"/>
                <w:bCs w:val="1"/>
                <w:color w:val="auto"/>
              </w:rPr>
              <w:t>Grand Total</w:t>
            </w:r>
          </w:p>
        </w:tc>
        <w:tc>
          <w:tcPr>
            <w:tcW w:w="1160" w:type="dxa"/>
            <w:vAlign w:val="bottom"/>
            <w:tcBorders>
              <w:bottom w:val="single" w:sz="8" w:color="auto"/>
            </w:tcBorders>
            <w:shd w:val="clear" w:color="auto" w:fill="DBDBDB"/>
          </w:tcPr>
          <w:p>
            <w:pPr>
              <w:jc w:val="right"/>
              <w:ind w:right="108"/>
              <w:spacing w:after="0"/>
              <w:rPr>
                <w:sz w:val="20"/>
                <w:szCs w:val="20"/>
                <w:color w:val="auto"/>
              </w:rPr>
            </w:pPr>
            <w:r>
              <w:rPr>
                <w:rFonts w:ascii="Arial" w:cs="Arial" w:eastAsia="Arial" w:hAnsi="Arial"/>
                <w:sz w:val="14"/>
                <w:szCs w:val="14"/>
                <w:b w:val="1"/>
                <w:bCs w:val="1"/>
                <w:color w:val="auto"/>
              </w:rPr>
              <w:t>6,495</w:t>
            </w:r>
          </w:p>
        </w:tc>
        <w:tc>
          <w:tcPr>
            <w:tcW w:w="960" w:type="dxa"/>
            <w:vAlign w:val="bottom"/>
            <w:tcBorders>
              <w:bottom w:val="single" w:sz="8" w:color="auto"/>
              <w:right w:val="single" w:sz="8" w:color="auto"/>
            </w:tcBorders>
            <w:shd w:val="clear" w:color="auto" w:fill="DBDBDB"/>
          </w:tcPr>
          <w:p>
            <w:pPr>
              <w:jc w:val="right"/>
              <w:ind w:right="8"/>
              <w:spacing w:after="0"/>
              <w:rPr>
                <w:sz w:val="20"/>
                <w:szCs w:val="20"/>
                <w:color w:val="auto"/>
              </w:rPr>
            </w:pPr>
            <w:r>
              <w:rPr>
                <w:rFonts w:ascii="Arial" w:cs="Arial" w:eastAsia="Arial" w:hAnsi="Arial"/>
                <w:sz w:val="14"/>
                <w:szCs w:val="14"/>
                <w:b w:val="1"/>
                <w:bCs w:val="1"/>
                <w:color w:val="auto"/>
              </w:rPr>
              <w:t>1,092,479</w:t>
            </w:r>
          </w:p>
        </w:tc>
        <w:tc>
          <w:tcPr>
            <w:tcW w:w="1140" w:type="dxa"/>
            <w:vAlign w:val="bottom"/>
            <w:tcBorders>
              <w:bottom w:val="single" w:sz="8" w:color="auto"/>
            </w:tcBorders>
            <w:shd w:val="clear" w:color="auto" w:fill="DBDBDB"/>
          </w:tcPr>
          <w:p>
            <w:pPr>
              <w:jc w:val="right"/>
              <w:ind w:right="108"/>
              <w:spacing w:after="0"/>
              <w:rPr>
                <w:sz w:val="20"/>
                <w:szCs w:val="20"/>
                <w:color w:val="auto"/>
              </w:rPr>
            </w:pPr>
            <w:r>
              <w:rPr>
                <w:rFonts w:ascii="Arial" w:cs="Arial" w:eastAsia="Arial" w:hAnsi="Arial"/>
                <w:sz w:val="14"/>
                <w:szCs w:val="14"/>
                <w:b w:val="1"/>
                <w:bCs w:val="1"/>
                <w:color w:val="auto"/>
              </w:rPr>
              <w:t>3,431</w:t>
            </w:r>
          </w:p>
        </w:tc>
        <w:tc>
          <w:tcPr>
            <w:tcW w:w="960" w:type="dxa"/>
            <w:vAlign w:val="bottom"/>
            <w:tcBorders>
              <w:bottom w:val="single" w:sz="8" w:color="auto"/>
              <w:right w:val="single" w:sz="8" w:color="auto"/>
            </w:tcBorders>
            <w:shd w:val="clear" w:color="auto" w:fill="DBDBDB"/>
          </w:tcPr>
          <w:p>
            <w:pPr>
              <w:jc w:val="right"/>
              <w:ind w:right="8"/>
              <w:spacing w:after="0"/>
              <w:rPr>
                <w:sz w:val="20"/>
                <w:szCs w:val="20"/>
                <w:color w:val="auto"/>
              </w:rPr>
            </w:pPr>
            <w:r>
              <w:rPr>
                <w:rFonts w:ascii="Arial" w:cs="Arial" w:eastAsia="Arial" w:hAnsi="Arial"/>
                <w:sz w:val="14"/>
                <w:szCs w:val="14"/>
                <w:b w:val="1"/>
                <w:bCs w:val="1"/>
                <w:color w:val="auto"/>
              </w:rPr>
              <w:t>703,329</w:t>
            </w:r>
          </w:p>
        </w:tc>
        <w:tc>
          <w:tcPr>
            <w:tcW w:w="1160" w:type="dxa"/>
            <w:vAlign w:val="bottom"/>
            <w:tcBorders>
              <w:bottom w:val="single" w:sz="8" w:color="auto"/>
            </w:tcBorders>
            <w:shd w:val="clear" w:color="auto" w:fill="DBDBDB"/>
          </w:tcPr>
          <w:p>
            <w:pPr>
              <w:jc w:val="right"/>
              <w:ind w:right="108"/>
              <w:spacing w:after="0"/>
              <w:rPr>
                <w:sz w:val="20"/>
                <w:szCs w:val="20"/>
                <w:color w:val="auto"/>
              </w:rPr>
            </w:pPr>
            <w:r>
              <w:rPr>
                <w:rFonts w:ascii="Arial" w:cs="Arial" w:eastAsia="Arial" w:hAnsi="Arial"/>
                <w:sz w:val="14"/>
                <w:szCs w:val="14"/>
                <w:b w:val="1"/>
                <w:bCs w:val="1"/>
                <w:color w:val="auto"/>
              </w:rPr>
              <w:t>9,926</w:t>
            </w:r>
          </w:p>
        </w:tc>
        <w:tc>
          <w:tcPr>
            <w:tcW w:w="940" w:type="dxa"/>
            <w:vAlign w:val="bottom"/>
            <w:tcBorders>
              <w:bottom w:val="single" w:sz="8" w:color="auto"/>
              <w:right w:val="single" w:sz="8" w:color="auto"/>
            </w:tcBorders>
            <w:shd w:val="clear" w:color="auto" w:fill="DBDBDB"/>
          </w:tcPr>
          <w:p>
            <w:pPr>
              <w:jc w:val="right"/>
              <w:ind w:right="8"/>
              <w:spacing w:after="0"/>
              <w:rPr>
                <w:sz w:val="20"/>
                <w:szCs w:val="20"/>
                <w:color w:val="auto"/>
              </w:rPr>
            </w:pPr>
            <w:r>
              <w:rPr>
                <w:rFonts w:ascii="Arial" w:cs="Arial" w:eastAsia="Arial" w:hAnsi="Arial"/>
                <w:sz w:val="14"/>
                <w:szCs w:val="14"/>
                <w:b w:val="1"/>
                <w:bCs w:val="1"/>
                <w:color w:val="auto"/>
              </w:rPr>
              <w:t>1,795,808</w:t>
            </w:r>
          </w:p>
        </w:tc>
      </w:tr>
    </w:tbl>
    <w:p>
      <w:pPr>
        <w:spacing w:after="0" w:line="165" w:lineRule="exact"/>
        <w:rPr>
          <w:sz w:val="20"/>
          <w:szCs w:val="20"/>
          <w:color w:val="auto"/>
        </w:rPr>
      </w:pPr>
    </w:p>
    <w:p>
      <w:pPr>
        <w:ind w:left="100" w:hanging="86"/>
        <w:spacing w:after="0"/>
        <w:tabs>
          <w:tab w:leader="none" w:pos="100" w:val="left"/>
        </w:tabs>
        <w:numPr>
          <w:ilvl w:val="0"/>
          <w:numId w:val="16"/>
        </w:numPr>
        <w:rPr>
          <w:rFonts w:ascii="Arial" w:cs="Arial" w:eastAsia="Arial" w:hAnsi="Arial"/>
          <w:sz w:val="19"/>
          <w:szCs w:val="19"/>
          <w:color w:val="auto"/>
          <w:vertAlign w:val="superscript"/>
        </w:rPr>
      </w:pPr>
      <w:r>
        <w:rPr>
          <w:rFonts w:ascii="Arial" w:cs="Arial" w:eastAsia="Arial" w:hAnsi="Arial"/>
          <w:sz w:val="14"/>
          <w:szCs w:val="14"/>
          <w:color w:val="auto"/>
        </w:rPr>
        <w:t>"International" refers to: (i) Europe, Middle East &amp; Africa, (ii) Greater China, (iii) Asia Pacific excluding China, and (iv) Caribbean &amp; Latin America.</w:t>
      </w:r>
    </w:p>
    <w:p>
      <w:pPr>
        <w:spacing w:after="0" w:line="26" w:lineRule="exact"/>
        <w:rPr>
          <w:sz w:val="20"/>
          <w:szCs w:val="20"/>
          <w:color w:val="auto"/>
        </w:rPr>
      </w:pPr>
    </w:p>
    <w:p>
      <w:pPr>
        <w:ind w:left="20" w:right="80" w:hanging="6"/>
        <w:spacing w:after="0" w:line="244" w:lineRule="auto"/>
        <w:tabs>
          <w:tab w:leader="none" w:pos="116" w:val="left"/>
        </w:tabs>
        <w:numPr>
          <w:ilvl w:val="0"/>
          <w:numId w:val="17"/>
        </w:numPr>
        <w:rPr>
          <w:rFonts w:ascii="Arial" w:cs="Arial" w:eastAsia="Arial" w:hAnsi="Arial"/>
          <w:sz w:val="14"/>
          <w:szCs w:val="14"/>
          <w:color w:val="auto"/>
        </w:rPr>
      </w:pPr>
      <w:r>
        <w:rPr>
          <w:rFonts w:ascii="Arial" w:cs="Arial" w:eastAsia="Arial" w:hAnsi="Arial"/>
          <w:sz w:val="14"/>
          <w:szCs w:val="14"/>
          <w:color w:val="auto"/>
        </w:rPr>
        <w:t>Timeshare, Design Hotels, and The Ritz-Carlton Yacht Collection counts are included in this table by geographical location. For external reporting purposes, these offerings are captured within “Unallocated corporate and other.”</w:t>
      </w:r>
    </w:p>
    <w:p>
      <w:pPr>
        <w:spacing w:after="0" w:line="118" w:lineRule="exact"/>
        <w:rPr>
          <w:sz w:val="20"/>
          <w:szCs w:val="20"/>
          <w:color w:val="auto"/>
        </w:rPr>
      </w:pPr>
    </w:p>
    <w:p>
      <w:pPr>
        <w:ind w:left="20" w:right="120"/>
        <w:spacing w:after="0" w:line="285" w:lineRule="auto"/>
        <w:rPr>
          <w:sz w:val="20"/>
          <w:szCs w:val="20"/>
          <w:color w:val="auto"/>
        </w:rPr>
      </w:pPr>
      <w:r>
        <w:rPr>
          <w:rFonts w:ascii="Arial" w:cs="Arial" w:eastAsia="Arial" w:hAnsi="Arial"/>
          <w:sz w:val="14"/>
          <w:szCs w:val="14"/>
          <w:color w:val="auto"/>
        </w:rPr>
        <w:t>Property and room counts presented by brand in the above table include certain hotels in our system that are not yet operating under such brand, but are expected to operate under such brand following the completion of planned renovations.</w:t>
      </w:r>
    </w:p>
    <w:p>
      <w:pPr>
        <w:sectPr>
          <w:pgSz w:w="11900" w:h="16838" w:orient="portrait"/>
          <w:cols w:equalWidth="0" w:num="1">
            <w:col w:w="10480"/>
          </w:cols>
          <w:pgMar w:left="620" w:top="495" w:right="7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79"/>
        <w:spacing w:after="0"/>
        <w:rPr>
          <w:sz w:val="20"/>
          <w:szCs w:val="20"/>
          <w:color w:val="auto"/>
        </w:rPr>
      </w:pPr>
      <w:r>
        <w:rPr>
          <w:rFonts w:ascii="Arial" w:cs="Arial" w:eastAsia="Arial" w:hAnsi="Arial"/>
          <w:sz w:val="14"/>
          <w:szCs w:val="14"/>
          <w:color w:val="auto"/>
        </w:rPr>
        <w:t>A-6</w:t>
      </w:r>
    </w:p>
    <w:p>
      <w:pPr>
        <w:sectPr>
          <w:pgSz w:w="11900" w:h="16838" w:orient="portrait"/>
          <w:cols w:equalWidth="0" w:num="1">
            <w:col w:w="10480"/>
          </w:cols>
          <w:pgMar w:left="620" w:top="495" w:right="799" w:bottom="1440" w:gutter="0" w:footer="0" w:header="0"/>
          <w:type w:val="continuous"/>
        </w:sectPr>
      </w:pPr>
    </w:p>
    <w:bookmarkStart w:id="16" w:name="page17"/>
    <w:bookmarkEnd w:id="16"/>
    <w:p>
      <w:pPr>
        <w:jc w:val="center"/>
        <w:ind w:right="20"/>
        <w:spacing w:after="0"/>
        <w:rPr>
          <w:sz w:val="20"/>
          <w:szCs w:val="20"/>
          <w:color w:val="auto"/>
        </w:rPr>
      </w:pPr>
      <w:r>
        <w:rPr>
          <w:rFonts w:ascii="Arial" w:cs="Arial" w:eastAsia="Arial" w:hAnsi="Arial"/>
          <w:sz w:val="14"/>
          <w:szCs w:val="14"/>
          <w:b w:val="1"/>
          <w:bCs w:val="1"/>
          <w:color w:val="auto"/>
        </w:rPr>
        <w:t>MARRIOTT INTERNATIONAL, INC.</w:t>
      </w:r>
    </w:p>
    <w:p>
      <w:pPr>
        <w:spacing w:after="0" w:line="42"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TOTAL LODGING PRODUCTS BY TIER</w:t>
      </w:r>
    </w:p>
    <w:p>
      <w:pPr>
        <w:spacing w:after="0" w:line="42"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As of March 31, 2026</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220"/>
        </w:trPr>
        <w:tc>
          <w:tcPr>
            <w:tcW w:w="4180" w:type="dxa"/>
            <w:vAlign w:val="bottom"/>
            <w:tcBorders>
              <w:top w:val="single" w:sz="8" w:color="auto"/>
              <w:left w:val="single" w:sz="8" w:color="auto"/>
              <w:right w:val="single" w:sz="8" w:color="auto"/>
            </w:tcBorders>
          </w:tcPr>
          <w:p>
            <w:pPr>
              <w:spacing w:after="0"/>
              <w:rPr>
                <w:sz w:val="19"/>
                <w:szCs w:val="19"/>
                <w:color w:val="auto"/>
              </w:rPr>
            </w:pPr>
          </w:p>
        </w:tc>
        <w:tc>
          <w:tcPr>
            <w:tcW w:w="2100" w:type="dxa"/>
            <w:vAlign w:val="bottom"/>
            <w:tcBorders>
              <w:top w:val="single" w:sz="8" w:color="auto"/>
              <w:right w:val="single" w:sz="8" w:color="auto"/>
            </w:tcBorders>
            <w:gridSpan w:val="2"/>
          </w:tcPr>
          <w:p>
            <w:pPr>
              <w:jc w:val="right"/>
              <w:ind w:right="528"/>
              <w:spacing w:after="0"/>
              <w:rPr>
                <w:sz w:val="20"/>
                <w:szCs w:val="20"/>
                <w:color w:val="auto"/>
              </w:rPr>
            </w:pPr>
            <w:r>
              <w:rPr>
                <w:rFonts w:ascii="Arial" w:cs="Arial" w:eastAsia="Arial" w:hAnsi="Arial"/>
                <w:sz w:val="14"/>
                <w:szCs w:val="14"/>
                <w:b w:val="1"/>
                <w:bCs w:val="1"/>
                <w:color w:val="auto"/>
              </w:rPr>
              <w:t>US &amp; Canada</w:t>
            </w:r>
          </w:p>
        </w:tc>
        <w:tc>
          <w:tcPr>
            <w:tcW w:w="2120" w:type="dxa"/>
            <w:vAlign w:val="bottom"/>
            <w:tcBorders>
              <w:top w:val="single" w:sz="8" w:color="auto"/>
              <w:right w:val="single" w:sz="8" w:color="auto"/>
            </w:tcBorders>
            <w:gridSpan w:val="2"/>
          </w:tcPr>
          <w:p>
            <w:pPr>
              <w:jc w:val="right"/>
              <w:ind w:right="348"/>
              <w:spacing w:after="0"/>
              <w:rPr>
                <w:sz w:val="20"/>
                <w:szCs w:val="20"/>
                <w:color w:val="auto"/>
              </w:rPr>
            </w:pPr>
            <w:r>
              <w:rPr>
                <w:rFonts w:ascii="Arial" w:cs="Arial" w:eastAsia="Arial" w:hAnsi="Arial"/>
                <w:sz w:val="14"/>
                <w:szCs w:val="14"/>
                <w:b w:val="1"/>
                <w:bCs w:val="1"/>
                <w:color w:val="auto"/>
              </w:rPr>
              <w:t>Total International</w:t>
            </w:r>
            <w:r>
              <w:rPr>
                <w:rFonts w:ascii="Arial" w:cs="Arial" w:eastAsia="Arial" w:hAnsi="Arial"/>
                <w:sz w:val="18"/>
                <w:szCs w:val="18"/>
                <w:b w:val="1"/>
                <w:bCs w:val="1"/>
                <w:color w:val="auto"/>
                <w:vertAlign w:val="superscript"/>
              </w:rPr>
              <w:t>1</w:t>
            </w:r>
          </w:p>
        </w:tc>
        <w:tc>
          <w:tcPr>
            <w:tcW w:w="2100" w:type="dxa"/>
            <w:vAlign w:val="bottom"/>
            <w:tcBorders>
              <w:top w:val="single" w:sz="8" w:color="auto"/>
              <w:right w:val="single" w:sz="8" w:color="auto"/>
            </w:tcBorders>
            <w:gridSpan w:val="2"/>
          </w:tcPr>
          <w:p>
            <w:pPr>
              <w:jc w:val="right"/>
              <w:ind w:right="448"/>
              <w:spacing w:after="0"/>
              <w:rPr>
                <w:sz w:val="20"/>
                <w:szCs w:val="20"/>
                <w:color w:val="auto"/>
              </w:rPr>
            </w:pPr>
            <w:r>
              <w:rPr>
                <w:rFonts w:ascii="Arial" w:cs="Arial" w:eastAsia="Arial" w:hAnsi="Arial"/>
                <w:sz w:val="14"/>
                <w:szCs w:val="14"/>
                <w:b w:val="1"/>
                <w:bCs w:val="1"/>
                <w:color w:val="auto"/>
              </w:rPr>
              <w:t>Total Worldwide</w:t>
            </w:r>
          </w:p>
        </w:tc>
      </w:tr>
      <w:tr>
        <w:trPr>
          <w:trHeight w:val="197"/>
        </w:trPr>
        <w:tc>
          <w:tcPr>
            <w:tcW w:w="4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Total Systemwide</w:t>
            </w:r>
          </w:p>
        </w:tc>
        <w:tc>
          <w:tcPr>
            <w:tcW w:w="12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Properties</w:t>
            </w:r>
          </w:p>
        </w:tc>
        <w:tc>
          <w:tcPr>
            <w:tcW w:w="840" w:type="dxa"/>
            <w:vAlign w:val="bottom"/>
            <w:tcBorders>
              <w:bottom w:val="single" w:sz="8" w:color="auto"/>
              <w:right w:val="single" w:sz="8" w:color="auto"/>
            </w:tcBorders>
          </w:tcPr>
          <w:p>
            <w:pPr>
              <w:jc w:val="right"/>
              <w:ind w:right="228"/>
              <w:spacing w:after="0"/>
              <w:rPr>
                <w:sz w:val="20"/>
                <w:szCs w:val="20"/>
                <w:color w:val="auto"/>
              </w:rPr>
            </w:pPr>
            <w:r>
              <w:rPr>
                <w:rFonts w:ascii="Arial" w:cs="Arial" w:eastAsia="Arial" w:hAnsi="Arial"/>
                <w:sz w:val="14"/>
                <w:szCs w:val="14"/>
                <w:color w:val="auto"/>
              </w:rPr>
              <w:t>Rooms</w:t>
            </w:r>
          </w:p>
        </w:tc>
        <w:tc>
          <w:tcPr>
            <w:tcW w:w="11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Properties</w:t>
            </w:r>
          </w:p>
        </w:tc>
        <w:tc>
          <w:tcPr>
            <w:tcW w:w="960" w:type="dxa"/>
            <w:vAlign w:val="bottom"/>
            <w:tcBorders>
              <w:bottom w:val="single" w:sz="8" w:color="auto"/>
              <w:right w:val="single" w:sz="8" w:color="auto"/>
            </w:tcBorders>
          </w:tcPr>
          <w:p>
            <w:pPr>
              <w:jc w:val="right"/>
              <w:ind w:right="248"/>
              <w:spacing w:after="0"/>
              <w:rPr>
                <w:sz w:val="20"/>
                <w:szCs w:val="20"/>
                <w:color w:val="auto"/>
              </w:rPr>
            </w:pPr>
            <w:r>
              <w:rPr>
                <w:rFonts w:ascii="Arial" w:cs="Arial" w:eastAsia="Arial" w:hAnsi="Arial"/>
                <w:sz w:val="14"/>
                <w:szCs w:val="14"/>
                <w:color w:val="auto"/>
              </w:rPr>
              <w:t>Rooms</w:t>
            </w:r>
          </w:p>
        </w:tc>
        <w:tc>
          <w:tcPr>
            <w:tcW w:w="11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Properties</w:t>
            </w:r>
          </w:p>
        </w:tc>
        <w:tc>
          <w:tcPr>
            <w:tcW w:w="960" w:type="dxa"/>
            <w:vAlign w:val="bottom"/>
            <w:tcBorders>
              <w:bottom w:val="single" w:sz="8" w:color="auto"/>
              <w:right w:val="single" w:sz="8" w:color="auto"/>
            </w:tcBorders>
          </w:tcPr>
          <w:p>
            <w:pPr>
              <w:jc w:val="right"/>
              <w:ind w:right="248"/>
              <w:spacing w:after="0"/>
              <w:rPr>
                <w:sz w:val="20"/>
                <w:szCs w:val="20"/>
                <w:color w:val="auto"/>
              </w:rPr>
            </w:pPr>
            <w:r>
              <w:rPr>
                <w:rFonts w:ascii="Arial" w:cs="Arial" w:eastAsia="Arial" w:hAnsi="Arial"/>
                <w:sz w:val="14"/>
                <w:szCs w:val="14"/>
                <w:color w:val="auto"/>
              </w:rPr>
              <w:t>Rooms</w:t>
            </w:r>
          </w:p>
        </w:tc>
      </w:tr>
      <w:tr>
        <w:trPr>
          <w:trHeight w:val="196"/>
        </w:trPr>
        <w:tc>
          <w:tcPr>
            <w:tcW w:w="4180" w:type="dxa"/>
            <w:vAlign w:val="bottom"/>
            <w:tcBorders>
              <w:left w:val="single" w:sz="8" w:color="auto"/>
              <w:bottom w:val="single" w:sz="8" w:color="auto"/>
              <w:right w:val="single" w:sz="8" w:color="auto"/>
            </w:tcBorders>
            <w:shd w:val="clear" w:color="auto" w:fill="D9D9D9"/>
          </w:tcPr>
          <w:p>
            <w:pPr>
              <w:ind w:left="40"/>
              <w:spacing w:after="0"/>
              <w:rPr>
                <w:sz w:val="20"/>
                <w:szCs w:val="20"/>
                <w:color w:val="auto"/>
              </w:rPr>
            </w:pPr>
            <w:r>
              <w:rPr>
                <w:rFonts w:ascii="Arial" w:cs="Arial" w:eastAsia="Arial" w:hAnsi="Arial"/>
                <w:sz w:val="14"/>
                <w:szCs w:val="14"/>
                <w:b w:val="1"/>
                <w:bCs w:val="1"/>
                <w:color w:val="auto"/>
              </w:rPr>
              <w:t>Luxury</w:t>
            </w:r>
          </w:p>
        </w:tc>
        <w:tc>
          <w:tcPr>
            <w:tcW w:w="1260" w:type="dxa"/>
            <w:vAlign w:val="bottom"/>
            <w:tcBorders>
              <w:bottom w:val="single" w:sz="8" w:color="auto"/>
            </w:tcBorders>
            <w:shd w:val="clear" w:color="auto" w:fill="D9D9D9"/>
          </w:tcPr>
          <w:p>
            <w:pPr>
              <w:jc w:val="right"/>
              <w:ind w:right="208"/>
              <w:spacing w:after="0"/>
              <w:rPr>
                <w:sz w:val="20"/>
                <w:szCs w:val="20"/>
                <w:color w:val="auto"/>
              </w:rPr>
            </w:pPr>
            <w:r>
              <w:rPr>
                <w:rFonts w:ascii="Arial" w:cs="Arial" w:eastAsia="Arial" w:hAnsi="Arial"/>
                <w:sz w:val="14"/>
                <w:szCs w:val="14"/>
                <w:b w:val="1"/>
                <w:bCs w:val="1"/>
                <w:color w:val="auto"/>
              </w:rPr>
              <w:t>213</w:t>
            </w:r>
          </w:p>
        </w:tc>
        <w:tc>
          <w:tcPr>
            <w:tcW w:w="840" w:type="dxa"/>
            <w:vAlign w:val="bottom"/>
            <w:tcBorders>
              <w:bottom w:val="single" w:sz="8" w:color="auto"/>
              <w:right w:val="single" w:sz="8" w:color="auto"/>
            </w:tcBorders>
            <w:shd w:val="clear" w:color="auto" w:fill="D9D9D9"/>
          </w:tcPr>
          <w:p>
            <w:pPr>
              <w:jc w:val="right"/>
              <w:ind w:right="8"/>
              <w:spacing w:after="0"/>
              <w:rPr>
                <w:sz w:val="20"/>
                <w:szCs w:val="20"/>
                <w:color w:val="auto"/>
              </w:rPr>
            </w:pPr>
            <w:r>
              <w:rPr>
                <w:rFonts w:ascii="Arial" w:cs="Arial" w:eastAsia="Arial" w:hAnsi="Arial"/>
                <w:sz w:val="14"/>
                <w:szCs w:val="14"/>
                <w:b w:val="1"/>
                <w:bCs w:val="1"/>
                <w:color w:val="auto"/>
              </w:rPr>
              <w:t>62,019</w:t>
            </w:r>
          </w:p>
        </w:tc>
        <w:tc>
          <w:tcPr>
            <w:tcW w:w="1160" w:type="dxa"/>
            <w:vAlign w:val="bottom"/>
            <w:tcBorders>
              <w:bottom w:val="single" w:sz="8" w:color="auto"/>
            </w:tcBorders>
            <w:shd w:val="clear" w:color="auto" w:fill="D9D9D9"/>
          </w:tcPr>
          <w:p>
            <w:pPr>
              <w:jc w:val="right"/>
              <w:ind w:right="108"/>
              <w:spacing w:after="0"/>
              <w:rPr>
                <w:sz w:val="20"/>
                <w:szCs w:val="20"/>
                <w:color w:val="auto"/>
              </w:rPr>
            </w:pPr>
            <w:r>
              <w:rPr>
                <w:rFonts w:ascii="Arial" w:cs="Arial" w:eastAsia="Arial" w:hAnsi="Arial"/>
                <w:sz w:val="14"/>
                <w:szCs w:val="14"/>
                <w:b w:val="1"/>
                <w:bCs w:val="1"/>
                <w:color w:val="auto"/>
              </w:rPr>
              <w:t>478</w:t>
            </w:r>
          </w:p>
        </w:tc>
        <w:tc>
          <w:tcPr>
            <w:tcW w:w="960" w:type="dxa"/>
            <w:vAlign w:val="bottom"/>
            <w:tcBorders>
              <w:bottom w:val="single" w:sz="8" w:color="auto"/>
              <w:right w:val="single" w:sz="8" w:color="auto"/>
            </w:tcBorders>
            <w:shd w:val="clear" w:color="auto" w:fill="D9D9D9"/>
          </w:tcPr>
          <w:p>
            <w:pPr>
              <w:jc w:val="right"/>
              <w:ind w:right="28"/>
              <w:spacing w:after="0"/>
              <w:rPr>
                <w:sz w:val="20"/>
                <w:szCs w:val="20"/>
                <w:color w:val="auto"/>
              </w:rPr>
            </w:pPr>
            <w:r>
              <w:rPr>
                <w:rFonts w:ascii="Arial" w:cs="Arial" w:eastAsia="Arial" w:hAnsi="Arial"/>
                <w:sz w:val="14"/>
                <w:szCs w:val="14"/>
                <w:b w:val="1"/>
                <w:bCs w:val="1"/>
                <w:color w:val="auto"/>
              </w:rPr>
              <w:t>109,103</w:t>
            </w:r>
          </w:p>
        </w:tc>
        <w:tc>
          <w:tcPr>
            <w:tcW w:w="1140" w:type="dxa"/>
            <w:vAlign w:val="bottom"/>
            <w:tcBorders>
              <w:bottom w:val="single" w:sz="8" w:color="auto"/>
            </w:tcBorders>
            <w:shd w:val="clear" w:color="auto" w:fill="D9D9D9"/>
          </w:tcPr>
          <w:p>
            <w:pPr>
              <w:jc w:val="right"/>
              <w:ind w:right="108"/>
              <w:spacing w:after="0"/>
              <w:rPr>
                <w:sz w:val="20"/>
                <w:szCs w:val="20"/>
                <w:color w:val="auto"/>
              </w:rPr>
            </w:pPr>
            <w:r>
              <w:rPr>
                <w:rFonts w:ascii="Arial" w:cs="Arial" w:eastAsia="Arial" w:hAnsi="Arial"/>
                <w:sz w:val="14"/>
                <w:szCs w:val="14"/>
                <w:b w:val="1"/>
                <w:bCs w:val="1"/>
                <w:color w:val="auto"/>
              </w:rPr>
              <w:t>691</w:t>
            </w:r>
          </w:p>
        </w:tc>
        <w:tc>
          <w:tcPr>
            <w:tcW w:w="960" w:type="dxa"/>
            <w:vAlign w:val="bottom"/>
            <w:tcBorders>
              <w:bottom w:val="single" w:sz="8" w:color="auto"/>
              <w:right w:val="single" w:sz="8" w:color="auto"/>
            </w:tcBorders>
            <w:shd w:val="clear" w:color="auto" w:fill="D9D9D9"/>
          </w:tcPr>
          <w:p>
            <w:pPr>
              <w:jc w:val="right"/>
              <w:ind w:right="8"/>
              <w:spacing w:after="0"/>
              <w:rPr>
                <w:sz w:val="20"/>
                <w:szCs w:val="20"/>
                <w:color w:val="auto"/>
              </w:rPr>
            </w:pPr>
            <w:r>
              <w:rPr>
                <w:rFonts w:ascii="Arial" w:cs="Arial" w:eastAsia="Arial" w:hAnsi="Arial"/>
                <w:sz w:val="14"/>
                <w:szCs w:val="14"/>
                <w:b w:val="1"/>
                <w:bCs w:val="1"/>
                <w:color w:val="auto"/>
              </w:rPr>
              <w:t>171,122</w:t>
            </w:r>
          </w:p>
        </w:tc>
      </w:tr>
      <w:tr>
        <w:trPr>
          <w:trHeight w:val="193"/>
        </w:trPr>
        <w:tc>
          <w:tcPr>
            <w:tcW w:w="4180" w:type="dxa"/>
            <w:vAlign w:val="bottom"/>
            <w:tcBorders>
              <w:left w:val="single" w:sz="8" w:color="auto"/>
              <w:bottom w:val="single" w:sz="8" w:color="auto"/>
              <w:right w:val="single" w:sz="8" w:color="auto"/>
            </w:tcBorders>
          </w:tcPr>
          <w:p>
            <w:pPr>
              <w:ind w:left="300"/>
              <w:spacing w:after="0"/>
              <w:rPr>
                <w:sz w:val="20"/>
                <w:szCs w:val="20"/>
                <w:color w:val="auto"/>
              </w:rPr>
            </w:pPr>
            <w:r>
              <w:rPr>
                <w:rFonts w:ascii="Arial" w:cs="Arial" w:eastAsia="Arial" w:hAnsi="Arial"/>
                <w:sz w:val="14"/>
                <w:szCs w:val="14"/>
                <w:color w:val="auto"/>
              </w:rPr>
              <w:t>JW Marriott</w:t>
            </w:r>
          </w:p>
        </w:tc>
        <w:tc>
          <w:tcPr>
            <w:tcW w:w="12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36</w:t>
            </w:r>
          </w:p>
        </w:tc>
        <w:tc>
          <w:tcPr>
            <w:tcW w:w="84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19,518</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94</w:t>
            </w:r>
          </w:p>
        </w:tc>
        <w:tc>
          <w:tcPr>
            <w:tcW w:w="960" w:type="dxa"/>
            <w:vAlign w:val="bottom"/>
            <w:tcBorders>
              <w:bottom w:val="single" w:sz="8" w:color="auto"/>
              <w:right w:val="single" w:sz="8" w:color="auto"/>
            </w:tcBorders>
          </w:tcPr>
          <w:p>
            <w:pPr>
              <w:jc w:val="right"/>
              <w:ind w:right="28"/>
              <w:spacing w:after="0"/>
              <w:rPr>
                <w:sz w:val="20"/>
                <w:szCs w:val="20"/>
                <w:color w:val="auto"/>
              </w:rPr>
            </w:pPr>
            <w:r>
              <w:rPr>
                <w:rFonts w:ascii="Arial" w:cs="Arial" w:eastAsia="Arial" w:hAnsi="Arial"/>
                <w:sz w:val="14"/>
                <w:szCs w:val="14"/>
                <w:color w:val="auto"/>
              </w:rPr>
              <w:t>31,373</w:t>
            </w:r>
          </w:p>
        </w:tc>
        <w:tc>
          <w:tcPr>
            <w:tcW w:w="11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130</w:t>
            </w:r>
          </w:p>
        </w:tc>
        <w:tc>
          <w:tcPr>
            <w:tcW w:w="9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50,891</w:t>
            </w:r>
          </w:p>
        </w:tc>
      </w:tr>
      <w:tr>
        <w:trPr>
          <w:trHeight w:val="196"/>
        </w:trPr>
        <w:tc>
          <w:tcPr>
            <w:tcW w:w="4180" w:type="dxa"/>
            <w:vAlign w:val="bottom"/>
            <w:tcBorders>
              <w:left w:val="single" w:sz="8" w:color="auto"/>
              <w:bottom w:val="single" w:sz="8" w:color="auto"/>
              <w:right w:val="single" w:sz="8" w:color="auto"/>
            </w:tcBorders>
          </w:tcPr>
          <w:p>
            <w:pPr>
              <w:ind w:left="300"/>
              <w:spacing w:after="0"/>
              <w:rPr>
                <w:sz w:val="20"/>
                <w:szCs w:val="20"/>
                <w:color w:val="auto"/>
              </w:rPr>
            </w:pPr>
            <w:r>
              <w:rPr>
                <w:rFonts w:ascii="Arial" w:cs="Arial" w:eastAsia="Arial" w:hAnsi="Arial"/>
                <w:sz w:val="14"/>
                <w:szCs w:val="14"/>
                <w:color w:val="auto"/>
              </w:rPr>
              <w:t>JW Marriott Residences</w:t>
            </w:r>
          </w:p>
        </w:tc>
        <w:tc>
          <w:tcPr>
            <w:tcW w:w="12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1</w:t>
            </w:r>
          </w:p>
        </w:tc>
        <w:tc>
          <w:tcPr>
            <w:tcW w:w="84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91</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w:t>
            </w:r>
          </w:p>
        </w:tc>
        <w:tc>
          <w:tcPr>
            <w:tcW w:w="960" w:type="dxa"/>
            <w:vAlign w:val="bottom"/>
            <w:tcBorders>
              <w:bottom w:val="single" w:sz="8" w:color="auto"/>
              <w:right w:val="single" w:sz="8" w:color="auto"/>
            </w:tcBorders>
          </w:tcPr>
          <w:p>
            <w:pPr>
              <w:jc w:val="right"/>
              <w:ind w:right="28"/>
              <w:spacing w:after="0"/>
              <w:rPr>
                <w:sz w:val="20"/>
                <w:szCs w:val="20"/>
                <w:color w:val="auto"/>
              </w:rPr>
            </w:pPr>
            <w:r>
              <w:rPr>
                <w:rFonts w:ascii="Arial" w:cs="Arial" w:eastAsia="Arial" w:hAnsi="Arial"/>
                <w:sz w:val="14"/>
                <w:szCs w:val="14"/>
                <w:color w:val="auto"/>
              </w:rPr>
              <w:t>1,055</w:t>
            </w:r>
          </w:p>
        </w:tc>
        <w:tc>
          <w:tcPr>
            <w:tcW w:w="11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5</w:t>
            </w:r>
          </w:p>
        </w:tc>
        <w:tc>
          <w:tcPr>
            <w:tcW w:w="9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1,146</w:t>
            </w:r>
          </w:p>
        </w:tc>
      </w:tr>
      <w:tr>
        <w:trPr>
          <w:trHeight w:val="196"/>
        </w:trPr>
        <w:tc>
          <w:tcPr>
            <w:tcW w:w="4180" w:type="dxa"/>
            <w:vAlign w:val="bottom"/>
            <w:tcBorders>
              <w:left w:val="single" w:sz="8" w:color="auto"/>
              <w:bottom w:val="single" w:sz="8" w:color="auto"/>
              <w:right w:val="single" w:sz="8" w:color="auto"/>
            </w:tcBorders>
          </w:tcPr>
          <w:p>
            <w:pPr>
              <w:ind w:left="300"/>
              <w:spacing w:after="0"/>
              <w:rPr>
                <w:sz w:val="20"/>
                <w:szCs w:val="20"/>
                <w:color w:val="auto"/>
              </w:rPr>
            </w:pPr>
            <w:r>
              <w:rPr>
                <w:rFonts w:ascii="Arial" w:cs="Arial" w:eastAsia="Arial" w:hAnsi="Arial"/>
                <w:sz w:val="14"/>
                <w:szCs w:val="14"/>
                <w:color w:val="auto"/>
              </w:rPr>
              <w:t>The Luxury Collection</w:t>
            </w:r>
          </w:p>
        </w:tc>
        <w:tc>
          <w:tcPr>
            <w:tcW w:w="12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23</w:t>
            </w:r>
          </w:p>
        </w:tc>
        <w:tc>
          <w:tcPr>
            <w:tcW w:w="84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10,561</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112</w:t>
            </w:r>
          </w:p>
        </w:tc>
        <w:tc>
          <w:tcPr>
            <w:tcW w:w="960" w:type="dxa"/>
            <w:vAlign w:val="bottom"/>
            <w:tcBorders>
              <w:bottom w:val="single" w:sz="8" w:color="auto"/>
              <w:right w:val="single" w:sz="8" w:color="auto"/>
            </w:tcBorders>
          </w:tcPr>
          <w:p>
            <w:pPr>
              <w:jc w:val="right"/>
              <w:ind w:right="28"/>
              <w:spacing w:after="0"/>
              <w:rPr>
                <w:sz w:val="20"/>
                <w:szCs w:val="20"/>
                <w:color w:val="auto"/>
              </w:rPr>
            </w:pPr>
            <w:r>
              <w:rPr>
                <w:rFonts w:ascii="Arial" w:cs="Arial" w:eastAsia="Arial" w:hAnsi="Arial"/>
                <w:sz w:val="14"/>
                <w:szCs w:val="14"/>
                <w:color w:val="auto"/>
              </w:rPr>
              <w:t>23,022</w:t>
            </w:r>
          </w:p>
        </w:tc>
        <w:tc>
          <w:tcPr>
            <w:tcW w:w="11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135</w:t>
            </w:r>
          </w:p>
        </w:tc>
        <w:tc>
          <w:tcPr>
            <w:tcW w:w="9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33,583</w:t>
            </w:r>
          </w:p>
        </w:tc>
      </w:tr>
      <w:tr>
        <w:trPr>
          <w:trHeight w:val="196"/>
        </w:trPr>
        <w:tc>
          <w:tcPr>
            <w:tcW w:w="4180" w:type="dxa"/>
            <w:vAlign w:val="bottom"/>
            <w:tcBorders>
              <w:left w:val="single" w:sz="8" w:color="auto"/>
              <w:bottom w:val="single" w:sz="8" w:color="auto"/>
              <w:right w:val="single" w:sz="8" w:color="auto"/>
            </w:tcBorders>
          </w:tcPr>
          <w:p>
            <w:pPr>
              <w:ind w:left="300"/>
              <w:spacing w:after="0"/>
              <w:rPr>
                <w:sz w:val="20"/>
                <w:szCs w:val="20"/>
                <w:color w:val="auto"/>
              </w:rPr>
            </w:pPr>
            <w:r>
              <w:rPr>
                <w:rFonts w:ascii="Arial" w:cs="Arial" w:eastAsia="Arial" w:hAnsi="Arial"/>
                <w:sz w:val="14"/>
                <w:szCs w:val="14"/>
                <w:color w:val="auto"/>
              </w:rPr>
              <w:t>The Luxury Collection Residences</w:t>
            </w:r>
          </w:p>
        </w:tc>
        <w:tc>
          <w:tcPr>
            <w:tcW w:w="12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1</w:t>
            </w:r>
          </w:p>
        </w:tc>
        <w:tc>
          <w:tcPr>
            <w:tcW w:w="84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91</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w:t>
            </w:r>
          </w:p>
        </w:tc>
        <w:tc>
          <w:tcPr>
            <w:tcW w:w="960" w:type="dxa"/>
            <w:vAlign w:val="bottom"/>
            <w:tcBorders>
              <w:bottom w:val="single" w:sz="8" w:color="auto"/>
              <w:right w:val="single" w:sz="8" w:color="auto"/>
            </w:tcBorders>
          </w:tcPr>
          <w:p>
            <w:pPr>
              <w:jc w:val="right"/>
              <w:ind w:right="28"/>
              <w:spacing w:after="0"/>
              <w:rPr>
                <w:sz w:val="20"/>
                <w:szCs w:val="20"/>
                <w:color w:val="auto"/>
              </w:rPr>
            </w:pPr>
            <w:r>
              <w:rPr>
                <w:rFonts w:ascii="Arial" w:cs="Arial" w:eastAsia="Arial" w:hAnsi="Arial"/>
                <w:sz w:val="14"/>
                <w:szCs w:val="14"/>
                <w:color w:val="auto"/>
              </w:rPr>
              <w:t>85</w:t>
            </w:r>
          </w:p>
        </w:tc>
        <w:tc>
          <w:tcPr>
            <w:tcW w:w="11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w:t>
            </w:r>
          </w:p>
        </w:tc>
        <w:tc>
          <w:tcPr>
            <w:tcW w:w="9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176</w:t>
            </w:r>
          </w:p>
        </w:tc>
      </w:tr>
      <w:tr>
        <w:trPr>
          <w:trHeight w:val="196"/>
        </w:trPr>
        <w:tc>
          <w:tcPr>
            <w:tcW w:w="4180" w:type="dxa"/>
            <w:vAlign w:val="bottom"/>
            <w:tcBorders>
              <w:left w:val="single" w:sz="8" w:color="auto"/>
              <w:bottom w:val="single" w:sz="8" w:color="auto"/>
              <w:right w:val="single" w:sz="8" w:color="auto"/>
            </w:tcBorders>
          </w:tcPr>
          <w:p>
            <w:pPr>
              <w:ind w:left="300"/>
              <w:spacing w:after="0"/>
              <w:rPr>
                <w:sz w:val="20"/>
                <w:szCs w:val="20"/>
                <w:color w:val="auto"/>
              </w:rPr>
            </w:pPr>
            <w:r>
              <w:rPr>
                <w:rFonts w:ascii="Arial" w:cs="Arial" w:eastAsia="Arial" w:hAnsi="Arial"/>
                <w:sz w:val="14"/>
                <w:szCs w:val="14"/>
                <w:color w:val="auto"/>
              </w:rPr>
              <w:t>The Ritz-Carlton</w:t>
            </w:r>
          </w:p>
        </w:tc>
        <w:tc>
          <w:tcPr>
            <w:tcW w:w="12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43</w:t>
            </w:r>
          </w:p>
        </w:tc>
        <w:tc>
          <w:tcPr>
            <w:tcW w:w="84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13,228</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84</w:t>
            </w:r>
          </w:p>
        </w:tc>
        <w:tc>
          <w:tcPr>
            <w:tcW w:w="960" w:type="dxa"/>
            <w:vAlign w:val="bottom"/>
            <w:tcBorders>
              <w:bottom w:val="single" w:sz="8" w:color="auto"/>
              <w:right w:val="single" w:sz="8" w:color="auto"/>
            </w:tcBorders>
          </w:tcPr>
          <w:p>
            <w:pPr>
              <w:jc w:val="right"/>
              <w:ind w:right="28"/>
              <w:spacing w:after="0"/>
              <w:rPr>
                <w:sz w:val="20"/>
                <w:szCs w:val="20"/>
                <w:color w:val="auto"/>
              </w:rPr>
            </w:pPr>
            <w:r>
              <w:rPr>
                <w:rFonts w:ascii="Arial" w:cs="Arial" w:eastAsia="Arial" w:hAnsi="Arial"/>
                <w:sz w:val="14"/>
                <w:szCs w:val="14"/>
                <w:color w:val="auto"/>
              </w:rPr>
              <w:t>19,253</w:t>
            </w:r>
          </w:p>
        </w:tc>
        <w:tc>
          <w:tcPr>
            <w:tcW w:w="11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127</w:t>
            </w:r>
          </w:p>
        </w:tc>
        <w:tc>
          <w:tcPr>
            <w:tcW w:w="9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32,481</w:t>
            </w:r>
          </w:p>
        </w:tc>
      </w:tr>
      <w:tr>
        <w:trPr>
          <w:trHeight w:val="196"/>
        </w:trPr>
        <w:tc>
          <w:tcPr>
            <w:tcW w:w="4180" w:type="dxa"/>
            <w:vAlign w:val="bottom"/>
            <w:tcBorders>
              <w:left w:val="single" w:sz="8" w:color="auto"/>
              <w:bottom w:val="single" w:sz="8" w:color="auto"/>
              <w:right w:val="single" w:sz="8" w:color="auto"/>
            </w:tcBorders>
          </w:tcPr>
          <w:p>
            <w:pPr>
              <w:ind w:left="300"/>
              <w:spacing w:after="0"/>
              <w:rPr>
                <w:sz w:val="20"/>
                <w:szCs w:val="20"/>
                <w:color w:val="auto"/>
              </w:rPr>
            </w:pPr>
            <w:r>
              <w:rPr>
                <w:rFonts w:ascii="Arial" w:cs="Arial" w:eastAsia="Arial" w:hAnsi="Arial"/>
                <w:sz w:val="14"/>
                <w:szCs w:val="14"/>
                <w:color w:val="auto"/>
              </w:rPr>
              <w:t>The Ritz-Carlton Residences</w:t>
            </w:r>
          </w:p>
        </w:tc>
        <w:tc>
          <w:tcPr>
            <w:tcW w:w="12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45</w:t>
            </w:r>
          </w:p>
        </w:tc>
        <w:tc>
          <w:tcPr>
            <w:tcW w:w="84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5,031</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23</w:t>
            </w:r>
          </w:p>
        </w:tc>
        <w:tc>
          <w:tcPr>
            <w:tcW w:w="960" w:type="dxa"/>
            <w:vAlign w:val="bottom"/>
            <w:tcBorders>
              <w:bottom w:val="single" w:sz="8" w:color="auto"/>
              <w:right w:val="single" w:sz="8" w:color="auto"/>
            </w:tcBorders>
          </w:tcPr>
          <w:p>
            <w:pPr>
              <w:jc w:val="right"/>
              <w:ind w:right="28"/>
              <w:spacing w:after="0"/>
              <w:rPr>
                <w:sz w:val="20"/>
                <w:szCs w:val="20"/>
                <w:color w:val="auto"/>
              </w:rPr>
            </w:pPr>
            <w:r>
              <w:rPr>
                <w:rFonts w:ascii="Arial" w:cs="Arial" w:eastAsia="Arial" w:hAnsi="Arial"/>
                <w:sz w:val="14"/>
                <w:szCs w:val="14"/>
                <w:color w:val="auto"/>
              </w:rPr>
              <w:t>1,928</w:t>
            </w:r>
          </w:p>
        </w:tc>
        <w:tc>
          <w:tcPr>
            <w:tcW w:w="11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68</w:t>
            </w:r>
          </w:p>
        </w:tc>
        <w:tc>
          <w:tcPr>
            <w:tcW w:w="9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6,959</w:t>
            </w:r>
          </w:p>
        </w:tc>
      </w:tr>
      <w:tr>
        <w:trPr>
          <w:trHeight w:val="196"/>
        </w:trPr>
        <w:tc>
          <w:tcPr>
            <w:tcW w:w="4180" w:type="dxa"/>
            <w:vAlign w:val="bottom"/>
            <w:tcBorders>
              <w:left w:val="single" w:sz="8" w:color="auto"/>
              <w:bottom w:val="single" w:sz="8" w:color="auto"/>
              <w:right w:val="single" w:sz="8" w:color="auto"/>
            </w:tcBorders>
          </w:tcPr>
          <w:p>
            <w:pPr>
              <w:ind w:left="300"/>
              <w:spacing w:after="0"/>
              <w:rPr>
                <w:sz w:val="20"/>
                <w:szCs w:val="20"/>
                <w:color w:val="auto"/>
              </w:rPr>
            </w:pPr>
            <w:r>
              <w:rPr>
                <w:rFonts w:ascii="Arial" w:cs="Arial" w:eastAsia="Arial" w:hAnsi="Arial"/>
                <w:sz w:val="14"/>
                <w:szCs w:val="14"/>
                <w:color w:val="auto"/>
              </w:rPr>
              <w:t>The Ritz-Carlton Yacht Collection*</w:t>
            </w:r>
          </w:p>
        </w:tc>
        <w:tc>
          <w:tcPr>
            <w:tcW w:w="12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w:t>
            </w:r>
          </w:p>
        </w:tc>
        <w:tc>
          <w:tcPr>
            <w:tcW w:w="960" w:type="dxa"/>
            <w:vAlign w:val="bottom"/>
            <w:tcBorders>
              <w:bottom w:val="single" w:sz="8" w:color="auto"/>
              <w:right w:val="single" w:sz="8" w:color="auto"/>
            </w:tcBorders>
          </w:tcPr>
          <w:p>
            <w:pPr>
              <w:jc w:val="right"/>
              <w:ind w:right="28"/>
              <w:spacing w:after="0"/>
              <w:rPr>
                <w:sz w:val="20"/>
                <w:szCs w:val="20"/>
                <w:color w:val="auto"/>
              </w:rPr>
            </w:pPr>
            <w:r>
              <w:rPr>
                <w:rFonts w:ascii="Arial" w:cs="Arial" w:eastAsia="Arial" w:hAnsi="Arial"/>
                <w:sz w:val="14"/>
                <w:szCs w:val="14"/>
                <w:color w:val="auto"/>
              </w:rPr>
              <w:t>603</w:t>
            </w:r>
          </w:p>
        </w:tc>
        <w:tc>
          <w:tcPr>
            <w:tcW w:w="11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w:t>
            </w:r>
          </w:p>
        </w:tc>
        <w:tc>
          <w:tcPr>
            <w:tcW w:w="9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603</w:t>
            </w:r>
          </w:p>
        </w:tc>
      </w:tr>
      <w:tr>
        <w:trPr>
          <w:trHeight w:val="196"/>
        </w:trPr>
        <w:tc>
          <w:tcPr>
            <w:tcW w:w="4180" w:type="dxa"/>
            <w:vAlign w:val="bottom"/>
            <w:tcBorders>
              <w:left w:val="single" w:sz="8" w:color="auto"/>
              <w:bottom w:val="single" w:sz="8" w:color="auto"/>
              <w:right w:val="single" w:sz="8" w:color="auto"/>
            </w:tcBorders>
          </w:tcPr>
          <w:p>
            <w:pPr>
              <w:ind w:left="300"/>
              <w:spacing w:after="0"/>
              <w:rPr>
                <w:sz w:val="20"/>
                <w:szCs w:val="20"/>
                <w:color w:val="auto"/>
              </w:rPr>
            </w:pPr>
            <w:r>
              <w:rPr>
                <w:rFonts w:ascii="Arial" w:cs="Arial" w:eastAsia="Arial" w:hAnsi="Arial"/>
                <w:sz w:val="14"/>
                <w:szCs w:val="14"/>
                <w:color w:val="auto"/>
              </w:rPr>
              <w:t>W Hotels</w:t>
            </w:r>
          </w:p>
        </w:tc>
        <w:tc>
          <w:tcPr>
            <w:tcW w:w="12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23</w:t>
            </w:r>
          </w:p>
        </w:tc>
        <w:tc>
          <w:tcPr>
            <w:tcW w:w="84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7,282</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49</w:t>
            </w:r>
          </w:p>
        </w:tc>
        <w:tc>
          <w:tcPr>
            <w:tcW w:w="960" w:type="dxa"/>
            <w:vAlign w:val="bottom"/>
            <w:tcBorders>
              <w:bottom w:val="single" w:sz="8" w:color="auto"/>
              <w:right w:val="single" w:sz="8" w:color="auto"/>
            </w:tcBorders>
          </w:tcPr>
          <w:p>
            <w:pPr>
              <w:jc w:val="right"/>
              <w:ind w:right="28"/>
              <w:spacing w:after="0"/>
              <w:rPr>
                <w:sz w:val="20"/>
                <w:szCs w:val="20"/>
                <w:color w:val="auto"/>
              </w:rPr>
            </w:pPr>
            <w:r>
              <w:rPr>
                <w:rFonts w:ascii="Arial" w:cs="Arial" w:eastAsia="Arial" w:hAnsi="Arial"/>
                <w:sz w:val="14"/>
                <w:szCs w:val="14"/>
                <w:color w:val="auto"/>
              </w:rPr>
              <w:t>12,951</w:t>
            </w:r>
          </w:p>
        </w:tc>
        <w:tc>
          <w:tcPr>
            <w:tcW w:w="11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72</w:t>
            </w:r>
          </w:p>
        </w:tc>
        <w:tc>
          <w:tcPr>
            <w:tcW w:w="9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20,233</w:t>
            </w:r>
          </w:p>
        </w:tc>
      </w:tr>
      <w:tr>
        <w:trPr>
          <w:trHeight w:val="196"/>
        </w:trPr>
        <w:tc>
          <w:tcPr>
            <w:tcW w:w="4180" w:type="dxa"/>
            <w:vAlign w:val="bottom"/>
            <w:tcBorders>
              <w:left w:val="single" w:sz="8" w:color="auto"/>
              <w:bottom w:val="single" w:sz="8" w:color="auto"/>
              <w:right w:val="single" w:sz="8" w:color="auto"/>
            </w:tcBorders>
          </w:tcPr>
          <w:p>
            <w:pPr>
              <w:ind w:left="300"/>
              <w:spacing w:after="0"/>
              <w:rPr>
                <w:sz w:val="20"/>
                <w:szCs w:val="20"/>
                <w:color w:val="auto"/>
              </w:rPr>
            </w:pPr>
            <w:r>
              <w:rPr>
                <w:rFonts w:ascii="Arial" w:cs="Arial" w:eastAsia="Arial" w:hAnsi="Arial"/>
                <w:sz w:val="14"/>
                <w:szCs w:val="14"/>
                <w:color w:val="auto"/>
              </w:rPr>
              <w:t>W Residences</w:t>
            </w:r>
          </w:p>
        </w:tc>
        <w:tc>
          <w:tcPr>
            <w:tcW w:w="12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9</w:t>
            </w:r>
          </w:p>
        </w:tc>
        <w:tc>
          <w:tcPr>
            <w:tcW w:w="84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869</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8</w:t>
            </w:r>
          </w:p>
        </w:tc>
        <w:tc>
          <w:tcPr>
            <w:tcW w:w="960" w:type="dxa"/>
            <w:vAlign w:val="bottom"/>
            <w:tcBorders>
              <w:bottom w:val="single" w:sz="8" w:color="auto"/>
              <w:right w:val="single" w:sz="8" w:color="auto"/>
            </w:tcBorders>
          </w:tcPr>
          <w:p>
            <w:pPr>
              <w:jc w:val="right"/>
              <w:ind w:right="28"/>
              <w:spacing w:after="0"/>
              <w:rPr>
                <w:sz w:val="20"/>
                <w:szCs w:val="20"/>
                <w:color w:val="auto"/>
              </w:rPr>
            </w:pPr>
            <w:r>
              <w:rPr>
                <w:rFonts w:ascii="Arial" w:cs="Arial" w:eastAsia="Arial" w:hAnsi="Arial"/>
                <w:sz w:val="14"/>
                <w:szCs w:val="14"/>
                <w:color w:val="auto"/>
              </w:rPr>
              <w:t>768</w:t>
            </w:r>
          </w:p>
        </w:tc>
        <w:tc>
          <w:tcPr>
            <w:tcW w:w="11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17</w:t>
            </w:r>
          </w:p>
        </w:tc>
        <w:tc>
          <w:tcPr>
            <w:tcW w:w="9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1,637</w:t>
            </w:r>
          </w:p>
        </w:tc>
      </w:tr>
      <w:tr>
        <w:trPr>
          <w:trHeight w:val="196"/>
        </w:trPr>
        <w:tc>
          <w:tcPr>
            <w:tcW w:w="4180" w:type="dxa"/>
            <w:vAlign w:val="bottom"/>
            <w:tcBorders>
              <w:left w:val="single" w:sz="8" w:color="auto"/>
              <w:bottom w:val="single" w:sz="8" w:color="auto"/>
              <w:right w:val="single" w:sz="8" w:color="auto"/>
            </w:tcBorders>
          </w:tcPr>
          <w:p>
            <w:pPr>
              <w:ind w:left="300"/>
              <w:spacing w:after="0"/>
              <w:rPr>
                <w:sz w:val="20"/>
                <w:szCs w:val="20"/>
                <w:color w:val="auto"/>
              </w:rPr>
            </w:pPr>
            <w:r>
              <w:rPr>
                <w:rFonts w:ascii="Arial" w:cs="Arial" w:eastAsia="Arial" w:hAnsi="Arial"/>
                <w:sz w:val="14"/>
                <w:szCs w:val="14"/>
                <w:color w:val="auto"/>
              </w:rPr>
              <w:t>St. Regis</w:t>
            </w:r>
          </w:p>
        </w:tc>
        <w:tc>
          <w:tcPr>
            <w:tcW w:w="12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13</w:t>
            </w:r>
          </w:p>
        </w:tc>
        <w:tc>
          <w:tcPr>
            <w:tcW w:w="84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2,608</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53</w:t>
            </w:r>
          </w:p>
        </w:tc>
        <w:tc>
          <w:tcPr>
            <w:tcW w:w="960" w:type="dxa"/>
            <w:vAlign w:val="bottom"/>
            <w:tcBorders>
              <w:bottom w:val="single" w:sz="8" w:color="auto"/>
              <w:right w:val="single" w:sz="8" w:color="auto"/>
            </w:tcBorders>
          </w:tcPr>
          <w:p>
            <w:pPr>
              <w:jc w:val="right"/>
              <w:ind w:right="28"/>
              <w:spacing w:after="0"/>
              <w:rPr>
                <w:sz w:val="20"/>
                <w:szCs w:val="20"/>
                <w:color w:val="auto"/>
              </w:rPr>
            </w:pPr>
            <w:r>
              <w:rPr>
                <w:rFonts w:ascii="Arial" w:cs="Arial" w:eastAsia="Arial" w:hAnsi="Arial"/>
                <w:sz w:val="14"/>
                <w:szCs w:val="14"/>
                <w:color w:val="auto"/>
              </w:rPr>
              <w:t>11,568</w:t>
            </w:r>
          </w:p>
        </w:tc>
        <w:tc>
          <w:tcPr>
            <w:tcW w:w="11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66</w:t>
            </w:r>
          </w:p>
        </w:tc>
        <w:tc>
          <w:tcPr>
            <w:tcW w:w="9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14,176</w:t>
            </w:r>
          </w:p>
        </w:tc>
      </w:tr>
      <w:tr>
        <w:trPr>
          <w:trHeight w:val="196"/>
        </w:trPr>
        <w:tc>
          <w:tcPr>
            <w:tcW w:w="4180" w:type="dxa"/>
            <w:vAlign w:val="bottom"/>
            <w:tcBorders>
              <w:left w:val="single" w:sz="8" w:color="auto"/>
              <w:bottom w:val="single" w:sz="8" w:color="auto"/>
              <w:right w:val="single" w:sz="8" w:color="auto"/>
            </w:tcBorders>
          </w:tcPr>
          <w:p>
            <w:pPr>
              <w:ind w:left="300"/>
              <w:spacing w:after="0"/>
              <w:rPr>
                <w:sz w:val="20"/>
                <w:szCs w:val="20"/>
                <w:color w:val="auto"/>
              </w:rPr>
            </w:pPr>
            <w:r>
              <w:rPr>
                <w:rFonts w:ascii="Arial" w:cs="Arial" w:eastAsia="Arial" w:hAnsi="Arial"/>
                <w:sz w:val="14"/>
                <w:szCs w:val="14"/>
                <w:color w:val="auto"/>
              </w:rPr>
              <w:t>St. Regis Residences</w:t>
            </w:r>
          </w:p>
        </w:tc>
        <w:tc>
          <w:tcPr>
            <w:tcW w:w="12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11</w:t>
            </w:r>
          </w:p>
        </w:tc>
        <w:tc>
          <w:tcPr>
            <w:tcW w:w="84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1,279</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14</w:t>
            </w:r>
          </w:p>
        </w:tc>
        <w:tc>
          <w:tcPr>
            <w:tcW w:w="960" w:type="dxa"/>
            <w:vAlign w:val="bottom"/>
            <w:tcBorders>
              <w:bottom w:val="single" w:sz="8" w:color="auto"/>
              <w:right w:val="single" w:sz="8" w:color="auto"/>
            </w:tcBorders>
          </w:tcPr>
          <w:p>
            <w:pPr>
              <w:jc w:val="right"/>
              <w:ind w:right="28"/>
              <w:spacing w:after="0"/>
              <w:rPr>
                <w:sz w:val="20"/>
                <w:szCs w:val="20"/>
                <w:color w:val="auto"/>
              </w:rPr>
            </w:pPr>
            <w:r>
              <w:rPr>
                <w:rFonts w:ascii="Arial" w:cs="Arial" w:eastAsia="Arial" w:hAnsi="Arial"/>
                <w:sz w:val="14"/>
                <w:szCs w:val="14"/>
                <w:color w:val="auto"/>
              </w:rPr>
              <w:t>1,916</w:t>
            </w:r>
          </w:p>
        </w:tc>
        <w:tc>
          <w:tcPr>
            <w:tcW w:w="11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25</w:t>
            </w:r>
          </w:p>
        </w:tc>
        <w:tc>
          <w:tcPr>
            <w:tcW w:w="9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3,195</w:t>
            </w:r>
          </w:p>
        </w:tc>
      </w:tr>
      <w:tr>
        <w:trPr>
          <w:trHeight w:val="196"/>
        </w:trPr>
        <w:tc>
          <w:tcPr>
            <w:tcW w:w="4180" w:type="dxa"/>
            <w:vAlign w:val="bottom"/>
            <w:tcBorders>
              <w:left w:val="single" w:sz="8" w:color="auto"/>
              <w:bottom w:val="single" w:sz="8" w:color="auto"/>
              <w:right w:val="single" w:sz="8" w:color="auto"/>
            </w:tcBorders>
          </w:tcPr>
          <w:p>
            <w:pPr>
              <w:ind w:left="300"/>
              <w:spacing w:after="0"/>
              <w:rPr>
                <w:sz w:val="20"/>
                <w:szCs w:val="20"/>
                <w:color w:val="auto"/>
              </w:rPr>
            </w:pPr>
            <w:r>
              <w:rPr>
                <w:rFonts w:ascii="Arial" w:cs="Arial" w:eastAsia="Arial" w:hAnsi="Arial"/>
                <w:sz w:val="14"/>
                <w:szCs w:val="14"/>
                <w:color w:val="auto"/>
              </w:rPr>
              <w:t>EDITION</w:t>
            </w:r>
          </w:p>
        </w:tc>
        <w:tc>
          <w:tcPr>
            <w:tcW w:w="12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5</w:t>
            </w:r>
          </w:p>
        </w:tc>
        <w:tc>
          <w:tcPr>
            <w:tcW w:w="84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1,379</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17</w:t>
            </w:r>
          </w:p>
        </w:tc>
        <w:tc>
          <w:tcPr>
            <w:tcW w:w="960" w:type="dxa"/>
            <w:vAlign w:val="bottom"/>
            <w:tcBorders>
              <w:bottom w:val="single" w:sz="8" w:color="auto"/>
              <w:right w:val="single" w:sz="8" w:color="auto"/>
            </w:tcBorders>
          </w:tcPr>
          <w:p>
            <w:pPr>
              <w:jc w:val="right"/>
              <w:ind w:right="28"/>
              <w:spacing w:after="0"/>
              <w:rPr>
                <w:sz w:val="20"/>
                <w:szCs w:val="20"/>
                <w:color w:val="auto"/>
              </w:rPr>
            </w:pPr>
            <w:r>
              <w:rPr>
                <w:rFonts w:ascii="Arial" w:cs="Arial" w:eastAsia="Arial" w:hAnsi="Arial"/>
                <w:sz w:val="14"/>
                <w:szCs w:val="14"/>
                <w:color w:val="auto"/>
              </w:rPr>
              <w:t>3,238</w:t>
            </w:r>
          </w:p>
        </w:tc>
        <w:tc>
          <w:tcPr>
            <w:tcW w:w="11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22</w:t>
            </w:r>
          </w:p>
        </w:tc>
        <w:tc>
          <w:tcPr>
            <w:tcW w:w="9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4,617</w:t>
            </w:r>
          </w:p>
        </w:tc>
      </w:tr>
      <w:tr>
        <w:trPr>
          <w:trHeight w:val="196"/>
        </w:trPr>
        <w:tc>
          <w:tcPr>
            <w:tcW w:w="4180" w:type="dxa"/>
            <w:vAlign w:val="bottom"/>
            <w:tcBorders>
              <w:left w:val="single" w:sz="8" w:color="auto"/>
              <w:bottom w:val="single" w:sz="8" w:color="auto"/>
              <w:right w:val="single" w:sz="8" w:color="auto"/>
            </w:tcBorders>
          </w:tcPr>
          <w:p>
            <w:pPr>
              <w:ind w:left="300"/>
              <w:spacing w:after="0"/>
              <w:rPr>
                <w:sz w:val="20"/>
                <w:szCs w:val="20"/>
                <w:color w:val="auto"/>
              </w:rPr>
            </w:pPr>
            <w:r>
              <w:rPr>
                <w:rFonts w:ascii="Arial" w:cs="Arial" w:eastAsia="Arial" w:hAnsi="Arial"/>
                <w:sz w:val="14"/>
                <w:szCs w:val="14"/>
                <w:color w:val="auto"/>
              </w:rPr>
              <w:t>EDITION Residences</w:t>
            </w:r>
          </w:p>
        </w:tc>
        <w:tc>
          <w:tcPr>
            <w:tcW w:w="12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3</w:t>
            </w:r>
          </w:p>
        </w:tc>
        <w:tc>
          <w:tcPr>
            <w:tcW w:w="84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82</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w:t>
            </w:r>
          </w:p>
        </w:tc>
        <w:tc>
          <w:tcPr>
            <w:tcW w:w="960" w:type="dxa"/>
            <w:vAlign w:val="bottom"/>
            <w:tcBorders>
              <w:bottom w:val="single" w:sz="8" w:color="auto"/>
              <w:right w:val="single" w:sz="8" w:color="auto"/>
            </w:tcBorders>
          </w:tcPr>
          <w:p>
            <w:pPr>
              <w:jc w:val="right"/>
              <w:ind w:right="28"/>
              <w:spacing w:after="0"/>
              <w:rPr>
                <w:sz w:val="20"/>
                <w:szCs w:val="20"/>
                <w:color w:val="auto"/>
              </w:rPr>
            </w:pPr>
            <w:r>
              <w:rPr>
                <w:rFonts w:ascii="Arial" w:cs="Arial" w:eastAsia="Arial" w:hAnsi="Arial"/>
                <w:sz w:val="14"/>
                <w:szCs w:val="14"/>
                <w:color w:val="auto"/>
              </w:rPr>
              <w:t>10</w:t>
            </w:r>
          </w:p>
        </w:tc>
        <w:tc>
          <w:tcPr>
            <w:tcW w:w="11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w:t>
            </w:r>
          </w:p>
        </w:tc>
        <w:tc>
          <w:tcPr>
            <w:tcW w:w="9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92</w:t>
            </w:r>
          </w:p>
        </w:tc>
      </w:tr>
      <w:tr>
        <w:trPr>
          <w:trHeight w:val="196"/>
        </w:trPr>
        <w:tc>
          <w:tcPr>
            <w:tcW w:w="4180" w:type="dxa"/>
            <w:vAlign w:val="bottom"/>
            <w:tcBorders>
              <w:left w:val="single" w:sz="8" w:color="auto"/>
              <w:bottom w:val="single" w:sz="8" w:color="auto"/>
              <w:right w:val="single" w:sz="8" w:color="auto"/>
            </w:tcBorders>
          </w:tcPr>
          <w:p>
            <w:pPr>
              <w:ind w:left="300"/>
              <w:spacing w:after="0"/>
              <w:rPr>
                <w:sz w:val="20"/>
                <w:szCs w:val="20"/>
                <w:color w:val="auto"/>
              </w:rPr>
            </w:pPr>
            <w:r>
              <w:rPr>
                <w:rFonts w:ascii="Arial" w:cs="Arial" w:eastAsia="Arial" w:hAnsi="Arial"/>
                <w:sz w:val="14"/>
                <w:szCs w:val="14"/>
                <w:color w:val="auto"/>
              </w:rPr>
              <w:t>Bvlgari</w:t>
            </w:r>
          </w:p>
        </w:tc>
        <w:tc>
          <w:tcPr>
            <w:tcW w:w="12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9</w:t>
            </w:r>
          </w:p>
        </w:tc>
        <w:tc>
          <w:tcPr>
            <w:tcW w:w="960" w:type="dxa"/>
            <w:vAlign w:val="bottom"/>
            <w:tcBorders>
              <w:bottom w:val="single" w:sz="8" w:color="auto"/>
              <w:right w:val="single" w:sz="8" w:color="auto"/>
            </w:tcBorders>
          </w:tcPr>
          <w:p>
            <w:pPr>
              <w:jc w:val="right"/>
              <w:ind w:right="28"/>
              <w:spacing w:after="0"/>
              <w:rPr>
                <w:sz w:val="20"/>
                <w:szCs w:val="20"/>
                <w:color w:val="auto"/>
              </w:rPr>
            </w:pPr>
            <w:r>
              <w:rPr>
                <w:rFonts w:ascii="Arial" w:cs="Arial" w:eastAsia="Arial" w:hAnsi="Arial"/>
                <w:sz w:val="14"/>
                <w:szCs w:val="14"/>
                <w:color w:val="auto"/>
              </w:rPr>
              <w:t>807</w:t>
            </w:r>
          </w:p>
        </w:tc>
        <w:tc>
          <w:tcPr>
            <w:tcW w:w="11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9</w:t>
            </w:r>
          </w:p>
        </w:tc>
        <w:tc>
          <w:tcPr>
            <w:tcW w:w="9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807</w:t>
            </w:r>
          </w:p>
        </w:tc>
      </w:tr>
      <w:tr>
        <w:trPr>
          <w:trHeight w:val="196"/>
        </w:trPr>
        <w:tc>
          <w:tcPr>
            <w:tcW w:w="4180" w:type="dxa"/>
            <w:vAlign w:val="bottom"/>
            <w:tcBorders>
              <w:left w:val="single" w:sz="8" w:color="auto"/>
              <w:bottom w:val="single" w:sz="8" w:color="auto"/>
              <w:right w:val="single" w:sz="8" w:color="auto"/>
            </w:tcBorders>
          </w:tcPr>
          <w:p>
            <w:pPr>
              <w:ind w:left="300"/>
              <w:spacing w:after="0"/>
              <w:rPr>
                <w:sz w:val="20"/>
                <w:szCs w:val="20"/>
                <w:color w:val="auto"/>
              </w:rPr>
            </w:pPr>
            <w:r>
              <w:rPr>
                <w:rFonts w:ascii="Arial" w:cs="Arial" w:eastAsia="Arial" w:hAnsi="Arial"/>
                <w:sz w:val="14"/>
                <w:szCs w:val="14"/>
                <w:color w:val="auto"/>
              </w:rPr>
              <w:t>Bvlgari Residences</w:t>
            </w:r>
          </w:p>
        </w:tc>
        <w:tc>
          <w:tcPr>
            <w:tcW w:w="12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5</w:t>
            </w:r>
          </w:p>
        </w:tc>
        <w:tc>
          <w:tcPr>
            <w:tcW w:w="960" w:type="dxa"/>
            <w:vAlign w:val="bottom"/>
            <w:tcBorders>
              <w:bottom w:val="single" w:sz="8" w:color="auto"/>
              <w:right w:val="single" w:sz="8" w:color="auto"/>
            </w:tcBorders>
          </w:tcPr>
          <w:p>
            <w:pPr>
              <w:jc w:val="right"/>
              <w:ind w:right="28"/>
              <w:spacing w:after="0"/>
              <w:rPr>
                <w:sz w:val="20"/>
                <w:szCs w:val="20"/>
                <w:color w:val="auto"/>
              </w:rPr>
            </w:pPr>
            <w:r>
              <w:rPr>
                <w:rFonts w:ascii="Arial" w:cs="Arial" w:eastAsia="Arial" w:hAnsi="Arial"/>
                <w:sz w:val="14"/>
                <w:szCs w:val="14"/>
                <w:color w:val="auto"/>
              </w:rPr>
              <w:t>526</w:t>
            </w:r>
          </w:p>
        </w:tc>
        <w:tc>
          <w:tcPr>
            <w:tcW w:w="11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5</w:t>
            </w:r>
          </w:p>
        </w:tc>
        <w:tc>
          <w:tcPr>
            <w:tcW w:w="9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526</w:t>
            </w:r>
          </w:p>
        </w:tc>
      </w:tr>
      <w:tr>
        <w:trPr>
          <w:trHeight w:val="199"/>
        </w:trPr>
        <w:tc>
          <w:tcPr>
            <w:tcW w:w="4180" w:type="dxa"/>
            <w:vAlign w:val="bottom"/>
            <w:tcBorders>
              <w:left w:val="single" w:sz="8" w:color="auto"/>
              <w:bottom w:val="single" w:sz="8" w:color="auto"/>
              <w:right w:val="single" w:sz="8" w:color="auto"/>
            </w:tcBorders>
            <w:shd w:val="clear" w:color="auto" w:fill="D9D9D9"/>
          </w:tcPr>
          <w:p>
            <w:pPr>
              <w:ind w:left="40"/>
              <w:spacing w:after="0"/>
              <w:rPr>
                <w:sz w:val="20"/>
                <w:szCs w:val="20"/>
                <w:color w:val="auto"/>
              </w:rPr>
            </w:pPr>
            <w:r>
              <w:rPr>
                <w:rFonts w:ascii="Arial" w:cs="Arial" w:eastAsia="Arial" w:hAnsi="Arial"/>
                <w:sz w:val="14"/>
                <w:szCs w:val="14"/>
                <w:b w:val="1"/>
                <w:bCs w:val="1"/>
                <w:color w:val="auto"/>
              </w:rPr>
              <w:t>Premium</w:t>
            </w:r>
          </w:p>
        </w:tc>
        <w:tc>
          <w:tcPr>
            <w:tcW w:w="1260" w:type="dxa"/>
            <w:vAlign w:val="bottom"/>
            <w:tcBorders>
              <w:bottom w:val="single" w:sz="8" w:color="auto"/>
            </w:tcBorders>
            <w:shd w:val="clear" w:color="auto" w:fill="D9D9D9"/>
          </w:tcPr>
          <w:p>
            <w:pPr>
              <w:jc w:val="right"/>
              <w:ind w:right="208"/>
              <w:spacing w:after="0"/>
              <w:rPr>
                <w:sz w:val="20"/>
                <w:szCs w:val="20"/>
                <w:color w:val="auto"/>
              </w:rPr>
            </w:pPr>
            <w:r>
              <w:rPr>
                <w:rFonts w:ascii="Arial" w:cs="Arial" w:eastAsia="Arial" w:hAnsi="Arial"/>
                <w:sz w:val="14"/>
                <w:szCs w:val="14"/>
                <w:b w:val="1"/>
                <w:bCs w:val="1"/>
                <w:color w:val="auto"/>
              </w:rPr>
              <w:t>1,210</w:t>
            </w:r>
          </w:p>
        </w:tc>
        <w:tc>
          <w:tcPr>
            <w:tcW w:w="840" w:type="dxa"/>
            <w:vAlign w:val="bottom"/>
            <w:tcBorders>
              <w:bottom w:val="single" w:sz="8" w:color="auto"/>
              <w:right w:val="single" w:sz="8" w:color="auto"/>
            </w:tcBorders>
            <w:shd w:val="clear" w:color="auto" w:fill="D9D9D9"/>
          </w:tcPr>
          <w:p>
            <w:pPr>
              <w:jc w:val="right"/>
              <w:ind w:right="8"/>
              <w:spacing w:after="0"/>
              <w:rPr>
                <w:sz w:val="20"/>
                <w:szCs w:val="20"/>
                <w:color w:val="auto"/>
              </w:rPr>
            </w:pPr>
            <w:r>
              <w:rPr>
                <w:rFonts w:ascii="Arial" w:cs="Arial" w:eastAsia="Arial" w:hAnsi="Arial"/>
                <w:sz w:val="14"/>
                <w:szCs w:val="14"/>
                <w:b w:val="1"/>
                <w:bCs w:val="1"/>
                <w:color w:val="auto"/>
              </w:rPr>
              <w:t>410,074</w:t>
            </w:r>
          </w:p>
        </w:tc>
        <w:tc>
          <w:tcPr>
            <w:tcW w:w="1160" w:type="dxa"/>
            <w:vAlign w:val="bottom"/>
            <w:tcBorders>
              <w:bottom w:val="single" w:sz="8" w:color="auto"/>
            </w:tcBorders>
            <w:shd w:val="clear" w:color="auto" w:fill="D9D9D9"/>
          </w:tcPr>
          <w:p>
            <w:pPr>
              <w:jc w:val="right"/>
              <w:ind w:right="108"/>
              <w:spacing w:after="0"/>
              <w:rPr>
                <w:sz w:val="20"/>
                <w:szCs w:val="20"/>
                <w:color w:val="auto"/>
              </w:rPr>
            </w:pPr>
            <w:r>
              <w:rPr>
                <w:rFonts w:ascii="Arial" w:cs="Arial" w:eastAsia="Arial" w:hAnsi="Arial"/>
                <w:sz w:val="14"/>
                <w:szCs w:val="14"/>
                <w:b w:val="1"/>
                <w:bCs w:val="1"/>
                <w:color w:val="auto"/>
              </w:rPr>
              <w:t>1,457</w:t>
            </w:r>
          </w:p>
        </w:tc>
        <w:tc>
          <w:tcPr>
            <w:tcW w:w="960" w:type="dxa"/>
            <w:vAlign w:val="bottom"/>
            <w:tcBorders>
              <w:bottom w:val="single" w:sz="8" w:color="auto"/>
              <w:right w:val="single" w:sz="8" w:color="auto"/>
            </w:tcBorders>
            <w:shd w:val="clear" w:color="auto" w:fill="D9D9D9"/>
          </w:tcPr>
          <w:p>
            <w:pPr>
              <w:jc w:val="right"/>
              <w:ind w:right="28"/>
              <w:spacing w:after="0"/>
              <w:rPr>
                <w:sz w:val="20"/>
                <w:szCs w:val="20"/>
                <w:color w:val="auto"/>
              </w:rPr>
            </w:pPr>
            <w:r>
              <w:rPr>
                <w:rFonts w:ascii="Arial" w:cs="Arial" w:eastAsia="Arial" w:hAnsi="Arial"/>
                <w:sz w:val="14"/>
                <w:szCs w:val="14"/>
                <w:b w:val="1"/>
                <w:bCs w:val="1"/>
                <w:color w:val="auto"/>
              </w:rPr>
              <w:t>340,116</w:t>
            </w:r>
          </w:p>
        </w:tc>
        <w:tc>
          <w:tcPr>
            <w:tcW w:w="1140" w:type="dxa"/>
            <w:vAlign w:val="bottom"/>
            <w:tcBorders>
              <w:bottom w:val="single" w:sz="8" w:color="auto"/>
            </w:tcBorders>
            <w:shd w:val="clear" w:color="auto" w:fill="D9D9D9"/>
          </w:tcPr>
          <w:p>
            <w:pPr>
              <w:jc w:val="right"/>
              <w:ind w:right="108"/>
              <w:spacing w:after="0"/>
              <w:rPr>
                <w:sz w:val="20"/>
                <w:szCs w:val="20"/>
                <w:color w:val="auto"/>
              </w:rPr>
            </w:pPr>
            <w:r>
              <w:rPr>
                <w:rFonts w:ascii="Arial" w:cs="Arial" w:eastAsia="Arial" w:hAnsi="Arial"/>
                <w:sz w:val="14"/>
                <w:szCs w:val="14"/>
                <w:b w:val="1"/>
                <w:bCs w:val="1"/>
                <w:color w:val="auto"/>
              </w:rPr>
              <w:t>2,667</w:t>
            </w:r>
          </w:p>
        </w:tc>
        <w:tc>
          <w:tcPr>
            <w:tcW w:w="960" w:type="dxa"/>
            <w:vAlign w:val="bottom"/>
            <w:tcBorders>
              <w:bottom w:val="single" w:sz="8" w:color="auto"/>
              <w:right w:val="single" w:sz="8" w:color="auto"/>
            </w:tcBorders>
            <w:shd w:val="clear" w:color="auto" w:fill="D9D9D9"/>
          </w:tcPr>
          <w:p>
            <w:pPr>
              <w:jc w:val="right"/>
              <w:ind w:right="8"/>
              <w:spacing w:after="0"/>
              <w:rPr>
                <w:sz w:val="20"/>
                <w:szCs w:val="20"/>
                <w:color w:val="auto"/>
              </w:rPr>
            </w:pPr>
            <w:r>
              <w:rPr>
                <w:rFonts w:ascii="Arial" w:cs="Arial" w:eastAsia="Arial" w:hAnsi="Arial"/>
                <w:sz w:val="14"/>
                <w:szCs w:val="14"/>
                <w:b w:val="1"/>
                <w:bCs w:val="1"/>
                <w:color w:val="auto"/>
              </w:rPr>
              <w:t>750,190</w:t>
            </w:r>
          </w:p>
        </w:tc>
      </w:tr>
      <w:tr>
        <w:trPr>
          <w:trHeight w:val="193"/>
        </w:trPr>
        <w:tc>
          <w:tcPr>
            <w:tcW w:w="4180" w:type="dxa"/>
            <w:vAlign w:val="bottom"/>
            <w:tcBorders>
              <w:left w:val="single" w:sz="8" w:color="auto"/>
              <w:bottom w:val="single" w:sz="8" w:color="auto"/>
              <w:right w:val="single" w:sz="8" w:color="auto"/>
            </w:tcBorders>
          </w:tcPr>
          <w:p>
            <w:pPr>
              <w:ind w:left="300"/>
              <w:spacing w:after="0"/>
              <w:rPr>
                <w:sz w:val="20"/>
                <w:szCs w:val="20"/>
                <w:color w:val="auto"/>
              </w:rPr>
            </w:pPr>
            <w:r>
              <w:rPr>
                <w:rFonts w:ascii="Arial" w:cs="Arial" w:eastAsia="Arial" w:hAnsi="Arial"/>
                <w:sz w:val="14"/>
                <w:szCs w:val="14"/>
                <w:color w:val="auto"/>
              </w:rPr>
              <w:t>Marriott Hotels</w:t>
            </w:r>
          </w:p>
        </w:tc>
        <w:tc>
          <w:tcPr>
            <w:tcW w:w="12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338</w:t>
            </w:r>
          </w:p>
        </w:tc>
        <w:tc>
          <w:tcPr>
            <w:tcW w:w="84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132,927</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284</w:t>
            </w:r>
          </w:p>
        </w:tc>
        <w:tc>
          <w:tcPr>
            <w:tcW w:w="960" w:type="dxa"/>
            <w:vAlign w:val="bottom"/>
            <w:tcBorders>
              <w:bottom w:val="single" w:sz="8" w:color="auto"/>
              <w:right w:val="single" w:sz="8" w:color="auto"/>
            </w:tcBorders>
          </w:tcPr>
          <w:p>
            <w:pPr>
              <w:jc w:val="right"/>
              <w:ind w:right="28"/>
              <w:spacing w:after="0"/>
              <w:rPr>
                <w:sz w:val="20"/>
                <w:szCs w:val="20"/>
                <w:color w:val="auto"/>
              </w:rPr>
            </w:pPr>
            <w:r>
              <w:rPr>
                <w:rFonts w:ascii="Arial" w:cs="Arial" w:eastAsia="Arial" w:hAnsi="Arial"/>
                <w:sz w:val="14"/>
                <w:szCs w:val="14"/>
                <w:color w:val="auto"/>
              </w:rPr>
              <w:t>86,479</w:t>
            </w:r>
          </w:p>
        </w:tc>
        <w:tc>
          <w:tcPr>
            <w:tcW w:w="11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622</w:t>
            </w:r>
          </w:p>
        </w:tc>
        <w:tc>
          <w:tcPr>
            <w:tcW w:w="9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219,406</w:t>
            </w:r>
          </w:p>
        </w:tc>
      </w:tr>
      <w:tr>
        <w:trPr>
          <w:trHeight w:val="196"/>
        </w:trPr>
        <w:tc>
          <w:tcPr>
            <w:tcW w:w="4180" w:type="dxa"/>
            <w:vAlign w:val="bottom"/>
            <w:tcBorders>
              <w:left w:val="single" w:sz="8" w:color="auto"/>
              <w:bottom w:val="single" w:sz="8" w:color="auto"/>
              <w:right w:val="single" w:sz="8" w:color="auto"/>
            </w:tcBorders>
          </w:tcPr>
          <w:p>
            <w:pPr>
              <w:ind w:left="300"/>
              <w:spacing w:after="0"/>
              <w:rPr>
                <w:sz w:val="20"/>
                <w:szCs w:val="20"/>
                <w:color w:val="auto"/>
              </w:rPr>
            </w:pPr>
            <w:r>
              <w:rPr>
                <w:rFonts w:ascii="Arial" w:cs="Arial" w:eastAsia="Arial" w:hAnsi="Arial"/>
                <w:sz w:val="14"/>
                <w:szCs w:val="14"/>
                <w:color w:val="auto"/>
              </w:rPr>
              <w:t>Marriott Residences</w:t>
            </w:r>
          </w:p>
        </w:tc>
        <w:tc>
          <w:tcPr>
            <w:tcW w:w="12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5</w:t>
            </w:r>
          </w:p>
        </w:tc>
        <w:tc>
          <w:tcPr>
            <w:tcW w:w="960" w:type="dxa"/>
            <w:vAlign w:val="bottom"/>
            <w:tcBorders>
              <w:bottom w:val="single" w:sz="8" w:color="auto"/>
              <w:right w:val="single" w:sz="8" w:color="auto"/>
            </w:tcBorders>
          </w:tcPr>
          <w:p>
            <w:pPr>
              <w:jc w:val="right"/>
              <w:ind w:right="28"/>
              <w:spacing w:after="0"/>
              <w:rPr>
                <w:sz w:val="20"/>
                <w:szCs w:val="20"/>
                <w:color w:val="auto"/>
              </w:rPr>
            </w:pPr>
            <w:r>
              <w:rPr>
                <w:rFonts w:ascii="Arial" w:cs="Arial" w:eastAsia="Arial" w:hAnsi="Arial"/>
                <w:sz w:val="14"/>
                <w:szCs w:val="14"/>
                <w:color w:val="auto"/>
              </w:rPr>
              <w:t>1,283</w:t>
            </w:r>
          </w:p>
        </w:tc>
        <w:tc>
          <w:tcPr>
            <w:tcW w:w="11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5</w:t>
            </w:r>
          </w:p>
        </w:tc>
        <w:tc>
          <w:tcPr>
            <w:tcW w:w="9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1,283</w:t>
            </w:r>
          </w:p>
        </w:tc>
      </w:tr>
      <w:tr>
        <w:trPr>
          <w:trHeight w:val="196"/>
        </w:trPr>
        <w:tc>
          <w:tcPr>
            <w:tcW w:w="4180" w:type="dxa"/>
            <w:vAlign w:val="bottom"/>
            <w:tcBorders>
              <w:left w:val="single" w:sz="8" w:color="auto"/>
              <w:bottom w:val="single" w:sz="8" w:color="auto"/>
              <w:right w:val="single" w:sz="8" w:color="auto"/>
            </w:tcBorders>
          </w:tcPr>
          <w:p>
            <w:pPr>
              <w:ind w:left="300"/>
              <w:spacing w:after="0"/>
              <w:rPr>
                <w:sz w:val="20"/>
                <w:szCs w:val="20"/>
                <w:color w:val="auto"/>
              </w:rPr>
            </w:pPr>
            <w:r>
              <w:rPr>
                <w:rFonts w:ascii="Arial" w:cs="Arial" w:eastAsia="Arial" w:hAnsi="Arial"/>
                <w:sz w:val="14"/>
                <w:szCs w:val="14"/>
                <w:color w:val="auto"/>
              </w:rPr>
              <w:t>Sheraton</w:t>
            </w:r>
          </w:p>
        </w:tc>
        <w:tc>
          <w:tcPr>
            <w:tcW w:w="12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161</w:t>
            </w:r>
          </w:p>
        </w:tc>
        <w:tc>
          <w:tcPr>
            <w:tcW w:w="84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62,574</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269</w:t>
            </w:r>
          </w:p>
        </w:tc>
        <w:tc>
          <w:tcPr>
            <w:tcW w:w="960" w:type="dxa"/>
            <w:vAlign w:val="bottom"/>
            <w:tcBorders>
              <w:bottom w:val="single" w:sz="8" w:color="auto"/>
              <w:right w:val="single" w:sz="8" w:color="auto"/>
            </w:tcBorders>
          </w:tcPr>
          <w:p>
            <w:pPr>
              <w:jc w:val="right"/>
              <w:ind w:right="28"/>
              <w:spacing w:after="0"/>
              <w:rPr>
                <w:sz w:val="20"/>
                <w:szCs w:val="20"/>
                <w:color w:val="auto"/>
              </w:rPr>
            </w:pPr>
            <w:r>
              <w:rPr>
                <w:rFonts w:ascii="Arial" w:cs="Arial" w:eastAsia="Arial" w:hAnsi="Arial"/>
                <w:sz w:val="14"/>
                <w:szCs w:val="14"/>
                <w:color w:val="auto"/>
              </w:rPr>
              <w:t>83,627</w:t>
            </w:r>
          </w:p>
        </w:tc>
        <w:tc>
          <w:tcPr>
            <w:tcW w:w="11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430</w:t>
            </w:r>
          </w:p>
        </w:tc>
        <w:tc>
          <w:tcPr>
            <w:tcW w:w="9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146,201</w:t>
            </w:r>
          </w:p>
        </w:tc>
      </w:tr>
      <w:tr>
        <w:trPr>
          <w:trHeight w:val="196"/>
        </w:trPr>
        <w:tc>
          <w:tcPr>
            <w:tcW w:w="4180" w:type="dxa"/>
            <w:vAlign w:val="bottom"/>
            <w:tcBorders>
              <w:left w:val="single" w:sz="8" w:color="auto"/>
              <w:bottom w:val="single" w:sz="8" w:color="auto"/>
              <w:right w:val="single" w:sz="8" w:color="auto"/>
            </w:tcBorders>
          </w:tcPr>
          <w:p>
            <w:pPr>
              <w:ind w:left="300"/>
              <w:spacing w:after="0"/>
              <w:rPr>
                <w:sz w:val="20"/>
                <w:szCs w:val="20"/>
                <w:color w:val="auto"/>
              </w:rPr>
            </w:pPr>
            <w:r>
              <w:rPr>
                <w:rFonts w:ascii="Arial" w:cs="Arial" w:eastAsia="Arial" w:hAnsi="Arial"/>
                <w:sz w:val="14"/>
                <w:szCs w:val="14"/>
                <w:color w:val="auto"/>
              </w:rPr>
              <w:t>Sheraton Residences</w:t>
            </w:r>
          </w:p>
        </w:tc>
        <w:tc>
          <w:tcPr>
            <w:tcW w:w="12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w:t>
            </w:r>
          </w:p>
        </w:tc>
        <w:tc>
          <w:tcPr>
            <w:tcW w:w="960" w:type="dxa"/>
            <w:vAlign w:val="bottom"/>
            <w:tcBorders>
              <w:bottom w:val="single" w:sz="8" w:color="auto"/>
              <w:right w:val="single" w:sz="8" w:color="auto"/>
            </w:tcBorders>
          </w:tcPr>
          <w:p>
            <w:pPr>
              <w:jc w:val="right"/>
              <w:ind w:right="28"/>
              <w:spacing w:after="0"/>
              <w:rPr>
                <w:sz w:val="20"/>
                <w:szCs w:val="20"/>
                <w:color w:val="auto"/>
              </w:rPr>
            </w:pPr>
            <w:r>
              <w:rPr>
                <w:rFonts w:ascii="Arial" w:cs="Arial" w:eastAsia="Arial" w:hAnsi="Arial"/>
                <w:sz w:val="14"/>
                <w:szCs w:val="14"/>
                <w:color w:val="auto"/>
              </w:rPr>
              <w:t>472</w:t>
            </w:r>
          </w:p>
        </w:tc>
        <w:tc>
          <w:tcPr>
            <w:tcW w:w="11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w:t>
            </w:r>
          </w:p>
        </w:tc>
        <w:tc>
          <w:tcPr>
            <w:tcW w:w="9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472</w:t>
            </w:r>
          </w:p>
        </w:tc>
      </w:tr>
      <w:tr>
        <w:trPr>
          <w:trHeight w:val="196"/>
        </w:trPr>
        <w:tc>
          <w:tcPr>
            <w:tcW w:w="4180" w:type="dxa"/>
            <w:vAlign w:val="bottom"/>
            <w:tcBorders>
              <w:left w:val="single" w:sz="8" w:color="auto"/>
              <w:bottom w:val="single" w:sz="8" w:color="auto"/>
              <w:right w:val="single" w:sz="8" w:color="auto"/>
            </w:tcBorders>
          </w:tcPr>
          <w:p>
            <w:pPr>
              <w:ind w:left="300"/>
              <w:spacing w:after="0"/>
              <w:rPr>
                <w:sz w:val="20"/>
                <w:szCs w:val="20"/>
                <w:color w:val="auto"/>
              </w:rPr>
            </w:pPr>
            <w:r>
              <w:rPr>
                <w:rFonts w:ascii="Arial" w:cs="Arial" w:eastAsia="Arial" w:hAnsi="Arial"/>
                <w:sz w:val="14"/>
                <w:szCs w:val="14"/>
                <w:color w:val="auto"/>
              </w:rPr>
              <w:t>Westin</w:t>
            </w:r>
          </w:p>
        </w:tc>
        <w:tc>
          <w:tcPr>
            <w:tcW w:w="12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137</w:t>
            </w:r>
          </w:p>
        </w:tc>
        <w:tc>
          <w:tcPr>
            <w:tcW w:w="84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55,569</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114</w:t>
            </w:r>
          </w:p>
        </w:tc>
        <w:tc>
          <w:tcPr>
            <w:tcW w:w="960" w:type="dxa"/>
            <w:vAlign w:val="bottom"/>
            <w:tcBorders>
              <w:bottom w:val="single" w:sz="8" w:color="auto"/>
              <w:right w:val="single" w:sz="8" w:color="auto"/>
            </w:tcBorders>
          </w:tcPr>
          <w:p>
            <w:pPr>
              <w:jc w:val="right"/>
              <w:ind w:right="28"/>
              <w:spacing w:after="0"/>
              <w:rPr>
                <w:sz w:val="20"/>
                <w:szCs w:val="20"/>
                <w:color w:val="auto"/>
              </w:rPr>
            </w:pPr>
            <w:r>
              <w:rPr>
                <w:rFonts w:ascii="Arial" w:cs="Arial" w:eastAsia="Arial" w:hAnsi="Arial"/>
                <w:sz w:val="14"/>
                <w:szCs w:val="14"/>
                <w:color w:val="auto"/>
              </w:rPr>
              <w:t>34,354</w:t>
            </w:r>
          </w:p>
        </w:tc>
        <w:tc>
          <w:tcPr>
            <w:tcW w:w="11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251</w:t>
            </w:r>
          </w:p>
        </w:tc>
        <w:tc>
          <w:tcPr>
            <w:tcW w:w="9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89,923</w:t>
            </w:r>
          </w:p>
        </w:tc>
      </w:tr>
      <w:tr>
        <w:trPr>
          <w:trHeight w:val="196"/>
        </w:trPr>
        <w:tc>
          <w:tcPr>
            <w:tcW w:w="4180" w:type="dxa"/>
            <w:vAlign w:val="bottom"/>
            <w:tcBorders>
              <w:left w:val="single" w:sz="8" w:color="auto"/>
              <w:bottom w:val="single" w:sz="8" w:color="auto"/>
              <w:right w:val="single" w:sz="8" w:color="auto"/>
            </w:tcBorders>
          </w:tcPr>
          <w:p>
            <w:pPr>
              <w:ind w:left="300"/>
              <w:spacing w:after="0"/>
              <w:rPr>
                <w:sz w:val="20"/>
                <w:szCs w:val="20"/>
                <w:color w:val="auto"/>
              </w:rPr>
            </w:pPr>
            <w:r>
              <w:rPr>
                <w:rFonts w:ascii="Arial" w:cs="Arial" w:eastAsia="Arial" w:hAnsi="Arial"/>
                <w:sz w:val="14"/>
                <w:szCs w:val="14"/>
                <w:color w:val="auto"/>
              </w:rPr>
              <w:t>Westin Residences</w:t>
            </w:r>
          </w:p>
        </w:tc>
        <w:tc>
          <w:tcPr>
            <w:tcW w:w="12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3</w:t>
            </w:r>
          </w:p>
        </w:tc>
        <w:tc>
          <w:tcPr>
            <w:tcW w:w="84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266</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w:t>
            </w:r>
          </w:p>
        </w:tc>
        <w:tc>
          <w:tcPr>
            <w:tcW w:w="960" w:type="dxa"/>
            <w:vAlign w:val="bottom"/>
            <w:tcBorders>
              <w:bottom w:val="single" w:sz="8" w:color="auto"/>
              <w:right w:val="single" w:sz="8" w:color="auto"/>
            </w:tcBorders>
          </w:tcPr>
          <w:p>
            <w:pPr>
              <w:jc w:val="right"/>
              <w:ind w:right="28"/>
              <w:spacing w:after="0"/>
              <w:rPr>
                <w:sz w:val="20"/>
                <w:szCs w:val="20"/>
                <w:color w:val="auto"/>
              </w:rPr>
            </w:pPr>
            <w:r>
              <w:rPr>
                <w:rFonts w:ascii="Arial" w:cs="Arial" w:eastAsia="Arial" w:hAnsi="Arial"/>
                <w:sz w:val="14"/>
                <w:szCs w:val="14"/>
                <w:color w:val="auto"/>
              </w:rPr>
              <w:t>413</w:t>
            </w:r>
          </w:p>
        </w:tc>
        <w:tc>
          <w:tcPr>
            <w:tcW w:w="11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6</w:t>
            </w:r>
          </w:p>
        </w:tc>
        <w:tc>
          <w:tcPr>
            <w:tcW w:w="9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679</w:t>
            </w:r>
          </w:p>
        </w:tc>
      </w:tr>
      <w:tr>
        <w:trPr>
          <w:trHeight w:val="196"/>
        </w:trPr>
        <w:tc>
          <w:tcPr>
            <w:tcW w:w="4180" w:type="dxa"/>
            <w:vAlign w:val="bottom"/>
            <w:tcBorders>
              <w:left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4"/>
                <w:szCs w:val="14"/>
                <w:color w:val="auto"/>
              </w:rPr>
              <w:t>Autograph Collection</w:t>
            </w:r>
          </w:p>
        </w:tc>
        <w:tc>
          <w:tcPr>
            <w:tcW w:w="12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173</w:t>
            </w:r>
          </w:p>
        </w:tc>
        <w:tc>
          <w:tcPr>
            <w:tcW w:w="84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39,578</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194</w:t>
            </w:r>
          </w:p>
        </w:tc>
        <w:tc>
          <w:tcPr>
            <w:tcW w:w="960" w:type="dxa"/>
            <w:vAlign w:val="bottom"/>
            <w:tcBorders>
              <w:bottom w:val="single" w:sz="8" w:color="auto"/>
              <w:right w:val="single" w:sz="8" w:color="auto"/>
            </w:tcBorders>
          </w:tcPr>
          <w:p>
            <w:pPr>
              <w:jc w:val="right"/>
              <w:ind w:right="28"/>
              <w:spacing w:after="0"/>
              <w:rPr>
                <w:sz w:val="20"/>
                <w:szCs w:val="20"/>
                <w:color w:val="auto"/>
              </w:rPr>
            </w:pPr>
            <w:r>
              <w:rPr>
                <w:rFonts w:ascii="Arial" w:cs="Arial" w:eastAsia="Arial" w:hAnsi="Arial"/>
                <w:sz w:val="14"/>
                <w:szCs w:val="14"/>
                <w:color w:val="auto"/>
              </w:rPr>
              <w:t>37,686</w:t>
            </w:r>
          </w:p>
        </w:tc>
        <w:tc>
          <w:tcPr>
            <w:tcW w:w="11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367</w:t>
            </w:r>
          </w:p>
        </w:tc>
        <w:tc>
          <w:tcPr>
            <w:tcW w:w="9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77,264</w:t>
            </w:r>
          </w:p>
        </w:tc>
      </w:tr>
      <w:tr>
        <w:trPr>
          <w:trHeight w:val="196"/>
        </w:trPr>
        <w:tc>
          <w:tcPr>
            <w:tcW w:w="4180" w:type="dxa"/>
            <w:vAlign w:val="bottom"/>
            <w:tcBorders>
              <w:left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4"/>
                <w:szCs w:val="14"/>
                <w:color w:val="auto"/>
              </w:rPr>
              <w:t>Autograph Collection Residences</w:t>
            </w:r>
          </w:p>
        </w:tc>
        <w:tc>
          <w:tcPr>
            <w:tcW w:w="12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w:t>
            </w:r>
          </w:p>
        </w:tc>
        <w:tc>
          <w:tcPr>
            <w:tcW w:w="960" w:type="dxa"/>
            <w:vAlign w:val="bottom"/>
            <w:tcBorders>
              <w:bottom w:val="single" w:sz="8" w:color="auto"/>
              <w:right w:val="single" w:sz="8" w:color="auto"/>
            </w:tcBorders>
          </w:tcPr>
          <w:p>
            <w:pPr>
              <w:jc w:val="right"/>
              <w:ind w:right="28"/>
              <w:spacing w:after="0"/>
              <w:rPr>
                <w:sz w:val="20"/>
                <w:szCs w:val="20"/>
                <w:color w:val="auto"/>
              </w:rPr>
            </w:pPr>
            <w:r>
              <w:rPr>
                <w:rFonts w:ascii="Arial" w:cs="Arial" w:eastAsia="Arial" w:hAnsi="Arial"/>
                <w:sz w:val="14"/>
                <w:szCs w:val="14"/>
                <w:color w:val="auto"/>
              </w:rPr>
              <w:t>45</w:t>
            </w:r>
          </w:p>
        </w:tc>
        <w:tc>
          <w:tcPr>
            <w:tcW w:w="11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w:t>
            </w:r>
          </w:p>
        </w:tc>
        <w:tc>
          <w:tcPr>
            <w:tcW w:w="9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45</w:t>
            </w:r>
          </w:p>
        </w:tc>
      </w:tr>
      <w:tr>
        <w:trPr>
          <w:trHeight w:val="196"/>
        </w:trPr>
        <w:tc>
          <w:tcPr>
            <w:tcW w:w="4180" w:type="dxa"/>
            <w:vAlign w:val="bottom"/>
            <w:tcBorders>
              <w:left w:val="single" w:sz="8" w:color="auto"/>
              <w:bottom w:val="single" w:sz="8" w:color="auto"/>
              <w:right w:val="single" w:sz="8" w:color="auto"/>
            </w:tcBorders>
          </w:tcPr>
          <w:p>
            <w:pPr>
              <w:ind w:left="300"/>
              <w:spacing w:after="0"/>
              <w:rPr>
                <w:sz w:val="20"/>
                <w:szCs w:val="20"/>
                <w:color w:val="auto"/>
              </w:rPr>
            </w:pPr>
            <w:r>
              <w:rPr>
                <w:rFonts w:ascii="Arial" w:cs="Arial" w:eastAsia="Arial" w:hAnsi="Arial"/>
                <w:sz w:val="14"/>
                <w:szCs w:val="14"/>
                <w:color w:val="auto"/>
              </w:rPr>
              <w:t>Renaissance Hotels</w:t>
            </w:r>
          </w:p>
        </w:tc>
        <w:tc>
          <w:tcPr>
            <w:tcW w:w="12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93</w:t>
            </w:r>
          </w:p>
        </w:tc>
        <w:tc>
          <w:tcPr>
            <w:tcW w:w="84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28,810</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89</w:t>
            </w:r>
          </w:p>
        </w:tc>
        <w:tc>
          <w:tcPr>
            <w:tcW w:w="960" w:type="dxa"/>
            <w:vAlign w:val="bottom"/>
            <w:tcBorders>
              <w:bottom w:val="single" w:sz="8" w:color="auto"/>
              <w:right w:val="single" w:sz="8" w:color="auto"/>
            </w:tcBorders>
          </w:tcPr>
          <w:p>
            <w:pPr>
              <w:jc w:val="right"/>
              <w:ind w:right="28"/>
              <w:spacing w:after="0"/>
              <w:rPr>
                <w:sz w:val="20"/>
                <w:szCs w:val="20"/>
                <w:color w:val="auto"/>
              </w:rPr>
            </w:pPr>
            <w:r>
              <w:rPr>
                <w:rFonts w:ascii="Arial" w:cs="Arial" w:eastAsia="Arial" w:hAnsi="Arial"/>
                <w:sz w:val="14"/>
                <w:szCs w:val="14"/>
                <w:color w:val="auto"/>
              </w:rPr>
              <w:t>25,788</w:t>
            </w:r>
          </w:p>
        </w:tc>
        <w:tc>
          <w:tcPr>
            <w:tcW w:w="11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182</w:t>
            </w:r>
          </w:p>
        </w:tc>
        <w:tc>
          <w:tcPr>
            <w:tcW w:w="9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54,598</w:t>
            </w:r>
          </w:p>
        </w:tc>
      </w:tr>
      <w:tr>
        <w:trPr>
          <w:trHeight w:val="196"/>
        </w:trPr>
        <w:tc>
          <w:tcPr>
            <w:tcW w:w="4180" w:type="dxa"/>
            <w:vAlign w:val="bottom"/>
            <w:tcBorders>
              <w:left w:val="single" w:sz="8" w:color="auto"/>
              <w:bottom w:val="single" w:sz="8" w:color="auto"/>
              <w:right w:val="single" w:sz="8" w:color="auto"/>
            </w:tcBorders>
          </w:tcPr>
          <w:p>
            <w:pPr>
              <w:ind w:left="300"/>
              <w:spacing w:after="0"/>
              <w:rPr>
                <w:sz w:val="20"/>
                <w:szCs w:val="20"/>
                <w:color w:val="auto"/>
              </w:rPr>
            </w:pPr>
            <w:r>
              <w:rPr>
                <w:rFonts w:ascii="Arial" w:cs="Arial" w:eastAsia="Arial" w:hAnsi="Arial"/>
                <w:sz w:val="14"/>
                <w:szCs w:val="14"/>
                <w:color w:val="auto"/>
              </w:rPr>
              <w:t>Renaissance Residences</w:t>
            </w:r>
          </w:p>
        </w:tc>
        <w:tc>
          <w:tcPr>
            <w:tcW w:w="12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1</w:t>
            </w:r>
          </w:p>
        </w:tc>
        <w:tc>
          <w:tcPr>
            <w:tcW w:w="84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112</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right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w:t>
            </w:r>
          </w:p>
        </w:tc>
        <w:tc>
          <w:tcPr>
            <w:tcW w:w="9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112</w:t>
            </w:r>
          </w:p>
        </w:tc>
      </w:tr>
      <w:tr>
        <w:trPr>
          <w:trHeight w:val="196"/>
        </w:trPr>
        <w:tc>
          <w:tcPr>
            <w:tcW w:w="4180" w:type="dxa"/>
            <w:vAlign w:val="bottom"/>
            <w:tcBorders>
              <w:left w:val="single" w:sz="8" w:color="auto"/>
              <w:bottom w:val="single" w:sz="8" w:color="auto"/>
              <w:right w:val="single" w:sz="8" w:color="auto"/>
            </w:tcBorders>
          </w:tcPr>
          <w:p>
            <w:pPr>
              <w:ind w:left="300"/>
              <w:spacing w:after="0"/>
              <w:rPr>
                <w:sz w:val="20"/>
                <w:szCs w:val="20"/>
                <w:color w:val="auto"/>
              </w:rPr>
            </w:pPr>
            <w:r>
              <w:rPr>
                <w:rFonts w:ascii="Arial" w:cs="Arial" w:eastAsia="Arial" w:hAnsi="Arial"/>
                <w:sz w:val="14"/>
                <w:szCs w:val="14"/>
                <w:color w:val="auto"/>
              </w:rPr>
              <w:t>Tribute Portfolio</w:t>
            </w:r>
          </w:p>
        </w:tc>
        <w:tc>
          <w:tcPr>
            <w:tcW w:w="12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105</w:t>
            </w:r>
          </w:p>
        </w:tc>
        <w:tc>
          <w:tcPr>
            <w:tcW w:w="84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19,633</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87</w:t>
            </w:r>
          </w:p>
        </w:tc>
        <w:tc>
          <w:tcPr>
            <w:tcW w:w="960" w:type="dxa"/>
            <w:vAlign w:val="bottom"/>
            <w:tcBorders>
              <w:bottom w:val="single" w:sz="8" w:color="auto"/>
              <w:right w:val="single" w:sz="8" w:color="auto"/>
            </w:tcBorders>
          </w:tcPr>
          <w:p>
            <w:pPr>
              <w:jc w:val="right"/>
              <w:ind w:right="28"/>
              <w:spacing w:after="0"/>
              <w:rPr>
                <w:sz w:val="20"/>
                <w:szCs w:val="20"/>
                <w:color w:val="auto"/>
              </w:rPr>
            </w:pPr>
            <w:r>
              <w:rPr>
                <w:rFonts w:ascii="Arial" w:cs="Arial" w:eastAsia="Arial" w:hAnsi="Arial"/>
                <w:sz w:val="14"/>
                <w:szCs w:val="14"/>
                <w:color w:val="auto"/>
              </w:rPr>
              <w:t>12,512</w:t>
            </w:r>
          </w:p>
        </w:tc>
        <w:tc>
          <w:tcPr>
            <w:tcW w:w="11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192</w:t>
            </w:r>
          </w:p>
        </w:tc>
        <w:tc>
          <w:tcPr>
            <w:tcW w:w="9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32,145</w:t>
            </w:r>
          </w:p>
        </w:tc>
      </w:tr>
      <w:tr>
        <w:trPr>
          <w:trHeight w:val="196"/>
        </w:trPr>
        <w:tc>
          <w:tcPr>
            <w:tcW w:w="4180" w:type="dxa"/>
            <w:vAlign w:val="bottom"/>
            <w:tcBorders>
              <w:left w:val="single" w:sz="8" w:color="auto"/>
              <w:bottom w:val="single" w:sz="8" w:color="auto"/>
              <w:right w:val="single" w:sz="8" w:color="auto"/>
            </w:tcBorders>
          </w:tcPr>
          <w:p>
            <w:pPr>
              <w:ind w:left="300"/>
              <w:spacing w:after="0"/>
              <w:rPr>
                <w:sz w:val="20"/>
                <w:szCs w:val="20"/>
                <w:color w:val="auto"/>
              </w:rPr>
            </w:pPr>
            <w:r>
              <w:rPr>
                <w:rFonts w:ascii="Arial" w:cs="Arial" w:eastAsia="Arial" w:hAnsi="Arial"/>
                <w:sz w:val="14"/>
                <w:szCs w:val="14"/>
                <w:color w:val="auto"/>
              </w:rPr>
              <w:t>Tribute Portfolio Residences</w:t>
            </w:r>
          </w:p>
        </w:tc>
        <w:tc>
          <w:tcPr>
            <w:tcW w:w="12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w:t>
            </w:r>
          </w:p>
        </w:tc>
        <w:tc>
          <w:tcPr>
            <w:tcW w:w="960" w:type="dxa"/>
            <w:vAlign w:val="bottom"/>
            <w:tcBorders>
              <w:bottom w:val="single" w:sz="8" w:color="auto"/>
              <w:right w:val="single" w:sz="8" w:color="auto"/>
            </w:tcBorders>
          </w:tcPr>
          <w:p>
            <w:pPr>
              <w:jc w:val="right"/>
              <w:ind w:right="28"/>
              <w:spacing w:after="0"/>
              <w:rPr>
                <w:sz w:val="20"/>
                <w:szCs w:val="20"/>
                <w:color w:val="auto"/>
              </w:rPr>
            </w:pPr>
            <w:r>
              <w:rPr>
                <w:rFonts w:ascii="Arial" w:cs="Arial" w:eastAsia="Arial" w:hAnsi="Arial"/>
                <w:sz w:val="14"/>
                <w:szCs w:val="14"/>
                <w:color w:val="auto"/>
              </w:rPr>
              <w:t>137</w:t>
            </w:r>
          </w:p>
        </w:tc>
        <w:tc>
          <w:tcPr>
            <w:tcW w:w="11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w:t>
            </w:r>
          </w:p>
        </w:tc>
        <w:tc>
          <w:tcPr>
            <w:tcW w:w="9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137</w:t>
            </w:r>
          </w:p>
        </w:tc>
      </w:tr>
      <w:tr>
        <w:trPr>
          <w:trHeight w:val="196"/>
        </w:trPr>
        <w:tc>
          <w:tcPr>
            <w:tcW w:w="4180" w:type="dxa"/>
            <w:vAlign w:val="bottom"/>
            <w:tcBorders>
              <w:left w:val="single" w:sz="8" w:color="auto"/>
              <w:bottom w:val="single" w:sz="8" w:color="auto"/>
              <w:right w:val="single" w:sz="8" w:color="auto"/>
            </w:tcBorders>
          </w:tcPr>
          <w:p>
            <w:pPr>
              <w:ind w:left="300"/>
              <w:spacing w:after="0"/>
              <w:rPr>
                <w:sz w:val="20"/>
                <w:szCs w:val="20"/>
                <w:color w:val="auto"/>
              </w:rPr>
            </w:pPr>
            <w:r>
              <w:rPr>
                <w:rFonts w:ascii="Arial" w:cs="Arial" w:eastAsia="Arial" w:hAnsi="Arial"/>
                <w:sz w:val="14"/>
                <w:szCs w:val="14"/>
                <w:color w:val="auto"/>
              </w:rPr>
              <w:t>Le Méridien</w:t>
            </w:r>
          </w:p>
        </w:tc>
        <w:tc>
          <w:tcPr>
            <w:tcW w:w="12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24</w:t>
            </w:r>
          </w:p>
        </w:tc>
        <w:tc>
          <w:tcPr>
            <w:tcW w:w="84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5,299</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99</w:t>
            </w:r>
          </w:p>
        </w:tc>
        <w:tc>
          <w:tcPr>
            <w:tcW w:w="960" w:type="dxa"/>
            <w:vAlign w:val="bottom"/>
            <w:tcBorders>
              <w:bottom w:val="single" w:sz="8" w:color="auto"/>
              <w:right w:val="single" w:sz="8" w:color="auto"/>
            </w:tcBorders>
          </w:tcPr>
          <w:p>
            <w:pPr>
              <w:jc w:val="right"/>
              <w:ind w:right="28"/>
              <w:spacing w:after="0"/>
              <w:rPr>
                <w:sz w:val="20"/>
                <w:szCs w:val="20"/>
                <w:color w:val="auto"/>
              </w:rPr>
            </w:pPr>
            <w:r>
              <w:rPr>
                <w:rFonts w:ascii="Arial" w:cs="Arial" w:eastAsia="Arial" w:hAnsi="Arial"/>
                <w:sz w:val="14"/>
                <w:szCs w:val="14"/>
                <w:color w:val="auto"/>
              </w:rPr>
              <w:t>26,840</w:t>
            </w:r>
          </w:p>
        </w:tc>
        <w:tc>
          <w:tcPr>
            <w:tcW w:w="11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123</w:t>
            </w:r>
          </w:p>
        </w:tc>
        <w:tc>
          <w:tcPr>
            <w:tcW w:w="9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32,139</w:t>
            </w:r>
          </w:p>
        </w:tc>
      </w:tr>
      <w:tr>
        <w:trPr>
          <w:trHeight w:val="196"/>
        </w:trPr>
        <w:tc>
          <w:tcPr>
            <w:tcW w:w="4180" w:type="dxa"/>
            <w:vAlign w:val="bottom"/>
            <w:tcBorders>
              <w:left w:val="single" w:sz="8" w:color="auto"/>
              <w:bottom w:val="single" w:sz="8" w:color="auto"/>
              <w:right w:val="single" w:sz="8" w:color="auto"/>
            </w:tcBorders>
          </w:tcPr>
          <w:p>
            <w:pPr>
              <w:ind w:left="300"/>
              <w:spacing w:after="0"/>
              <w:rPr>
                <w:sz w:val="20"/>
                <w:szCs w:val="20"/>
                <w:color w:val="auto"/>
              </w:rPr>
            </w:pPr>
            <w:r>
              <w:rPr>
                <w:rFonts w:ascii="Arial" w:cs="Arial" w:eastAsia="Arial" w:hAnsi="Arial"/>
                <w:sz w:val="14"/>
                <w:szCs w:val="14"/>
                <w:color w:val="auto"/>
              </w:rPr>
              <w:t>Le Méridien Residences</w:t>
            </w:r>
          </w:p>
        </w:tc>
        <w:tc>
          <w:tcPr>
            <w:tcW w:w="12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w:t>
            </w:r>
          </w:p>
        </w:tc>
        <w:tc>
          <w:tcPr>
            <w:tcW w:w="960" w:type="dxa"/>
            <w:vAlign w:val="bottom"/>
            <w:tcBorders>
              <w:bottom w:val="single" w:sz="8" w:color="auto"/>
              <w:right w:val="single" w:sz="8" w:color="auto"/>
            </w:tcBorders>
          </w:tcPr>
          <w:p>
            <w:pPr>
              <w:jc w:val="right"/>
              <w:ind w:right="28"/>
              <w:spacing w:after="0"/>
              <w:rPr>
                <w:sz w:val="20"/>
                <w:szCs w:val="20"/>
                <w:color w:val="auto"/>
              </w:rPr>
            </w:pPr>
            <w:r>
              <w:rPr>
                <w:rFonts w:ascii="Arial" w:cs="Arial" w:eastAsia="Arial" w:hAnsi="Arial"/>
                <w:sz w:val="14"/>
                <w:szCs w:val="14"/>
                <w:color w:val="auto"/>
              </w:rPr>
              <w:t>62</w:t>
            </w:r>
          </w:p>
        </w:tc>
        <w:tc>
          <w:tcPr>
            <w:tcW w:w="11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w:t>
            </w:r>
          </w:p>
        </w:tc>
        <w:tc>
          <w:tcPr>
            <w:tcW w:w="9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62</w:t>
            </w:r>
          </w:p>
        </w:tc>
      </w:tr>
      <w:tr>
        <w:trPr>
          <w:trHeight w:val="196"/>
        </w:trPr>
        <w:tc>
          <w:tcPr>
            <w:tcW w:w="4180" w:type="dxa"/>
            <w:vAlign w:val="bottom"/>
            <w:tcBorders>
              <w:left w:val="single" w:sz="8" w:color="auto"/>
              <w:bottom w:val="single" w:sz="8" w:color="auto"/>
              <w:right w:val="single" w:sz="8" w:color="auto"/>
            </w:tcBorders>
          </w:tcPr>
          <w:p>
            <w:pPr>
              <w:ind w:left="300"/>
              <w:spacing w:after="0"/>
              <w:rPr>
                <w:sz w:val="20"/>
                <w:szCs w:val="20"/>
                <w:color w:val="auto"/>
              </w:rPr>
            </w:pPr>
            <w:r>
              <w:rPr>
                <w:rFonts w:ascii="Arial" w:cs="Arial" w:eastAsia="Arial" w:hAnsi="Arial"/>
                <w:sz w:val="14"/>
                <w:szCs w:val="14"/>
                <w:color w:val="auto"/>
              </w:rPr>
              <w:t>Delta Hotels by Marriott</w:t>
            </w:r>
          </w:p>
        </w:tc>
        <w:tc>
          <w:tcPr>
            <w:tcW w:w="12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94</w:t>
            </w:r>
          </w:p>
        </w:tc>
        <w:tc>
          <w:tcPr>
            <w:tcW w:w="84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22,486</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46</w:t>
            </w:r>
          </w:p>
        </w:tc>
        <w:tc>
          <w:tcPr>
            <w:tcW w:w="960" w:type="dxa"/>
            <w:vAlign w:val="bottom"/>
            <w:tcBorders>
              <w:bottom w:val="single" w:sz="8" w:color="auto"/>
              <w:right w:val="single" w:sz="8" w:color="auto"/>
            </w:tcBorders>
          </w:tcPr>
          <w:p>
            <w:pPr>
              <w:jc w:val="right"/>
              <w:ind w:right="28"/>
              <w:spacing w:after="0"/>
              <w:rPr>
                <w:sz w:val="20"/>
                <w:szCs w:val="20"/>
                <w:color w:val="auto"/>
              </w:rPr>
            </w:pPr>
            <w:r>
              <w:rPr>
                <w:rFonts w:ascii="Arial" w:cs="Arial" w:eastAsia="Arial" w:hAnsi="Arial"/>
                <w:sz w:val="14"/>
                <w:szCs w:val="14"/>
                <w:color w:val="auto"/>
              </w:rPr>
              <w:t>9,105</w:t>
            </w:r>
          </w:p>
        </w:tc>
        <w:tc>
          <w:tcPr>
            <w:tcW w:w="11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140</w:t>
            </w:r>
          </w:p>
        </w:tc>
        <w:tc>
          <w:tcPr>
            <w:tcW w:w="9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31,591</w:t>
            </w:r>
          </w:p>
        </w:tc>
      </w:tr>
      <w:tr>
        <w:trPr>
          <w:trHeight w:val="196"/>
        </w:trPr>
        <w:tc>
          <w:tcPr>
            <w:tcW w:w="4180" w:type="dxa"/>
            <w:vAlign w:val="bottom"/>
            <w:tcBorders>
              <w:left w:val="single" w:sz="8" w:color="auto"/>
              <w:bottom w:val="single" w:sz="8" w:color="auto"/>
              <w:right w:val="single" w:sz="8" w:color="auto"/>
            </w:tcBorders>
          </w:tcPr>
          <w:p>
            <w:pPr>
              <w:ind w:left="300"/>
              <w:spacing w:after="0"/>
              <w:rPr>
                <w:sz w:val="20"/>
                <w:szCs w:val="20"/>
                <w:color w:val="auto"/>
              </w:rPr>
            </w:pPr>
            <w:r>
              <w:rPr>
                <w:rFonts w:ascii="Arial" w:cs="Arial" w:eastAsia="Arial" w:hAnsi="Arial"/>
                <w:sz w:val="14"/>
                <w:szCs w:val="14"/>
                <w:color w:val="auto"/>
              </w:rPr>
              <w:t>MGM Collection with Marriott Bonvoy</w:t>
            </w:r>
          </w:p>
        </w:tc>
        <w:tc>
          <w:tcPr>
            <w:tcW w:w="12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12</w:t>
            </w:r>
          </w:p>
        </w:tc>
        <w:tc>
          <w:tcPr>
            <w:tcW w:w="84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26,210</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right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12</w:t>
            </w:r>
          </w:p>
        </w:tc>
        <w:tc>
          <w:tcPr>
            <w:tcW w:w="9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26,210</w:t>
            </w:r>
          </w:p>
        </w:tc>
      </w:tr>
      <w:tr>
        <w:trPr>
          <w:trHeight w:val="196"/>
        </w:trPr>
        <w:tc>
          <w:tcPr>
            <w:tcW w:w="4180" w:type="dxa"/>
            <w:vAlign w:val="bottom"/>
            <w:tcBorders>
              <w:left w:val="single" w:sz="8" w:color="auto"/>
              <w:bottom w:val="single" w:sz="8" w:color="auto"/>
              <w:right w:val="single" w:sz="8" w:color="auto"/>
            </w:tcBorders>
          </w:tcPr>
          <w:p>
            <w:pPr>
              <w:ind w:left="300"/>
              <w:spacing w:after="0"/>
              <w:rPr>
                <w:sz w:val="20"/>
                <w:szCs w:val="20"/>
                <w:color w:val="auto"/>
              </w:rPr>
            </w:pPr>
            <w:r>
              <w:rPr>
                <w:rFonts w:ascii="Arial" w:cs="Arial" w:eastAsia="Arial" w:hAnsi="Arial"/>
                <w:sz w:val="14"/>
                <w:szCs w:val="14"/>
                <w:color w:val="auto"/>
              </w:rPr>
              <w:t>Design Hotels*</w:t>
            </w:r>
          </w:p>
        </w:tc>
        <w:tc>
          <w:tcPr>
            <w:tcW w:w="12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28</w:t>
            </w:r>
          </w:p>
        </w:tc>
        <w:tc>
          <w:tcPr>
            <w:tcW w:w="84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2,845</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206</w:t>
            </w:r>
          </w:p>
        </w:tc>
        <w:tc>
          <w:tcPr>
            <w:tcW w:w="960" w:type="dxa"/>
            <w:vAlign w:val="bottom"/>
            <w:tcBorders>
              <w:bottom w:val="single" w:sz="8" w:color="auto"/>
              <w:right w:val="single" w:sz="8" w:color="auto"/>
            </w:tcBorders>
          </w:tcPr>
          <w:p>
            <w:pPr>
              <w:jc w:val="right"/>
              <w:ind w:right="28"/>
              <w:spacing w:after="0"/>
              <w:rPr>
                <w:sz w:val="20"/>
                <w:szCs w:val="20"/>
                <w:color w:val="auto"/>
              </w:rPr>
            </w:pPr>
            <w:r>
              <w:rPr>
                <w:rFonts w:ascii="Arial" w:cs="Arial" w:eastAsia="Arial" w:hAnsi="Arial"/>
                <w:sz w:val="14"/>
                <w:szCs w:val="14"/>
                <w:color w:val="auto"/>
              </w:rPr>
              <w:t>13,246</w:t>
            </w:r>
          </w:p>
        </w:tc>
        <w:tc>
          <w:tcPr>
            <w:tcW w:w="11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234</w:t>
            </w:r>
          </w:p>
        </w:tc>
        <w:tc>
          <w:tcPr>
            <w:tcW w:w="9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16,091</w:t>
            </w:r>
          </w:p>
        </w:tc>
      </w:tr>
      <w:tr>
        <w:trPr>
          <w:trHeight w:val="196"/>
        </w:trPr>
        <w:tc>
          <w:tcPr>
            <w:tcW w:w="4180" w:type="dxa"/>
            <w:vAlign w:val="bottom"/>
            <w:tcBorders>
              <w:left w:val="single" w:sz="8" w:color="auto"/>
              <w:bottom w:val="single" w:sz="8" w:color="auto"/>
              <w:right w:val="single" w:sz="8" w:color="auto"/>
            </w:tcBorders>
          </w:tcPr>
          <w:p>
            <w:pPr>
              <w:ind w:left="300"/>
              <w:spacing w:after="0"/>
              <w:rPr>
                <w:sz w:val="20"/>
                <w:szCs w:val="20"/>
                <w:color w:val="auto"/>
              </w:rPr>
            </w:pPr>
            <w:r>
              <w:rPr>
                <w:rFonts w:ascii="Arial" w:cs="Arial" w:eastAsia="Arial" w:hAnsi="Arial"/>
                <w:sz w:val="14"/>
                <w:szCs w:val="14"/>
                <w:color w:val="auto"/>
              </w:rPr>
              <w:t>Gaylord Hotels</w:t>
            </w:r>
          </w:p>
        </w:tc>
        <w:tc>
          <w:tcPr>
            <w:tcW w:w="12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7</w:t>
            </w:r>
          </w:p>
        </w:tc>
        <w:tc>
          <w:tcPr>
            <w:tcW w:w="84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11,820</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right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7</w:t>
            </w:r>
          </w:p>
        </w:tc>
        <w:tc>
          <w:tcPr>
            <w:tcW w:w="9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11,820</w:t>
            </w:r>
          </w:p>
        </w:tc>
      </w:tr>
      <w:tr>
        <w:trPr>
          <w:trHeight w:val="196"/>
        </w:trPr>
        <w:tc>
          <w:tcPr>
            <w:tcW w:w="4180" w:type="dxa"/>
            <w:vAlign w:val="bottom"/>
            <w:tcBorders>
              <w:left w:val="single" w:sz="8" w:color="auto"/>
              <w:bottom w:val="single" w:sz="8" w:color="auto"/>
              <w:right w:val="single" w:sz="8" w:color="auto"/>
            </w:tcBorders>
          </w:tcPr>
          <w:p>
            <w:pPr>
              <w:ind w:left="300"/>
              <w:spacing w:after="0"/>
              <w:rPr>
                <w:sz w:val="20"/>
                <w:szCs w:val="20"/>
                <w:color w:val="auto"/>
              </w:rPr>
            </w:pPr>
            <w:r>
              <w:rPr>
                <w:rFonts w:ascii="Arial" w:cs="Arial" w:eastAsia="Arial" w:hAnsi="Arial"/>
                <w:sz w:val="14"/>
                <w:szCs w:val="14"/>
                <w:color w:val="auto"/>
              </w:rPr>
              <w:t>Marriott Executive Apartments</w:t>
            </w:r>
          </w:p>
        </w:tc>
        <w:tc>
          <w:tcPr>
            <w:tcW w:w="12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50</w:t>
            </w:r>
          </w:p>
        </w:tc>
        <w:tc>
          <w:tcPr>
            <w:tcW w:w="960" w:type="dxa"/>
            <w:vAlign w:val="bottom"/>
            <w:tcBorders>
              <w:bottom w:val="single" w:sz="8" w:color="auto"/>
              <w:right w:val="single" w:sz="8" w:color="auto"/>
            </w:tcBorders>
          </w:tcPr>
          <w:p>
            <w:pPr>
              <w:jc w:val="right"/>
              <w:ind w:right="28"/>
              <w:spacing w:after="0"/>
              <w:rPr>
                <w:sz w:val="20"/>
                <w:szCs w:val="20"/>
                <w:color w:val="auto"/>
              </w:rPr>
            </w:pPr>
            <w:r>
              <w:rPr>
                <w:rFonts w:ascii="Arial" w:cs="Arial" w:eastAsia="Arial" w:hAnsi="Arial"/>
                <w:sz w:val="14"/>
                <w:szCs w:val="14"/>
                <w:color w:val="auto"/>
              </w:rPr>
              <w:t>7,729</w:t>
            </w:r>
          </w:p>
        </w:tc>
        <w:tc>
          <w:tcPr>
            <w:tcW w:w="11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50</w:t>
            </w:r>
          </w:p>
        </w:tc>
        <w:tc>
          <w:tcPr>
            <w:tcW w:w="9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7,729</w:t>
            </w:r>
          </w:p>
        </w:tc>
      </w:tr>
      <w:tr>
        <w:trPr>
          <w:trHeight w:val="196"/>
        </w:trPr>
        <w:tc>
          <w:tcPr>
            <w:tcW w:w="4180" w:type="dxa"/>
            <w:vAlign w:val="bottom"/>
            <w:tcBorders>
              <w:left w:val="single" w:sz="8" w:color="auto"/>
              <w:bottom w:val="single" w:sz="8" w:color="auto"/>
              <w:right w:val="single" w:sz="8" w:color="auto"/>
            </w:tcBorders>
          </w:tcPr>
          <w:p>
            <w:pPr>
              <w:ind w:left="300"/>
              <w:spacing w:after="0"/>
              <w:rPr>
                <w:sz w:val="20"/>
                <w:szCs w:val="20"/>
                <w:color w:val="auto"/>
              </w:rPr>
            </w:pPr>
            <w:r>
              <w:rPr>
                <w:rFonts w:ascii="Arial" w:cs="Arial" w:eastAsia="Arial" w:hAnsi="Arial"/>
                <w:sz w:val="14"/>
                <w:szCs w:val="14"/>
                <w:color w:val="auto"/>
              </w:rPr>
              <w:t>Outdoor Collection by Marriott Bonvoy **</w:t>
            </w:r>
          </w:p>
        </w:tc>
        <w:tc>
          <w:tcPr>
            <w:tcW w:w="12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32</w:t>
            </w:r>
          </w:p>
        </w:tc>
        <w:tc>
          <w:tcPr>
            <w:tcW w:w="84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1,532</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right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32</w:t>
            </w:r>
          </w:p>
        </w:tc>
        <w:tc>
          <w:tcPr>
            <w:tcW w:w="9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1,532</w:t>
            </w:r>
          </w:p>
        </w:tc>
      </w:tr>
      <w:tr>
        <w:trPr>
          <w:trHeight w:val="196"/>
        </w:trPr>
        <w:tc>
          <w:tcPr>
            <w:tcW w:w="4180" w:type="dxa"/>
            <w:vAlign w:val="bottom"/>
            <w:tcBorders>
              <w:left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4"/>
                <w:szCs w:val="14"/>
                <w:color w:val="auto"/>
              </w:rPr>
              <w:t>Apartments by Marriott Bonvoy</w:t>
            </w:r>
          </w:p>
        </w:tc>
        <w:tc>
          <w:tcPr>
            <w:tcW w:w="12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w:t>
            </w:r>
          </w:p>
        </w:tc>
        <w:tc>
          <w:tcPr>
            <w:tcW w:w="84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413</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w:t>
            </w:r>
          </w:p>
        </w:tc>
        <w:tc>
          <w:tcPr>
            <w:tcW w:w="960" w:type="dxa"/>
            <w:vAlign w:val="bottom"/>
            <w:tcBorders>
              <w:bottom w:val="single" w:sz="8" w:color="auto"/>
              <w:right w:val="single" w:sz="8" w:color="auto"/>
            </w:tcBorders>
          </w:tcPr>
          <w:p>
            <w:pPr>
              <w:jc w:val="right"/>
              <w:ind w:right="28"/>
              <w:spacing w:after="0"/>
              <w:rPr>
                <w:sz w:val="20"/>
                <w:szCs w:val="20"/>
                <w:color w:val="auto"/>
              </w:rPr>
            </w:pPr>
            <w:r>
              <w:rPr>
                <w:rFonts w:ascii="Arial" w:cs="Arial" w:eastAsia="Arial" w:hAnsi="Arial"/>
                <w:sz w:val="14"/>
                <w:szCs w:val="14"/>
                <w:color w:val="auto"/>
              </w:rPr>
              <w:t>338</w:t>
            </w:r>
          </w:p>
        </w:tc>
        <w:tc>
          <w:tcPr>
            <w:tcW w:w="11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6</w:t>
            </w:r>
          </w:p>
        </w:tc>
        <w:tc>
          <w:tcPr>
            <w:tcW w:w="9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751</w:t>
            </w:r>
          </w:p>
        </w:tc>
      </w:tr>
      <w:tr>
        <w:trPr>
          <w:trHeight w:val="199"/>
        </w:trPr>
        <w:tc>
          <w:tcPr>
            <w:tcW w:w="4180" w:type="dxa"/>
            <w:vAlign w:val="bottom"/>
            <w:tcBorders>
              <w:left w:val="single" w:sz="8" w:color="auto"/>
              <w:bottom w:val="single" w:sz="8" w:color="auto"/>
              <w:right w:val="single" w:sz="8" w:color="auto"/>
            </w:tcBorders>
            <w:shd w:val="clear" w:color="auto" w:fill="D9D9D9"/>
          </w:tcPr>
          <w:p>
            <w:pPr>
              <w:ind w:left="40"/>
              <w:spacing w:after="0"/>
              <w:rPr>
                <w:sz w:val="20"/>
                <w:szCs w:val="20"/>
                <w:color w:val="auto"/>
              </w:rPr>
            </w:pPr>
            <w:r>
              <w:rPr>
                <w:rFonts w:ascii="Arial" w:cs="Arial" w:eastAsia="Arial" w:hAnsi="Arial"/>
                <w:sz w:val="14"/>
                <w:szCs w:val="14"/>
                <w:b w:val="1"/>
                <w:bCs w:val="1"/>
                <w:color w:val="auto"/>
              </w:rPr>
              <w:t>Select</w:t>
            </w:r>
          </w:p>
        </w:tc>
        <w:tc>
          <w:tcPr>
            <w:tcW w:w="1260" w:type="dxa"/>
            <w:vAlign w:val="bottom"/>
            <w:tcBorders>
              <w:bottom w:val="single" w:sz="8" w:color="auto"/>
            </w:tcBorders>
            <w:shd w:val="clear" w:color="auto" w:fill="D9D9D9"/>
          </w:tcPr>
          <w:p>
            <w:pPr>
              <w:jc w:val="right"/>
              <w:ind w:right="208"/>
              <w:spacing w:after="0"/>
              <w:rPr>
                <w:sz w:val="20"/>
                <w:szCs w:val="20"/>
                <w:color w:val="auto"/>
              </w:rPr>
            </w:pPr>
            <w:r>
              <w:rPr>
                <w:rFonts w:ascii="Arial" w:cs="Arial" w:eastAsia="Arial" w:hAnsi="Arial"/>
                <w:sz w:val="14"/>
                <w:szCs w:val="14"/>
                <w:b w:val="1"/>
                <w:bCs w:val="1"/>
                <w:color w:val="auto"/>
              </w:rPr>
              <w:t>4,972</w:t>
            </w:r>
          </w:p>
        </w:tc>
        <w:tc>
          <w:tcPr>
            <w:tcW w:w="840" w:type="dxa"/>
            <w:vAlign w:val="bottom"/>
            <w:tcBorders>
              <w:bottom w:val="single" w:sz="8" w:color="auto"/>
              <w:right w:val="single" w:sz="8" w:color="auto"/>
            </w:tcBorders>
            <w:shd w:val="clear" w:color="auto" w:fill="D9D9D9"/>
          </w:tcPr>
          <w:p>
            <w:pPr>
              <w:jc w:val="right"/>
              <w:ind w:right="8"/>
              <w:spacing w:after="0"/>
              <w:rPr>
                <w:sz w:val="20"/>
                <w:szCs w:val="20"/>
                <w:color w:val="auto"/>
              </w:rPr>
            </w:pPr>
            <w:r>
              <w:rPr>
                <w:rFonts w:ascii="Arial" w:cs="Arial" w:eastAsia="Arial" w:hAnsi="Arial"/>
                <w:sz w:val="14"/>
                <w:szCs w:val="14"/>
                <w:b w:val="1"/>
                <w:bCs w:val="1"/>
                <w:color w:val="auto"/>
              </w:rPr>
              <w:t>598,574</w:t>
            </w:r>
          </w:p>
        </w:tc>
        <w:tc>
          <w:tcPr>
            <w:tcW w:w="1160" w:type="dxa"/>
            <w:vAlign w:val="bottom"/>
            <w:tcBorders>
              <w:bottom w:val="single" w:sz="8" w:color="auto"/>
            </w:tcBorders>
            <w:shd w:val="clear" w:color="auto" w:fill="D9D9D9"/>
          </w:tcPr>
          <w:p>
            <w:pPr>
              <w:jc w:val="right"/>
              <w:ind w:right="108"/>
              <w:spacing w:after="0"/>
              <w:rPr>
                <w:sz w:val="20"/>
                <w:szCs w:val="20"/>
                <w:color w:val="auto"/>
              </w:rPr>
            </w:pPr>
            <w:r>
              <w:rPr>
                <w:rFonts w:ascii="Arial" w:cs="Arial" w:eastAsia="Arial" w:hAnsi="Arial"/>
                <w:sz w:val="14"/>
                <w:szCs w:val="14"/>
                <w:b w:val="1"/>
                <w:bCs w:val="1"/>
                <w:color w:val="auto"/>
              </w:rPr>
              <w:t>1,217</w:t>
            </w:r>
          </w:p>
        </w:tc>
        <w:tc>
          <w:tcPr>
            <w:tcW w:w="960" w:type="dxa"/>
            <w:vAlign w:val="bottom"/>
            <w:tcBorders>
              <w:bottom w:val="single" w:sz="8" w:color="auto"/>
              <w:right w:val="single" w:sz="8" w:color="auto"/>
            </w:tcBorders>
            <w:shd w:val="clear" w:color="auto" w:fill="D9D9D9"/>
          </w:tcPr>
          <w:p>
            <w:pPr>
              <w:jc w:val="right"/>
              <w:ind w:right="28"/>
              <w:spacing w:after="0"/>
              <w:rPr>
                <w:sz w:val="20"/>
                <w:szCs w:val="20"/>
                <w:color w:val="auto"/>
              </w:rPr>
            </w:pPr>
            <w:r>
              <w:rPr>
                <w:rFonts w:ascii="Arial" w:cs="Arial" w:eastAsia="Arial" w:hAnsi="Arial"/>
                <w:sz w:val="14"/>
                <w:szCs w:val="14"/>
                <w:b w:val="1"/>
                <w:bCs w:val="1"/>
                <w:color w:val="auto"/>
              </w:rPr>
              <w:t>220,426</w:t>
            </w:r>
          </w:p>
        </w:tc>
        <w:tc>
          <w:tcPr>
            <w:tcW w:w="1140" w:type="dxa"/>
            <w:vAlign w:val="bottom"/>
            <w:tcBorders>
              <w:bottom w:val="single" w:sz="8" w:color="auto"/>
            </w:tcBorders>
            <w:shd w:val="clear" w:color="auto" w:fill="D9D9D9"/>
          </w:tcPr>
          <w:p>
            <w:pPr>
              <w:jc w:val="right"/>
              <w:ind w:right="108"/>
              <w:spacing w:after="0"/>
              <w:rPr>
                <w:sz w:val="20"/>
                <w:szCs w:val="20"/>
                <w:color w:val="auto"/>
              </w:rPr>
            </w:pPr>
            <w:r>
              <w:rPr>
                <w:rFonts w:ascii="Arial" w:cs="Arial" w:eastAsia="Arial" w:hAnsi="Arial"/>
                <w:sz w:val="14"/>
                <w:szCs w:val="14"/>
                <w:b w:val="1"/>
                <w:bCs w:val="1"/>
                <w:color w:val="auto"/>
              </w:rPr>
              <w:t>6,189</w:t>
            </w:r>
          </w:p>
        </w:tc>
        <w:tc>
          <w:tcPr>
            <w:tcW w:w="960" w:type="dxa"/>
            <w:vAlign w:val="bottom"/>
            <w:tcBorders>
              <w:bottom w:val="single" w:sz="8" w:color="auto"/>
              <w:right w:val="single" w:sz="8" w:color="auto"/>
            </w:tcBorders>
            <w:shd w:val="clear" w:color="auto" w:fill="D9D9D9"/>
          </w:tcPr>
          <w:p>
            <w:pPr>
              <w:jc w:val="right"/>
              <w:ind w:right="8"/>
              <w:spacing w:after="0"/>
              <w:rPr>
                <w:sz w:val="20"/>
                <w:szCs w:val="20"/>
                <w:color w:val="auto"/>
              </w:rPr>
            </w:pPr>
            <w:r>
              <w:rPr>
                <w:rFonts w:ascii="Arial" w:cs="Arial" w:eastAsia="Arial" w:hAnsi="Arial"/>
                <w:sz w:val="14"/>
                <w:szCs w:val="14"/>
                <w:b w:val="1"/>
                <w:bCs w:val="1"/>
                <w:color w:val="auto"/>
              </w:rPr>
              <w:t>819,000</w:t>
            </w:r>
          </w:p>
        </w:tc>
      </w:tr>
      <w:tr>
        <w:trPr>
          <w:trHeight w:val="193"/>
        </w:trPr>
        <w:tc>
          <w:tcPr>
            <w:tcW w:w="4180" w:type="dxa"/>
            <w:vAlign w:val="bottom"/>
            <w:tcBorders>
              <w:left w:val="single" w:sz="8" w:color="auto"/>
              <w:bottom w:val="single" w:sz="8" w:color="auto"/>
              <w:right w:val="single" w:sz="8" w:color="auto"/>
            </w:tcBorders>
          </w:tcPr>
          <w:p>
            <w:pPr>
              <w:ind w:left="300"/>
              <w:spacing w:after="0"/>
              <w:rPr>
                <w:sz w:val="20"/>
                <w:szCs w:val="20"/>
                <w:color w:val="auto"/>
              </w:rPr>
            </w:pPr>
            <w:r>
              <w:rPr>
                <w:rFonts w:ascii="Arial" w:cs="Arial" w:eastAsia="Arial" w:hAnsi="Arial"/>
                <w:sz w:val="14"/>
                <w:szCs w:val="14"/>
                <w:color w:val="auto"/>
              </w:rPr>
              <w:t>Courtyard by Marriott</w:t>
            </w:r>
          </w:p>
        </w:tc>
        <w:tc>
          <w:tcPr>
            <w:tcW w:w="12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1,083</w:t>
            </w:r>
          </w:p>
        </w:tc>
        <w:tc>
          <w:tcPr>
            <w:tcW w:w="84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150,003</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282</w:t>
            </w:r>
          </w:p>
        </w:tc>
        <w:tc>
          <w:tcPr>
            <w:tcW w:w="960" w:type="dxa"/>
            <w:vAlign w:val="bottom"/>
            <w:tcBorders>
              <w:bottom w:val="single" w:sz="8" w:color="auto"/>
              <w:right w:val="single" w:sz="8" w:color="auto"/>
            </w:tcBorders>
          </w:tcPr>
          <w:p>
            <w:pPr>
              <w:jc w:val="right"/>
              <w:ind w:right="28"/>
              <w:spacing w:after="0"/>
              <w:rPr>
                <w:sz w:val="20"/>
                <w:szCs w:val="20"/>
                <w:color w:val="auto"/>
              </w:rPr>
            </w:pPr>
            <w:r>
              <w:rPr>
                <w:rFonts w:ascii="Arial" w:cs="Arial" w:eastAsia="Arial" w:hAnsi="Arial"/>
                <w:sz w:val="14"/>
                <w:szCs w:val="14"/>
                <w:color w:val="auto"/>
              </w:rPr>
              <w:t>56,912</w:t>
            </w:r>
          </w:p>
        </w:tc>
        <w:tc>
          <w:tcPr>
            <w:tcW w:w="11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1,365</w:t>
            </w:r>
          </w:p>
        </w:tc>
        <w:tc>
          <w:tcPr>
            <w:tcW w:w="9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206,915</w:t>
            </w:r>
          </w:p>
        </w:tc>
      </w:tr>
      <w:tr>
        <w:trPr>
          <w:trHeight w:val="196"/>
        </w:trPr>
        <w:tc>
          <w:tcPr>
            <w:tcW w:w="4180" w:type="dxa"/>
            <w:vAlign w:val="bottom"/>
            <w:tcBorders>
              <w:left w:val="single" w:sz="8" w:color="auto"/>
              <w:bottom w:val="single" w:sz="8" w:color="auto"/>
              <w:right w:val="single" w:sz="8" w:color="auto"/>
            </w:tcBorders>
          </w:tcPr>
          <w:p>
            <w:pPr>
              <w:ind w:left="300"/>
              <w:spacing w:after="0"/>
              <w:rPr>
                <w:sz w:val="20"/>
                <w:szCs w:val="20"/>
                <w:color w:val="auto"/>
              </w:rPr>
            </w:pPr>
            <w:r>
              <w:rPr>
                <w:rFonts w:ascii="Arial" w:cs="Arial" w:eastAsia="Arial" w:hAnsi="Arial"/>
                <w:sz w:val="14"/>
                <w:szCs w:val="14"/>
                <w:color w:val="auto"/>
              </w:rPr>
              <w:t>Fairfield by Marriott</w:t>
            </w:r>
          </w:p>
        </w:tc>
        <w:tc>
          <w:tcPr>
            <w:tcW w:w="12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1,198</w:t>
            </w:r>
          </w:p>
        </w:tc>
        <w:tc>
          <w:tcPr>
            <w:tcW w:w="84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113,614</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192</w:t>
            </w:r>
          </w:p>
        </w:tc>
        <w:tc>
          <w:tcPr>
            <w:tcW w:w="960" w:type="dxa"/>
            <w:vAlign w:val="bottom"/>
            <w:tcBorders>
              <w:bottom w:val="single" w:sz="8" w:color="auto"/>
              <w:right w:val="single" w:sz="8" w:color="auto"/>
            </w:tcBorders>
          </w:tcPr>
          <w:p>
            <w:pPr>
              <w:jc w:val="right"/>
              <w:ind w:right="28"/>
              <w:spacing w:after="0"/>
              <w:rPr>
                <w:sz w:val="20"/>
                <w:szCs w:val="20"/>
                <w:color w:val="auto"/>
              </w:rPr>
            </w:pPr>
            <w:r>
              <w:rPr>
                <w:rFonts w:ascii="Arial" w:cs="Arial" w:eastAsia="Arial" w:hAnsi="Arial"/>
                <w:sz w:val="14"/>
                <w:szCs w:val="14"/>
                <w:color w:val="auto"/>
              </w:rPr>
              <w:t>28,266</w:t>
            </w:r>
          </w:p>
        </w:tc>
        <w:tc>
          <w:tcPr>
            <w:tcW w:w="11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1,390</w:t>
            </w:r>
          </w:p>
        </w:tc>
        <w:tc>
          <w:tcPr>
            <w:tcW w:w="9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141,880</w:t>
            </w:r>
          </w:p>
        </w:tc>
      </w:tr>
      <w:tr>
        <w:trPr>
          <w:trHeight w:val="196"/>
        </w:trPr>
        <w:tc>
          <w:tcPr>
            <w:tcW w:w="4180" w:type="dxa"/>
            <w:vAlign w:val="bottom"/>
            <w:tcBorders>
              <w:left w:val="single" w:sz="8" w:color="auto"/>
              <w:bottom w:val="single" w:sz="8" w:color="auto"/>
              <w:right w:val="single" w:sz="8" w:color="auto"/>
            </w:tcBorders>
          </w:tcPr>
          <w:p>
            <w:pPr>
              <w:ind w:left="300"/>
              <w:spacing w:after="0"/>
              <w:rPr>
                <w:sz w:val="20"/>
                <w:szCs w:val="20"/>
                <w:color w:val="auto"/>
              </w:rPr>
            </w:pPr>
            <w:r>
              <w:rPr>
                <w:rFonts w:ascii="Arial" w:cs="Arial" w:eastAsia="Arial" w:hAnsi="Arial"/>
                <w:sz w:val="14"/>
                <w:szCs w:val="14"/>
                <w:color w:val="auto"/>
              </w:rPr>
              <w:t>Residence Inn by Marriott</w:t>
            </w:r>
          </w:p>
        </w:tc>
        <w:tc>
          <w:tcPr>
            <w:tcW w:w="12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898</w:t>
            </w:r>
          </w:p>
        </w:tc>
        <w:tc>
          <w:tcPr>
            <w:tcW w:w="84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110,417</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51</w:t>
            </w:r>
          </w:p>
        </w:tc>
        <w:tc>
          <w:tcPr>
            <w:tcW w:w="960" w:type="dxa"/>
            <w:vAlign w:val="bottom"/>
            <w:tcBorders>
              <w:bottom w:val="single" w:sz="8" w:color="auto"/>
              <w:right w:val="single" w:sz="8" w:color="auto"/>
            </w:tcBorders>
          </w:tcPr>
          <w:p>
            <w:pPr>
              <w:jc w:val="right"/>
              <w:ind w:right="28"/>
              <w:spacing w:after="0"/>
              <w:rPr>
                <w:sz w:val="20"/>
                <w:szCs w:val="20"/>
                <w:color w:val="auto"/>
              </w:rPr>
            </w:pPr>
            <w:r>
              <w:rPr>
                <w:rFonts w:ascii="Arial" w:cs="Arial" w:eastAsia="Arial" w:hAnsi="Arial"/>
                <w:sz w:val="14"/>
                <w:szCs w:val="14"/>
                <w:color w:val="auto"/>
              </w:rPr>
              <w:t>6,281</w:t>
            </w:r>
          </w:p>
        </w:tc>
        <w:tc>
          <w:tcPr>
            <w:tcW w:w="11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949</w:t>
            </w:r>
          </w:p>
        </w:tc>
        <w:tc>
          <w:tcPr>
            <w:tcW w:w="9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116,698</w:t>
            </w:r>
          </w:p>
        </w:tc>
      </w:tr>
      <w:tr>
        <w:trPr>
          <w:trHeight w:val="196"/>
        </w:trPr>
        <w:tc>
          <w:tcPr>
            <w:tcW w:w="4180" w:type="dxa"/>
            <w:vAlign w:val="bottom"/>
            <w:tcBorders>
              <w:left w:val="single" w:sz="8" w:color="auto"/>
              <w:bottom w:val="single" w:sz="8" w:color="auto"/>
              <w:right w:val="single" w:sz="8" w:color="auto"/>
            </w:tcBorders>
          </w:tcPr>
          <w:p>
            <w:pPr>
              <w:ind w:left="300"/>
              <w:spacing w:after="0"/>
              <w:rPr>
                <w:sz w:val="20"/>
                <w:szCs w:val="20"/>
                <w:color w:val="auto"/>
              </w:rPr>
            </w:pPr>
            <w:r>
              <w:rPr>
                <w:rFonts w:ascii="Arial" w:cs="Arial" w:eastAsia="Arial" w:hAnsi="Arial"/>
                <w:sz w:val="14"/>
                <w:szCs w:val="14"/>
                <w:color w:val="auto"/>
              </w:rPr>
              <w:t>Four Points by Sheraton</w:t>
            </w:r>
          </w:p>
        </w:tc>
        <w:tc>
          <w:tcPr>
            <w:tcW w:w="12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146</w:t>
            </w:r>
          </w:p>
        </w:tc>
        <w:tc>
          <w:tcPr>
            <w:tcW w:w="84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20,991</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256</w:t>
            </w:r>
          </w:p>
        </w:tc>
        <w:tc>
          <w:tcPr>
            <w:tcW w:w="960" w:type="dxa"/>
            <w:vAlign w:val="bottom"/>
            <w:tcBorders>
              <w:bottom w:val="single" w:sz="8" w:color="auto"/>
              <w:right w:val="single" w:sz="8" w:color="auto"/>
            </w:tcBorders>
          </w:tcPr>
          <w:p>
            <w:pPr>
              <w:jc w:val="right"/>
              <w:ind w:right="28"/>
              <w:spacing w:after="0"/>
              <w:rPr>
                <w:sz w:val="20"/>
                <w:szCs w:val="20"/>
                <w:color w:val="auto"/>
              </w:rPr>
            </w:pPr>
            <w:r>
              <w:rPr>
                <w:rFonts w:ascii="Arial" w:cs="Arial" w:eastAsia="Arial" w:hAnsi="Arial"/>
                <w:sz w:val="14"/>
                <w:szCs w:val="14"/>
                <w:color w:val="auto"/>
              </w:rPr>
              <w:t>54,433</w:t>
            </w:r>
          </w:p>
        </w:tc>
        <w:tc>
          <w:tcPr>
            <w:tcW w:w="11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402</w:t>
            </w:r>
          </w:p>
        </w:tc>
        <w:tc>
          <w:tcPr>
            <w:tcW w:w="9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75,424</w:t>
            </w:r>
          </w:p>
        </w:tc>
      </w:tr>
      <w:tr>
        <w:trPr>
          <w:trHeight w:val="196"/>
        </w:trPr>
        <w:tc>
          <w:tcPr>
            <w:tcW w:w="4180" w:type="dxa"/>
            <w:vAlign w:val="bottom"/>
            <w:tcBorders>
              <w:left w:val="single" w:sz="8" w:color="auto"/>
              <w:bottom w:val="single" w:sz="8" w:color="auto"/>
              <w:right w:val="single" w:sz="8" w:color="auto"/>
            </w:tcBorders>
          </w:tcPr>
          <w:p>
            <w:pPr>
              <w:ind w:left="300"/>
              <w:spacing w:after="0"/>
              <w:rPr>
                <w:sz w:val="20"/>
                <w:szCs w:val="20"/>
                <w:color w:val="auto"/>
              </w:rPr>
            </w:pPr>
            <w:r>
              <w:rPr>
                <w:rFonts w:ascii="Arial" w:cs="Arial" w:eastAsia="Arial" w:hAnsi="Arial"/>
                <w:sz w:val="14"/>
                <w:szCs w:val="14"/>
                <w:color w:val="auto"/>
              </w:rPr>
              <w:t>SpringHill Suites by Marriott</w:t>
            </w:r>
          </w:p>
        </w:tc>
        <w:tc>
          <w:tcPr>
            <w:tcW w:w="12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584</w:t>
            </w:r>
          </w:p>
        </w:tc>
        <w:tc>
          <w:tcPr>
            <w:tcW w:w="84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68,944</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right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584</w:t>
            </w:r>
          </w:p>
        </w:tc>
        <w:tc>
          <w:tcPr>
            <w:tcW w:w="9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68,944</w:t>
            </w:r>
          </w:p>
        </w:tc>
      </w:tr>
      <w:tr>
        <w:trPr>
          <w:trHeight w:val="196"/>
        </w:trPr>
        <w:tc>
          <w:tcPr>
            <w:tcW w:w="4180" w:type="dxa"/>
            <w:vAlign w:val="bottom"/>
            <w:tcBorders>
              <w:left w:val="single" w:sz="8" w:color="auto"/>
              <w:bottom w:val="single" w:sz="8" w:color="auto"/>
              <w:right w:val="single" w:sz="8" w:color="auto"/>
            </w:tcBorders>
          </w:tcPr>
          <w:p>
            <w:pPr>
              <w:ind w:left="300"/>
              <w:spacing w:after="0"/>
              <w:rPr>
                <w:sz w:val="20"/>
                <w:szCs w:val="20"/>
                <w:color w:val="auto"/>
              </w:rPr>
            </w:pPr>
            <w:r>
              <w:rPr>
                <w:rFonts w:ascii="Arial" w:cs="Arial" w:eastAsia="Arial" w:hAnsi="Arial"/>
                <w:sz w:val="14"/>
                <w:szCs w:val="14"/>
                <w:color w:val="auto"/>
              </w:rPr>
              <w:t>TownePlace Suites by Marriott</w:t>
            </w:r>
          </w:p>
        </w:tc>
        <w:tc>
          <w:tcPr>
            <w:tcW w:w="12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579</w:t>
            </w:r>
          </w:p>
        </w:tc>
        <w:tc>
          <w:tcPr>
            <w:tcW w:w="84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58,389</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right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579</w:t>
            </w:r>
          </w:p>
        </w:tc>
        <w:tc>
          <w:tcPr>
            <w:tcW w:w="9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58,389</w:t>
            </w:r>
          </w:p>
        </w:tc>
      </w:tr>
      <w:tr>
        <w:trPr>
          <w:trHeight w:val="196"/>
        </w:trPr>
        <w:tc>
          <w:tcPr>
            <w:tcW w:w="4180" w:type="dxa"/>
            <w:vAlign w:val="bottom"/>
            <w:tcBorders>
              <w:left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4"/>
                <w:szCs w:val="14"/>
                <w:color w:val="auto"/>
              </w:rPr>
              <w:t>AC Hotels by Marriott</w:t>
            </w:r>
          </w:p>
        </w:tc>
        <w:tc>
          <w:tcPr>
            <w:tcW w:w="12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144</w:t>
            </w:r>
          </w:p>
        </w:tc>
        <w:tc>
          <w:tcPr>
            <w:tcW w:w="84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24,138</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126</w:t>
            </w:r>
          </w:p>
        </w:tc>
        <w:tc>
          <w:tcPr>
            <w:tcW w:w="960" w:type="dxa"/>
            <w:vAlign w:val="bottom"/>
            <w:tcBorders>
              <w:bottom w:val="single" w:sz="8" w:color="auto"/>
              <w:right w:val="single" w:sz="8" w:color="auto"/>
            </w:tcBorders>
          </w:tcPr>
          <w:p>
            <w:pPr>
              <w:jc w:val="right"/>
              <w:ind w:right="28"/>
              <w:spacing w:after="0"/>
              <w:rPr>
                <w:sz w:val="20"/>
                <w:szCs w:val="20"/>
                <w:color w:val="auto"/>
              </w:rPr>
            </w:pPr>
            <w:r>
              <w:rPr>
                <w:rFonts w:ascii="Arial" w:cs="Arial" w:eastAsia="Arial" w:hAnsi="Arial"/>
                <w:sz w:val="14"/>
                <w:szCs w:val="14"/>
                <w:color w:val="auto"/>
              </w:rPr>
              <w:t>19,217</w:t>
            </w:r>
          </w:p>
        </w:tc>
        <w:tc>
          <w:tcPr>
            <w:tcW w:w="11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270</w:t>
            </w:r>
          </w:p>
        </w:tc>
        <w:tc>
          <w:tcPr>
            <w:tcW w:w="9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43,355</w:t>
            </w:r>
          </w:p>
        </w:tc>
      </w:tr>
      <w:tr>
        <w:trPr>
          <w:trHeight w:val="196"/>
        </w:trPr>
        <w:tc>
          <w:tcPr>
            <w:tcW w:w="4180" w:type="dxa"/>
            <w:vAlign w:val="bottom"/>
            <w:tcBorders>
              <w:left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4"/>
                <w:szCs w:val="14"/>
                <w:color w:val="auto"/>
              </w:rPr>
              <w:t>Aloft Hotels</w:t>
            </w:r>
          </w:p>
        </w:tc>
        <w:tc>
          <w:tcPr>
            <w:tcW w:w="12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169</w:t>
            </w:r>
          </w:p>
        </w:tc>
        <w:tc>
          <w:tcPr>
            <w:tcW w:w="84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24,410</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72</w:t>
            </w:r>
          </w:p>
        </w:tc>
        <w:tc>
          <w:tcPr>
            <w:tcW w:w="960" w:type="dxa"/>
            <w:vAlign w:val="bottom"/>
            <w:tcBorders>
              <w:bottom w:val="single" w:sz="8" w:color="auto"/>
              <w:right w:val="single" w:sz="8" w:color="auto"/>
            </w:tcBorders>
          </w:tcPr>
          <w:p>
            <w:pPr>
              <w:jc w:val="right"/>
              <w:ind w:right="28"/>
              <w:spacing w:after="0"/>
              <w:rPr>
                <w:sz w:val="20"/>
                <w:szCs w:val="20"/>
                <w:color w:val="auto"/>
              </w:rPr>
            </w:pPr>
            <w:r>
              <w:rPr>
                <w:rFonts w:ascii="Arial" w:cs="Arial" w:eastAsia="Arial" w:hAnsi="Arial"/>
                <w:sz w:val="14"/>
                <w:szCs w:val="14"/>
                <w:color w:val="auto"/>
              </w:rPr>
              <w:t>15,118</w:t>
            </w:r>
          </w:p>
        </w:tc>
        <w:tc>
          <w:tcPr>
            <w:tcW w:w="11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241</w:t>
            </w:r>
          </w:p>
        </w:tc>
        <w:tc>
          <w:tcPr>
            <w:tcW w:w="9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39,528</w:t>
            </w:r>
          </w:p>
        </w:tc>
      </w:tr>
      <w:tr>
        <w:trPr>
          <w:trHeight w:val="196"/>
        </w:trPr>
        <w:tc>
          <w:tcPr>
            <w:tcW w:w="4180" w:type="dxa"/>
            <w:vAlign w:val="bottom"/>
            <w:tcBorders>
              <w:left w:val="single" w:sz="8" w:color="auto"/>
              <w:bottom w:val="single" w:sz="8" w:color="auto"/>
              <w:right w:val="single" w:sz="8" w:color="auto"/>
            </w:tcBorders>
          </w:tcPr>
          <w:p>
            <w:pPr>
              <w:ind w:left="300"/>
              <w:spacing w:after="0"/>
              <w:rPr>
                <w:sz w:val="20"/>
                <w:szCs w:val="20"/>
                <w:color w:val="auto"/>
              </w:rPr>
            </w:pPr>
            <w:r>
              <w:rPr>
                <w:rFonts w:ascii="Arial" w:cs="Arial" w:eastAsia="Arial" w:hAnsi="Arial"/>
                <w:sz w:val="14"/>
                <w:szCs w:val="14"/>
                <w:color w:val="auto"/>
              </w:rPr>
              <w:t>Moxy Hotels</w:t>
            </w:r>
          </w:p>
        </w:tc>
        <w:tc>
          <w:tcPr>
            <w:tcW w:w="12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50</w:t>
            </w:r>
          </w:p>
        </w:tc>
        <w:tc>
          <w:tcPr>
            <w:tcW w:w="84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8,787</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131</w:t>
            </w:r>
          </w:p>
        </w:tc>
        <w:tc>
          <w:tcPr>
            <w:tcW w:w="960" w:type="dxa"/>
            <w:vAlign w:val="bottom"/>
            <w:tcBorders>
              <w:bottom w:val="single" w:sz="8" w:color="auto"/>
              <w:right w:val="single" w:sz="8" w:color="auto"/>
            </w:tcBorders>
          </w:tcPr>
          <w:p>
            <w:pPr>
              <w:jc w:val="right"/>
              <w:ind w:right="28"/>
              <w:spacing w:after="0"/>
              <w:rPr>
                <w:sz w:val="20"/>
                <w:szCs w:val="20"/>
                <w:color w:val="auto"/>
              </w:rPr>
            </w:pPr>
            <w:r>
              <w:rPr>
                <w:rFonts w:ascii="Arial" w:cs="Arial" w:eastAsia="Arial" w:hAnsi="Arial"/>
                <w:sz w:val="14"/>
                <w:szCs w:val="14"/>
                <w:color w:val="auto"/>
              </w:rPr>
              <w:t>25,008</w:t>
            </w:r>
          </w:p>
        </w:tc>
        <w:tc>
          <w:tcPr>
            <w:tcW w:w="11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181</w:t>
            </w:r>
          </w:p>
        </w:tc>
        <w:tc>
          <w:tcPr>
            <w:tcW w:w="9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33,795</w:t>
            </w:r>
          </w:p>
        </w:tc>
      </w:tr>
      <w:tr>
        <w:trPr>
          <w:trHeight w:val="196"/>
        </w:trPr>
        <w:tc>
          <w:tcPr>
            <w:tcW w:w="4180" w:type="dxa"/>
            <w:vAlign w:val="bottom"/>
            <w:tcBorders>
              <w:left w:val="single" w:sz="8" w:color="auto"/>
              <w:bottom w:val="single" w:sz="8" w:color="auto"/>
              <w:right w:val="single" w:sz="8" w:color="auto"/>
            </w:tcBorders>
          </w:tcPr>
          <w:p>
            <w:pPr>
              <w:ind w:left="300"/>
              <w:spacing w:after="0"/>
              <w:rPr>
                <w:sz w:val="20"/>
                <w:szCs w:val="20"/>
                <w:color w:val="auto"/>
              </w:rPr>
            </w:pPr>
            <w:r>
              <w:rPr>
                <w:rFonts w:ascii="Arial" w:cs="Arial" w:eastAsia="Arial" w:hAnsi="Arial"/>
                <w:sz w:val="14"/>
                <w:szCs w:val="14"/>
                <w:color w:val="auto"/>
              </w:rPr>
              <w:t>Element Hotels</w:t>
            </w:r>
          </w:p>
        </w:tc>
        <w:tc>
          <w:tcPr>
            <w:tcW w:w="12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105</w:t>
            </w:r>
          </w:p>
        </w:tc>
        <w:tc>
          <w:tcPr>
            <w:tcW w:w="84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14,507</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21</w:t>
            </w:r>
          </w:p>
        </w:tc>
        <w:tc>
          <w:tcPr>
            <w:tcW w:w="960" w:type="dxa"/>
            <w:vAlign w:val="bottom"/>
            <w:tcBorders>
              <w:bottom w:val="single" w:sz="8" w:color="auto"/>
              <w:right w:val="single" w:sz="8" w:color="auto"/>
            </w:tcBorders>
          </w:tcPr>
          <w:p>
            <w:pPr>
              <w:jc w:val="right"/>
              <w:ind w:right="28"/>
              <w:spacing w:after="0"/>
              <w:rPr>
                <w:sz w:val="20"/>
                <w:szCs w:val="20"/>
                <w:color w:val="auto"/>
              </w:rPr>
            </w:pPr>
            <w:r>
              <w:rPr>
                <w:rFonts w:ascii="Arial" w:cs="Arial" w:eastAsia="Arial" w:hAnsi="Arial"/>
                <w:sz w:val="14"/>
                <w:szCs w:val="14"/>
                <w:color w:val="auto"/>
              </w:rPr>
              <w:t>3,755</w:t>
            </w:r>
          </w:p>
        </w:tc>
        <w:tc>
          <w:tcPr>
            <w:tcW w:w="11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126</w:t>
            </w:r>
          </w:p>
        </w:tc>
        <w:tc>
          <w:tcPr>
            <w:tcW w:w="9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18,262</w:t>
            </w:r>
          </w:p>
        </w:tc>
      </w:tr>
      <w:tr>
        <w:trPr>
          <w:trHeight w:val="196"/>
        </w:trPr>
        <w:tc>
          <w:tcPr>
            <w:tcW w:w="4180" w:type="dxa"/>
            <w:vAlign w:val="bottom"/>
            <w:tcBorders>
              <w:left w:val="single" w:sz="8" w:color="auto"/>
              <w:bottom w:val="single" w:sz="8" w:color="auto"/>
              <w:right w:val="single" w:sz="8" w:color="auto"/>
            </w:tcBorders>
          </w:tcPr>
          <w:p>
            <w:pPr>
              <w:ind w:left="300"/>
              <w:spacing w:after="0"/>
              <w:rPr>
                <w:sz w:val="20"/>
                <w:szCs w:val="20"/>
                <w:color w:val="auto"/>
              </w:rPr>
            </w:pPr>
            <w:r>
              <w:rPr>
                <w:rFonts w:ascii="Arial" w:cs="Arial" w:eastAsia="Arial" w:hAnsi="Arial"/>
                <w:sz w:val="14"/>
                <w:szCs w:val="14"/>
                <w:color w:val="auto"/>
              </w:rPr>
              <w:t>citizenM</w:t>
            </w:r>
          </w:p>
        </w:tc>
        <w:tc>
          <w:tcPr>
            <w:tcW w:w="12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16</w:t>
            </w:r>
          </w:p>
        </w:tc>
        <w:tc>
          <w:tcPr>
            <w:tcW w:w="84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4,374</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21</w:t>
            </w:r>
          </w:p>
        </w:tc>
        <w:tc>
          <w:tcPr>
            <w:tcW w:w="960" w:type="dxa"/>
            <w:vAlign w:val="bottom"/>
            <w:tcBorders>
              <w:bottom w:val="single" w:sz="8" w:color="auto"/>
              <w:right w:val="single" w:sz="8" w:color="auto"/>
            </w:tcBorders>
          </w:tcPr>
          <w:p>
            <w:pPr>
              <w:jc w:val="right"/>
              <w:ind w:right="28"/>
              <w:spacing w:after="0"/>
              <w:rPr>
                <w:sz w:val="20"/>
                <w:szCs w:val="20"/>
                <w:color w:val="auto"/>
              </w:rPr>
            </w:pPr>
            <w:r>
              <w:rPr>
                <w:rFonts w:ascii="Arial" w:cs="Arial" w:eastAsia="Arial" w:hAnsi="Arial"/>
                <w:sz w:val="14"/>
                <w:szCs w:val="14"/>
                <w:color w:val="auto"/>
              </w:rPr>
              <w:t>4,415</w:t>
            </w:r>
          </w:p>
        </w:tc>
        <w:tc>
          <w:tcPr>
            <w:tcW w:w="11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37</w:t>
            </w:r>
          </w:p>
        </w:tc>
        <w:tc>
          <w:tcPr>
            <w:tcW w:w="9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8,789</w:t>
            </w:r>
          </w:p>
        </w:tc>
      </w:tr>
      <w:tr>
        <w:trPr>
          <w:trHeight w:val="196"/>
        </w:trPr>
        <w:tc>
          <w:tcPr>
            <w:tcW w:w="4180" w:type="dxa"/>
            <w:vAlign w:val="bottom"/>
            <w:tcBorders>
              <w:left w:val="single" w:sz="8" w:color="auto"/>
              <w:bottom w:val="single" w:sz="8" w:color="auto"/>
              <w:right w:val="single" w:sz="8" w:color="auto"/>
            </w:tcBorders>
          </w:tcPr>
          <w:p>
            <w:pPr>
              <w:ind w:left="300"/>
              <w:spacing w:after="0"/>
              <w:rPr>
                <w:sz w:val="20"/>
                <w:szCs w:val="20"/>
                <w:color w:val="auto"/>
              </w:rPr>
            </w:pPr>
            <w:r>
              <w:rPr>
                <w:rFonts w:ascii="Arial" w:cs="Arial" w:eastAsia="Arial" w:hAnsi="Arial"/>
                <w:sz w:val="14"/>
                <w:szCs w:val="14"/>
                <w:color w:val="auto"/>
              </w:rPr>
              <w:t>Protea Hotels by Marriott</w:t>
            </w:r>
          </w:p>
        </w:tc>
        <w:tc>
          <w:tcPr>
            <w:tcW w:w="12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65</w:t>
            </w:r>
          </w:p>
        </w:tc>
        <w:tc>
          <w:tcPr>
            <w:tcW w:w="960" w:type="dxa"/>
            <w:vAlign w:val="bottom"/>
            <w:tcBorders>
              <w:bottom w:val="single" w:sz="8" w:color="auto"/>
              <w:right w:val="single" w:sz="8" w:color="auto"/>
            </w:tcBorders>
          </w:tcPr>
          <w:p>
            <w:pPr>
              <w:jc w:val="right"/>
              <w:ind w:right="28"/>
              <w:spacing w:after="0"/>
              <w:rPr>
                <w:sz w:val="20"/>
                <w:szCs w:val="20"/>
                <w:color w:val="auto"/>
              </w:rPr>
            </w:pPr>
            <w:r>
              <w:rPr>
                <w:rFonts w:ascii="Arial" w:cs="Arial" w:eastAsia="Arial" w:hAnsi="Arial"/>
                <w:sz w:val="14"/>
                <w:szCs w:val="14"/>
                <w:color w:val="auto"/>
              </w:rPr>
              <w:t>7,021</w:t>
            </w:r>
          </w:p>
        </w:tc>
        <w:tc>
          <w:tcPr>
            <w:tcW w:w="11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65</w:t>
            </w:r>
          </w:p>
        </w:tc>
        <w:tc>
          <w:tcPr>
            <w:tcW w:w="9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7,021</w:t>
            </w:r>
          </w:p>
        </w:tc>
      </w:tr>
      <w:tr>
        <w:trPr>
          <w:trHeight w:val="665"/>
        </w:trPr>
        <w:tc>
          <w:tcPr>
            <w:tcW w:w="4180" w:type="dxa"/>
            <w:vAlign w:val="bottom"/>
          </w:tcPr>
          <w:p>
            <w:pPr>
              <w:spacing w:after="0"/>
              <w:rPr>
                <w:sz w:val="24"/>
                <w:szCs w:val="24"/>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A-7</w:t>
            </w:r>
          </w:p>
        </w:tc>
        <w:tc>
          <w:tcPr>
            <w:tcW w:w="8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0500"/>
          </w:cols>
          <w:pgMar w:left="700" w:top="414" w:right="699" w:bottom="1440" w:gutter="0" w:footer="0" w:header="0"/>
        </w:sectPr>
      </w:pPr>
    </w:p>
    <w:bookmarkStart w:id="17" w:name="page18"/>
    <w:bookmarkEnd w:id="17"/>
    <w:p>
      <w:pPr>
        <w:jc w:val="center"/>
        <w:ind w:right="20"/>
        <w:spacing w:after="0"/>
        <w:rPr>
          <w:sz w:val="20"/>
          <w:szCs w:val="20"/>
          <w:color w:val="auto"/>
        </w:rPr>
      </w:pPr>
      <w:r>
        <w:rPr>
          <w:rFonts w:ascii="Arial" w:cs="Arial" w:eastAsia="Arial" w:hAnsi="Arial"/>
          <w:sz w:val="14"/>
          <w:szCs w:val="14"/>
          <w:b w:val="1"/>
          <w:bCs w:val="1"/>
          <w:color w:val="auto"/>
        </w:rPr>
        <w:t>MARRIOTT INTERNATIONAL, INC.</w:t>
      </w:r>
    </w:p>
    <w:p>
      <w:pPr>
        <w:spacing w:after="0" w:line="42"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TOTAL LODGING PRODUCTS BY TIER</w:t>
      </w:r>
    </w:p>
    <w:p>
      <w:pPr>
        <w:spacing w:after="0" w:line="42"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As of March 31, 2026</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220"/>
        </w:trPr>
        <w:tc>
          <w:tcPr>
            <w:tcW w:w="4180" w:type="dxa"/>
            <w:vAlign w:val="bottom"/>
            <w:tcBorders>
              <w:top w:val="single" w:sz="8" w:color="auto"/>
              <w:left w:val="single" w:sz="8" w:color="auto"/>
              <w:right w:val="single" w:sz="8" w:color="auto"/>
            </w:tcBorders>
          </w:tcPr>
          <w:p>
            <w:pPr>
              <w:spacing w:after="0"/>
              <w:rPr>
                <w:sz w:val="19"/>
                <w:szCs w:val="19"/>
                <w:color w:val="auto"/>
              </w:rPr>
            </w:pPr>
          </w:p>
        </w:tc>
        <w:tc>
          <w:tcPr>
            <w:tcW w:w="2100" w:type="dxa"/>
            <w:vAlign w:val="bottom"/>
            <w:tcBorders>
              <w:top w:val="single" w:sz="8" w:color="auto"/>
              <w:right w:val="single" w:sz="8" w:color="auto"/>
            </w:tcBorders>
            <w:gridSpan w:val="2"/>
          </w:tcPr>
          <w:p>
            <w:pPr>
              <w:jc w:val="right"/>
              <w:ind w:right="528"/>
              <w:spacing w:after="0"/>
              <w:rPr>
                <w:sz w:val="20"/>
                <w:szCs w:val="20"/>
                <w:color w:val="auto"/>
              </w:rPr>
            </w:pPr>
            <w:r>
              <w:rPr>
                <w:rFonts w:ascii="Arial" w:cs="Arial" w:eastAsia="Arial" w:hAnsi="Arial"/>
                <w:sz w:val="14"/>
                <w:szCs w:val="14"/>
                <w:b w:val="1"/>
                <w:bCs w:val="1"/>
                <w:color w:val="auto"/>
              </w:rPr>
              <w:t>US &amp; Canada</w:t>
            </w:r>
          </w:p>
        </w:tc>
        <w:tc>
          <w:tcPr>
            <w:tcW w:w="2120" w:type="dxa"/>
            <w:vAlign w:val="bottom"/>
            <w:tcBorders>
              <w:top w:val="single" w:sz="8" w:color="auto"/>
              <w:right w:val="single" w:sz="8" w:color="auto"/>
            </w:tcBorders>
            <w:gridSpan w:val="2"/>
          </w:tcPr>
          <w:p>
            <w:pPr>
              <w:jc w:val="right"/>
              <w:ind w:right="348"/>
              <w:spacing w:after="0"/>
              <w:rPr>
                <w:sz w:val="20"/>
                <w:szCs w:val="20"/>
                <w:color w:val="auto"/>
              </w:rPr>
            </w:pPr>
            <w:r>
              <w:rPr>
                <w:rFonts w:ascii="Arial" w:cs="Arial" w:eastAsia="Arial" w:hAnsi="Arial"/>
                <w:sz w:val="14"/>
                <w:szCs w:val="14"/>
                <w:b w:val="1"/>
                <w:bCs w:val="1"/>
                <w:color w:val="auto"/>
              </w:rPr>
              <w:t>Total International</w:t>
            </w:r>
            <w:r>
              <w:rPr>
                <w:rFonts w:ascii="Arial" w:cs="Arial" w:eastAsia="Arial" w:hAnsi="Arial"/>
                <w:sz w:val="18"/>
                <w:szCs w:val="18"/>
                <w:b w:val="1"/>
                <w:bCs w:val="1"/>
                <w:color w:val="auto"/>
                <w:vertAlign w:val="superscript"/>
              </w:rPr>
              <w:t>1</w:t>
            </w:r>
          </w:p>
        </w:tc>
        <w:tc>
          <w:tcPr>
            <w:tcW w:w="2100" w:type="dxa"/>
            <w:vAlign w:val="bottom"/>
            <w:tcBorders>
              <w:top w:val="single" w:sz="8" w:color="auto"/>
              <w:right w:val="single" w:sz="8" w:color="auto"/>
            </w:tcBorders>
            <w:gridSpan w:val="2"/>
          </w:tcPr>
          <w:p>
            <w:pPr>
              <w:jc w:val="right"/>
              <w:ind w:right="448"/>
              <w:spacing w:after="0"/>
              <w:rPr>
                <w:sz w:val="20"/>
                <w:szCs w:val="20"/>
                <w:color w:val="auto"/>
              </w:rPr>
            </w:pPr>
            <w:r>
              <w:rPr>
                <w:rFonts w:ascii="Arial" w:cs="Arial" w:eastAsia="Arial" w:hAnsi="Arial"/>
                <w:sz w:val="14"/>
                <w:szCs w:val="14"/>
                <w:b w:val="1"/>
                <w:bCs w:val="1"/>
                <w:color w:val="auto"/>
              </w:rPr>
              <w:t>Total Worldwide</w:t>
            </w:r>
          </w:p>
        </w:tc>
      </w:tr>
      <w:tr>
        <w:trPr>
          <w:trHeight w:val="197"/>
        </w:trPr>
        <w:tc>
          <w:tcPr>
            <w:tcW w:w="4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Total Systemwide</w:t>
            </w:r>
          </w:p>
        </w:tc>
        <w:tc>
          <w:tcPr>
            <w:tcW w:w="11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Properties</w:t>
            </w:r>
          </w:p>
        </w:tc>
        <w:tc>
          <w:tcPr>
            <w:tcW w:w="940" w:type="dxa"/>
            <w:vAlign w:val="bottom"/>
            <w:tcBorders>
              <w:bottom w:val="single" w:sz="8" w:color="auto"/>
              <w:right w:val="single" w:sz="8" w:color="auto"/>
            </w:tcBorders>
          </w:tcPr>
          <w:p>
            <w:pPr>
              <w:jc w:val="right"/>
              <w:ind w:right="228"/>
              <w:spacing w:after="0"/>
              <w:rPr>
                <w:sz w:val="20"/>
                <w:szCs w:val="20"/>
                <w:color w:val="auto"/>
              </w:rPr>
            </w:pPr>
            <w:r>
              <w:rPr>
                <w:rFonts w:ascii="Arial" w:cs="Arial" w:eastAsia="Arial" w:hAnsi="Arial"/>
                <w:sz w:val="14"/>
                <w:szCs w:val="14"/>
                <w:color w:val="auto"/>
              </w:rPr>
              <w:t>Rooms</w:t>
            </w:r>
          </w:p>
        </w:tc>
        <w:tc>
          <w:tcPr>
            <w:tcW w:w="11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Properties</w:t>
            </w:r>
          </w:p>
        </w:tc>
        <w:tc>
          <w:tcPr>
            <w:tcW w:w="960" w:type="dxa"/>
            <w:vAlign w:val="bottom"/>
            <w:tcBorders>
              <w:bottom w:val="single" w:sz="8" w:color="auto"/>
              <w:right w:val="single" w:sz="8" w:color="auto"/>
            </w:tcBorders>
          </w:tcPr>
          <w:p>
            <w:pPr>
              <w:jc w:val="right"/>
              <w:ind w:right="248"/>
              <w:spacing w:after="0"/>
              <w:rPr>
                <w:sz w:val="20"/>
                <w:szCs w:val="20"/>
                <w:color w:val="auto"/>
              </w:rPr>
            </w:pPr>
            <w:r>
              <w:rPr>
                <w:rFonts w:ascii="Arial" w:cs="Arial" w:eastAsia="Arial" w:hAnsi="Arial"/>
                <w:sz w:val="14"/>
                <w:szCs w:val="14"/>
                <w:color w:val="auto"/>
              </w:rPr>
              <w:t>Rooms</w:t>
            </w:r>
          </w:p>
        </w:tc>
        <w:tc>
          <w:tcPr>
            <w:tcW w:w="11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Properties</w:t>
            </w:r>
          </w:p>
        </w:tc>
        <w:tc>
          <w:tcPr>
            <w:tcW w:w="960" w:type="dxa"/>
            <w:vAlign w:val="bottom"/>
            <w:tcBorders>
              <w:bottom w:val="single" w:sz="8" w:color="auto"/>
              <w:right w:val="single" w:sz="8" w:color="auto"/>
            </w:tcBorders>
          </w:tcPr>
          <w:p>
            <w:pPr>
              <w:jc w:val="right"/>
              <w:ind w:right="248"/>
              <w:spacing w:after="0"/>
              <w:rPr>
                <w:sz w:val="20"/>
                <w:szCs w:val="20"/>
                <w:color w:val="auto"/>
              </w:rPr>
            </w:pPr>
            <w:r>
              <w:rPr>
                <w:rFonts w:ascii="Arial" w:cs="Arial" w:eastAsia="Arial" w:hAnsi="Arial"/>
                <w:sz w:val="14"/>
                <w:szCs w:val="14"/>
                <w:color w:val="auto"/>
              </w:rPr>
              <w:t>Rooms</w:t>
            </w:r>
          </w:p>
        </w:tc>
      </w:tr>
      <w:tr>
        <w:trPr>
          <w:trHeight w:val="196"/>
        </w:trPr>
        <w:tc>
          <w:tcPr>
            <w:tcW w:w="4180" w:type="dxa"/>
            <w:vAlign w:val="bottom"/>
            <w:tcBorders>
              <w:left w:val="single" w:sz="8" w:color="auto"/>
              <w:bottom w:val="single" w:sz="8" w:color="auto"/>
              <w:right w:val="single" w:sz="8" w:color="auto"/>
            </w:tcBorders>
            <w:shd w:val="clear" w:color="auto" w:fill="D9D9D9"/>
          </w:tcPr>
          <w:p>
            <w:pPr>
              <w:ind w:left="40"/>
              <w:spacing w:after="0"/>
              <w:rPr>
                <w:sz w:val="20"/>
                <w:szCs w:val="20"/>
                <w:color w:val="auto"/>
              </w:rPr>
            </w:pPr>
            <w:r>
              <w:rPr>
                <w:rFonts w:ascii="Arial" w:cs="Arial" w:eastAsia="Arial" w:hAnsi="Arial"/>
                <w:sz w:val="14"/>
                <w:szCs w:val="14"/>
                <w:b w:val="1"/>
                <w:bCs w:val="1"/>
                <w:color w:val="auto"/>
              </w:rPr>
              <w:t>Midscale</w:t>
            </w:r>
          </w:p>
        </w:tc>
        <w:tc>
          <w:tcPr>
            <w:tcW w:w="1160" w:type="dxa"/>
            <w:vAlign w:val="bottom"/>
            <w:tcBorders>
              <w:bottom w:val="single" w:sz="8" w:color="auto"/>
            </w:tcBorders>
            <w:shd w:val="clear" w:color="auto" w:fill="D9D9D9"/>
          </w:tcPr>
          <w:p>
            <w:pPr>
              <w:jc w:val="right"/>
              <w:ind w:right="108"/>
              <w:spacing w:after="0"/>
              <w:rPr>
                <w:sz w:val="20"/>
                <w:szCs w:val="20"/>
                <w:color w:val="auto"/>
              </w:rPr>
            </w:pPr>
            <w:r>
              <w:rPr>
                <w:rFonts w:ascii="Arial" w:cs="Arial" w:eastAsia="Arial" w:hAnsi="Arial"/>
                <w:sz w:val="14"/>
                <w:szCs w:val="14"/>
                <w:b w:val="1"/>
                <w:bCs w:val="1"/>
                <w:color w:val="auto"/>
              </w:rPr>
              <w:t>27</w:t>
            </w:r>
          </w:p>
        </w:tc>
        <w:tc>
          <w:tcPr>
            <w:tcW w:w="940" w:type="dxa"/>
            <w:vAlign w:val="bottom"/>
            <w:tcBorders>
              <w:bottom w:val="single" w:sz="8" w:color="auto"/>
              <w:right w:val="single" w:sz="8" w:color="auto"/>
            </w:tcBorders>
            <w:shd w:val="clear" w:color="auto" w:fill="D9D9D9"/>
          </w:tcPr>
          <w:p>
            <w:pPr>
              <w:jc w:val="right"/>
              <w:ind w:right="8"/>
              <w:spacing w:after="0"/>
              <w:rPr>
                <w:sz w:val="20"/>
                <w:szCs w:val="20"/>
                <w:color w:val="auto"/>
              </w:rPr>
            </w:pPr>
            <w:r>
              <w:rPr>
                <w:rFonts w:ascii="Arial" w:cs="Arial" w:eastAsia="Arial" w:hAnsi="Arial"/>
                <w:sz w:val="14"/>
                <w:szCs w:val="14"/>
                <w:b w:val="1"/>
                <w:bCs w:val="1"/>
                <w:color w:val="auto"/>
              </w:rPr>
              <w:t>2,863</w:t>
            </w:r>
          </w:p>
        </w:tc>
        <w:tc>
          <w:tcPr>
            <w:tcW w:w="1160" w:type="dxa"/>
            <w:vAlign w:val="bottom"/>
            <w:tcBorders>
              <w:bottom w:val="single" w:sz="8" w:color="auto"/>
            </w:tcBorders>
            <w:shd w:val="clear" w:color="auto" w:fill="D9D9D9"/>
          </w:tcPr>
          <w:p>
            <w:pPr>
              <w:jc w:val="right"/>
              <w:ind w:right="108"/>
              <w:spacing w:after="0"/>
              <w:rPr>
                <w:sz w:val="20"/>
                <w:szCs w:val="20"/>
                <w:color w:val="auto"/>
              </w:rPr>
            </w:pPr>
            <w:r>
              <w:rPr>
                <w:rFonts w:ascii="Arial" w:cs="Arial" w:eastAsia="Arial" w:hAnsi="Arial"/>
                <w:sz w:val="14"/>
                <w:szCs w:val="14"/>
                <w:b w:val="1"/>
                <w:bCs w:val="1"/>
                <w:color w:val="auto"/>
              </w:rPr>
              <w:t>257</w:t>
            </w:r>
          </w:p>
        </w:tc>
        <w:tc>
          <w:tcPr>
            <w:tcW w:w="960" w:type="dxa"/>
            <w:vAlign w:val="bottom"/>
            <w:tcBorders>
              <w:bottom w:val="single" w:sz="8" w:color="auto"/>
              <w:right w:val="single" w:sz="8" w:color="auto"/>
            </w:tcBorders>
            <w:shd w:val="clear" w:color="auto" w:fill="D9D9D9"/>
          </w:tcPr>
          <w:p>
            <w:pPr>
              <w:jc w:val="right"/>
              <w:ind w:right="28"/>
              <w:spacing w:after="0"/>
              <w:rPr>
                <w:sz w:val="20"/>
                <w:szCs w:val="20"/>
                <w:color w:val="auto"/>
              </w:rPr>
            </w:pPr>
            <w:r>
              <w:rPr>
                <w:rFonts w:ascii="Arial" w:cs="Arial" w:eastAsia="Arial" w:hAnsi="Arial"/>
                <w:sz w:val="14"/>
                <w:szCs w:val="14"/>
                <w:b w:val="1"/>
                <w:bCs w:val="1"/>
                <w:color w:val="auto"/>
              </w:rPr>
              <w:t>29,721</w:t>
            </w:r>
          </w:p>
        </w:tc>
        <w:tc>
          <w:tcPr>
            <w:tcW w:w="1140" w:type="dxa"/>
            <w:vAlign w:val="bottom"/>
            <w:tcBorders>
              <w:bottom w:val="single" w:sz="8" w:color="auto"/>
            </w:tcBorders>
            <w:shd w:val="clear" w:color="auto" w:fill="D9D9D9"/>
          </w:tcPr>
          <w:p>
            <w:pPr>
              <w:jc w:val="right"/>
              <w:ind w:right="108"/>
              <w:spacing w:after="0"/>
              <w:rPr>
                <w:sz w:val="20"/>
                <w:szCs w:val="20"/>
                <w:color w:val="auto"/>
              </w:rPr>
            </w:pPr>
            <w:r>
              <w:rPr>
                <w:rFonts w:ascii="Arial" w:cs="Arial" w:eastAsia="Arial" w:hAnsi="Arial"/>
                <w:sz w:val="14"/>
                <w:szCs w:val="14"/>
                <w:b w:val="1"/>
                <w:bCs w:val="1"/>
                <w:color w:val="auto"/>
              </w:rPr>
              <w:t>284</w:t>
            </w:r>
          </w:p>
        </w:tc>
        <w:tc>
          <w:tcPr>
            <w:tcW w:w="960" w:type="dxa"/>
            <w:vAlign w:val="bottom"/>
            <w:tcBorders>
              <w:bottom w:val="single" w:sz="8" w:color="auto"/>
              <w:right w:val="single" w:sz="8" w:color="auto"/>
            </w:tcBorders>
            <w:shd w:val="clear" w:color="auto" w:fill="D9D9D9"/>
          </w:tcPr>
          <w:p>
            <w:pPr>
              <w:jc w:val="right"/>
              <w:ind w:right="8"/>
              <w:spacing w:after="0"/>
              <w:rPr>
                <w:sz w:val="20"/>
                <w:szCs w:val="20"/>
                <w:color w:val="auto"/>
              </w:rPr>
            </w:pPr>
            <w:r>
              <w:rPr>
                <w:rFonts w:ascii="Arial" w:cs="Arial" w:eastAsia="Arial" w:hAnsi="Arial"/>
                <w:sz w:val="14"/>
                <w:szCs w:val="14"/>
                <w:b w:val="1"/>
                <w:bCs w:val="1"/>
                <w:color w:val="auto"/>
              </w:rPr>
              <w:t>32,584</w:t>
            </w:r>
          </w:p>
        </w:tc>
      </w:tr>
      <w:tr>
        <w:trPr>
          <w:trHeight w:val="193"/>
        </w:trPr>
        <w:tc>
          <w:tcPr>
            <w:tcW w:w="4180" w:type="dxa"/>
            <w:vAlign w:val="bottom"/>
            <w:tcBorders>
              <w:left w:val="single" w:sz="8" w:color="auto"/>
              <w:bottom w:val="single" w:sz="8" w:color="auto"/>
              <w:right w:val="single" w:sz="8" w:color="auto"/>
            </w:tcBorders>
          </w:tcPr>
          <w:p>
            <w:pPr>
              <w:ind w:left="300"/>
              <w:spacing w:after="0"/>
              <w:rPr>
                <w:sz w:val="20"/>
                <w:szCs w:val="20"/>
                <w:color w:val="auto"/>
              </w:rPr>
            </w:pPr>
            <w:r>
              <w:rPr>
                <w:rFonts w:ascii="Arial" w:cs="Arial" w:eastAsia="Arial" w:hAnsi="Arial"/>
                <w:sz w:val="14"/>
                <w:szCs w:val="14"/>
                <w:color w:val="auto"/>
              </w:rPr>
              <w:t>City Express by Marriott</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16</w:t>
            </w:r>
          </w:p>
        </w:tc>
        <w:tc>
          <w:tcPr>
            <w:tcW w:w="94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1,569</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150</w:t>
            </w:r>
          </w:p>
        </w:tc>
        <w:tc>
          <w:tcPr>
            <w:tcW w:w="960" w:type="dxa"/>
            <w:vAlign w:val="bottom"/>
            <w:tcBorders>
              <w:bottom w:val="single" w:sz="8" w:color="auto"/>
              <w:right w:val="single" w:sz="8" w:color="auto"/>
            </w:tcBorders>
          </w:tcPr>
          <w:p>
            <w:pPr>
              <w:jc w:val="right"/>
              <w:ind w:right="28"/>
              <w:spacing w:after="0"/>
              <w:rPr>
                <w:sz w:val="20"/>
                <w:szCs w:val="20"/>
                <w:color w:val="auto"/>
              </w:rPr>
            </w:pPr>
            <w:r>
              <w:rPr>
                <w:rFonts w:ascii="Arial" w:cs="Arial" w:eastAsia="Arial" w:hAnsi="Arial"/>
                <w:sz w:val="14"/>
                <w:szCs w:val="14"/>
                <w:color w:val="auto"/>
              </w:rPr>
              <w:t>17,907</w:t>
            </w:r>
          </w:p>
        </w:tc>
        <w:tc>
          <w:tcPr>
            <w:tcW w:w="11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166</w:t>
            </w:r>
          </w:p>
        </w:tc>
        <w:tc>
          <w:tcPr>
            <w:tcW w:w="9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19,476</w:t>
            </w:r>
          </w:p>
        </w:tc>
      </w:tr>
      <w:tr>
        <w:trPr>
          <w:trHeight w:val="196"/>
        </w:trPr>
        <w:tc>
          <w:tcPr>
            <w:tcW w:w="4180" w:type="dxa"/>
            <w:vAlign w:val="bottom"/>
            <w:tcBorders>
              <w:left w:val="single" w:sz="8" w:color="auto"/>
              <w:bottom w:val="single" w:sz="8" w:color="auto"/>
              <w:right w:val="single" w:sz="8" w:color="auto"/>
            </w:tcBorders>
          </w:tcPr>
          <w:p>
            <w:pPr>
              <w:ind w:left="300"/>
              <w:spacing w:after="0"/>
              <w:rPr>
                <w:sz w:val="20"/>
                <w:szCs w:val="20"/>
                <w:color w:val="auto"/>
              </w:rPr>
            </w:pPr>
            <w:r>
              <w:rPr>
                <w:rFonts w:ascii="Arial" w:cs="Arial" w:eastAsia="Arial" w:hAnsi="Arial"/>
                <w:sz w:val="14"/>
                <w:szCs w:val="14"/>
                <w:color w:val="auto"/>
              </w:rPr>
              <w:t>Four Points Flex by Sheraton</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57</w:t>
            </w:r>
          </w:p>
        </w:tc>
        <w:tc>
          <w:tcPr>
            <w:tcW w:w="960" w:type="dxa"/>
            <w:vAlign w:val="bottom"/>
            <w:tcBorders>
              <w:bottom w:val="single" w:sz="8" w:color="auto"/>
              <w:right w:val="single" w:sz="8" w:color="auto"/>
            </w:tcBorders>
          </w:tcPr>
          <w:p>
            <w:pPr>
              <w:jc w:val="right"/>
              <w:ind w:right="28"/>
              <w:spacing w:after="0"/>
              <w:rPr>
                <w:sz w:val="20"/>
                <w:szCs w:val="20"/>
                <w:color w:val="auto"/>
              </w:rPr>
            </w:pPr>
            <w:r>
              <w:rPr>
                <w:rFonts w:ascii="Arial" w:cs="Arial" w:eastAsia="Arial" w:hAnsi="Arial"/>
                <w:sz w:val="14"/>
                <w:szCs w:val="14"/>
                <w:color w:val="auto"/>
              </w:rPr>
              <w:t>8,259</w:t>
            </w:r>
          </w:p>
        </w:tc>
        <w:tc>
          <w:tcPr>
            <w:tcW w:w="11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57</w:t>
            </w:r>
          </w:p>
        </w:tc>
        <w:tc>
          <w:tcPr>
            <w:tcW w:w="9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8,259</w:t>
            </w:r>
          </w:p>
        </w:tc>
      </w:tr>
      <w:tr>
        <w:trPr>
          <w:trHeight w:val="196"/>
        </w:trPr>
        <w:tc>
          <w:tcPr>
            <w:tcW w:w="4180" w:type="dxa"/>
            <w:vAlign w:val="bottom"/>
            <w:tcBorders>
              <w:left w:val="single" w:sz="8" w:color="auto"/>
              <w:bottom w:val="single" w:sz="8" w:color="auto"/>
              <w:right w:val="single" w:sz="8" w:color="auto"/>
            </w:tcBorders>
          </w:tcPr>
          <w:p>
            <w:pPr>
              <w:ind w:left="300"/>
              <w:spacing w:after="0"/>
              <w:rPr>
                <w:sz w:val="20"/>
                <w:szCs w:val="20"/>
                <w:color w:val="auto"/>
              </w:rPr>
            </w:pPr>
            <w:r>
              <w:rPr>
                <w:rFonts w:ascii="Arial" w:cs="Arial" w:eastAsia="Arial" w:hAnsi="Arial"/>
                <w:sz w:val="14"/>
                <w:szCs w:val="14"/>
                <w:color w:val="auto"/>
              </w:rPr>
              <w:t>Series by Marriott **</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5</w:t>
            </w:r>
          </w:p>
        </w:tc>
        <w:tc>
          <w:tcPr>
            <w:tcW w:w="94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550</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50</w:t>
            </w:r>
          </w:p>
        </w:tc>
        <w:tc>
          <w:tcPr>
            <w:tcW w:w="960" w:type="dxa"/>
            <w:vAlign w:val="bottom"/>
            <w:tcBorders>
              <w:bottom w:val="single" w:sz="8" w:color="auto"/>
              <w:right w:val="single" w:sz="8" w:color="auto"/>
            </w:tcBorders>
          </w:tcPr>
          <w:p>
            <w:pPr>
              <w:jc w:val="right"/>
              <w:ind w:right="28"/>
              <w:spacing w:after="0"/>
              <w:rPr>
                <w:sz w:val="20"/>
                <w:szCs w:val="20"/>
                <w:color w:val="auto"/>
              </w:rPr>
            </w:pPr>
            <w:r>
              <w:rPr>
                <w:rFonts w:ascii="Arial" w:cs="Arial" w:eastAsia="Arial" w:hAnsi="Arial"/>
                <w:sz w:val="14"/>
                <w:szCs w:val="14"/>
                <w:color w:val="auto"/>
              </w:rPr>
              <w:t>3,555</w:t>
            </w:r>
          </w:p>
        </w:tc>
        <w:tc>
          <w:tcPr>
            <w:tcW w:w="11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55</w:t>
            </w:r>
          </w:p>
        </w:tc>
        <w:tc>
          <w:tcPr>
            <w:tcW w:w="9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4,105</w:t>
            </w:r>
          </w:p>
        </w:tc>
      </w:tr>
      <w:tr>
        <w:trPr>
          <w:trHeight w:val="196"/>
        </w:trPr>
        <w:tc>
          <w:tcPr>
            <w:tcW w:w="4180" w:type="dxa"/>
            <w:vAlign w:val="bottom"/>
            <w:tcBorders>
              <w:left w:val="single" w:sz="8" w:color="auto"/>
              <w:bottom w:val="single" w:sz="8" w:color="auto"/>
              <w:right w:val="single" w:sz="8" w:color="auto"/>
            </w:tcBorders>
          </w:tcPr>
          <w:p>
            <w:pPr>
              <w:ind w:left="300"/>
              <w:spacing w:after="0"/>
              <w:rPr>
                <w:sz w:val="20"/>
                <w:szCs w:val="20"/>
                <w:color w:val="auto"/>
              </w:rPr>
            </w:pPr>
            <w:r>
              <w:rPr>
                <w:rFonts w:ascii="Arial" w:cs="Arial" w:eastAsia="Arial" w:hAnsi="Arial"/>
                <w:sz w:val="14"/>
                <w:szCs w:val="14"/>
                <w:color w:val="auto"/>
              </w:rPr>
              <w:t>StudioRes</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6</w:t>
            </w:r>
          </w:p>
        </w:tc>
        <w:tc>
          <w:tcPr>
            <w:tcW w:w="94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744</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right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6</w:t>
            </w:r>
          </w:p>
        </w:tc>
        <w:tc>
          <w:tcPr>
            <w:tcW w:w="9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744</w:t>
            </w:r>
          </w:p>
        </w:tc>
      </w:tr>
      <w:tr>
        <w:trPr>
          <w:trHeight w:val="199"/>
        </w:trPr>
        <w:tc>
          <w:tcPr>
            <w:tcW w:w="4180" w:type="dxa"/>
            <w:vAlign w:val="bottom"/>
            <w:tcBorders>
              <w:left w:val="single" w:sz="8" w:color="auto"/>
              <w:bottom w:val="single" w:sz="8" w:color="auto"/>
              <w:right w:val="single" w:sz="8" w:color="auto"/>
            </w:tcBorders>
            <w:shd w:val="clear" w:color="auto" w:fill="D9D9D9"/>
          </w:tcPr>
          <w:p>
            <w:pPr>
              <w:ind w:left="80"/>
              <w:spacing w:after="0"/>
              <w:rPr>
                <w:sz w:val="20"/>
                <w:szCs w:val="20"/>
                <w:color w:val="auto"/>
              </w:rPr>
            </w:pPr>
            <w:r>
              <w:rPr>
                <w:rFonts w:ascii="Arial" w:cs="Arial" w:eastAsia="Arial" w:hAnsi="Arial"/>
                <w:sz w:val="14"/>
                <w:szCs w:val="14"/>
                <w:b w:val="1"/>
                <w:bCs w:val="1"/>
                <w:color w:val="auto"/>
              </w:rPr>
              <w:t>Timeshare*</w:t>
            </w:r>
          </w:p>
        </w:tc>
        <w:tc>
          <w:tcPr>
            <w:tcW w:w="1160" w:type="dxa"/>
            <w:vAlign w:val="bottom"/>
            <w:tcBorders>
              <w:bottom w:val="single" w:sz="8" w:color="auto"/>
            </w:tcBorders>
            <w:shd w:val="clear" w:color="auto" w:fill="D9D9D9"/>
          </w:tcPr>
          <w:p>
            <w:pPr>
              <w:jc w:val="right"/>
              <w:ind w:right="108"/>
              <w:spacing w:after="0"/>
              <w:rPr>
                <w:sz w:val="20"/>
                <w:szCs w:val="20"/>
                <w:color w:val="auto"/>
              </w:rPr>
            </w:pPr>
            <w:r>
              <w:rPr>
                <w:rFonts w:ascii="Arial" w:cs="Arial" w:eastAsia="Arial" w:hAnsi="Arial"/>
                <w:sz w:val="14"/>
                <w:szCs w:val="14"/>
                <w:b w:val="1"/>
                <w:bCs w:val="1"/>
                <w:color w:val="auto"/>
              </w:rPr>
              <w:t>73</w:t>
            </w:r>
          </w:p>
        </w:tc>
        <w:tc>
          <w:tcPr>
            <w:tcW w:w="940" w:type="dxa"/>
            <w:vAlign w:val="bottom"/>
            <w:tcBorders>
              <w:bottom w:val="single" w:sz="8" w:color="auto"/>
              <w:right w:val="single" w:sz="8" w:color="auto"/>
            </w:tcBorders>
            <w:shd w:val="clear" w:color="auto" w:fill="D9D9D9"/>
          </w:tcPr>
          <w:p>
            <w:pPr>
              <w:jc w:val="right"/>
              <w:ind w:right="8"/>
              <w:spacing w:after="0"/>
              <w:rPr>
                <w:sz w:val="20"/>
                <w:szCs w:val="20"/>
                <w:color w:val="auto"/>
              </w:rPr>
            </w:pPr>
            <w:r>
              <w:rPr>
                <w:rFonts w:ascii="Arial" w:cs="Arial" w:eastAsia="Arial" w:hAnsi="Arial"/>
                <w:sz w:val="14"/>
                <w:szCs w:val="14"/>
                <w:b w:val="1"/>
                <w:bCs w:val="1"/>
                <w:color w:val="auto"/>
              </w:rPr>
              <w:t>18,949</w:t>
            </w:r>
          </w:p>
        </w:tc>
        <w:tc>
          <w:tcPr>
            <w:tcW w:w="1160" w:type="dxa"/>
            <w:vAlign w:val="bottom"/>
            <w:tcBorders>
              <w:bottom w:val="single" w:sz="8" w:color="auto"/>
            </w:tcBorders>
            <w:shd w:val="clear" w:color="auto" w:fill="D9D9D9"/>
          </w:tcPr>
          <w:p>
            <w:pPr>
              <w:jc w:val="right"/>
              <w:ind w:right="108"/>
              <w:spacing w:after="0"/>
              <w:rPr>
                <w:sz w:val="20"/>
                <w:szCs w:val="20"/>
                <w:color w:val="auto"/>
              </w:rPr>
            </w:pPr>
            <w:r>
              <w:rPr>
                <w:rFonts w:ascii="Arial" w:cs="Arial" w:eastAsia="Arial" w:hAnsi="Arial"/>
                <w:sz w:val="14"/>
                <w:szCs w:val="14"/>
                <w:b w:val="1"/>
                <w:bCs w:val="1"/>
                <w:color w:val="auto"/>
              </w:rPr>
              <w:t>22</w:t>
            </w:r>
          </w:p>
        </w:tc>
        <w:tc>
          <w:tcPr>
            <w:tcW w:w="960" w:type="dxa"/>
            <w:vAlign w:val="bottom"/>
            <w:tcBorders>
              <w:bottom w:val="single" w:sz="8" w:color="auto"/>
              <w:right w:val="single" w:sz="8" w:color="auto"/>
            </w:tcBorders>
            <w:shd w:val="clear" w:color="auto" w:fill="D9D9D9"/>
          </w:tcPr>
          <w:p>
            <w:pPr>
              <w:jc w:val="right"/>
              <w:ind w:right="28"/>
              <w:spacing w:after="0"/>
              <w:rPr>
                <w:sz w:val="20"/>
                <w:szCs w:val="20"/>
                <w:color w:val="auto"/>
              </w:rPr>
            </w:pPr>
            <w:r>
              <w:rPr>
                <w:rFonts w:ascii="Arial" w:cs="Arial" w:eastAsia="Arial" w:hAnsi="Arial"/>
                <w:sz w:val="14"/>
                <w:szCs w:val="14"/>
                <w:b w:val="1"/>
                <w:bCs w:val="1"/>
                <w:color w:val="auto"/>
              </w:rPr>
              <w:t>3,963</w:t>
            </w:r>
          </w:p>
        </w:tc>
        <w:tc>
          <w:tcPr>
            <w:tcW w:w="1140" w:type="dxa"/>
            <w:vAlign w:val="bottom"/>
            <w:tcBorders>
              <w:bottom w:val="single" w:sz="8" w:color="auto"/>
            </w:tcBorders>
            <w:shd w:val="clear" w:color="auto" w:fill="D9D9D9"/>
          </w:tcPr>
          <w:p>
            <w:pPr>
              <w:jc w:val="right"/>
              <w:ind w:right="108"/>
              <w:spacing w:after="0"/>
              <w:rPr>
                <w:sz w:val="20"/>
                <w:szCs w:val="20"/>
                <w:color w:val="auto"/>
              </w:rPr>
            </w:pPr>
            <w:r>
              <w:rPr>
                <w:rFonts w:ascii="Arial" w:cs="Arial" w:eastAsia="Arial" w:hAnsi="Arial"/>
                <w:sz w:val="14"/>
                <w:szCs w:val="14"/>
                <w:b w:val="1"/>
                <w:bCs w:val="1"/>
                <w:color w:val="auto"/>
              </w:rPr>
              <w:t>95</w:t>
            </w:r>
          </w:p>
        </w:tc>
        <w:tc>
          <w:tcPr>
            <w:tcW w:w="960" w:type="dxa"/>
            <w:vAlign w:val="bottom"/>
            <w:tcBorders>
              <w:bottom w:val="single" w:sz="8" w:color="auto"/>
              <w:right w:val="single" w:sz="8" w:color="auto"/>
            </w:tcBorders>
            <w:shd w:val="clear" w:color="auto" w:fill="D9D9D9"/>
          </w:tcPr>
          <w:p>
            <w:pPr>
              <w:jc w:val="right"/>
              <w:ind w:right="8"/>
              <w:spacing w:after="0"/>
              <w:rPr>
                <w:sz w:val="20"/>
                <w:szCs w:val="20"/>
                <w:color w:val="auto"/>
              </w:rPr>
            </w:pPr>
            <w:r>
              <w:rPr>
                <w:rFonts w:ascii="Arial" w:cs="Arial" w:eastAsia="Arial" w:hAnsi="Arial"/>
                <w:sz w:val="14"/>
                <w:szCs w:val="14"/>
                <w:b w:val="1"/>
                <w:bCs w:val="1"/>
                <w:color w:val="auto"/>
              </w:rPr>
              <w:t>22,912</w:t>
            </w:r>
          </w:p>
        </w:tc>
      </w:tr>
      <w:tr>
        <w:trPr>
          <w:trHeight w:val="196"/>
        </w:trPr>
        <w:tc>
          <w:tcPr>
            <w:tcW w:w="4180" w:type="dxa"/>
            <w:vAlign w:val="bottom"/>
            <w:tcBorders>
              <w:left w:val="single" w:sz="8" w:color="auto"/>
              <w:bottom w:val="single" w:sz="8" w:color="auto"/>
              <w:right w:val="single" w:sz="8" w:color="auto"/>
            </w:tcBorders>
            <w:shd w:val="clear" w:color="auto" w:fill="DBDBDB"/>
          </w:tcPr>
          <w:p>
            <w:pPr>
              <w:ind w:left="40"/>
              <w:spacing w:after="0"/>
              <w:rPr>
                <w:sz w:val="20"/>
                <w:szCs w:val="20"/>
                <w:color w:val="auto"/>
              </w:rPr>
            </w:pPr>
            <w:r>
              <w:rPr>
                <w:rFonts w:ascii="Arial" w:cs="Arial" w:eastAsia="Arial" w:hAnsi="Arial"/>
                <w:sz w:val="14"/>
                <w:szCs w:val="14"/>
                <w:b w:val="1"/>
                <w:bCs w:val="1"/>
                <w:color w:val="auto"/>
              </w:rPr>
              <w:t>Grand Total</w:t>
            </w:r>
          </w:p>
        </w:tc>
        <w:tc>
          <w:tcPr>
            <w:tcW w:w="1160" w:type="dxa"/>
            <w:vAlign w:val="bottom"/>
            <w:tcBorders>
              <w:bottom w:val="single" w:sz="8" w:color="auto"/>
            </w:tcBorders>
            <w:shd w:val="clear" w:color="auto" w:fill="DBDBDB"/>
          </w:tcPr>
          <w:p>
            <w:pPr>
              <w:jc w:val="right"/>
              <w:ind w:right="108"/>
              <w:spacing w:after="0"/>
              <w:rPr>
                <w:sz w:val="20"/>
                <w:szCs w:val="20"/>
                <w:color w:val="auto"/>
              </w:rPr>
            </w:pPr>
            <w:r>
              <w:rPr>
                <w:rFonts w:ascii="Arial" w:cs="Arial" w:eastAsia="Arial" w:hAnsi="Arial"/>
                <w:sz w:val="14"/>
                <w:szCs w:val="14"/>
                <w:b w:val="1"/>
                <w:bCs w:val="1"/>
                <w:color w:val="auto"/>
              </w:rPr>
              <w:t>6,495</w:t>
            </w:r>
          </w:p>
        </w:tc>
        <w:tc>
          <w:tcPr>
            <w:tcW w:w="940" w:type="dxa"/>
            <w:vAlign w:val="bottom"/>
            <w:tcBorders>
              <w:bottom w:val="single" w:sz="8" w:color="auto"/>
              <w:right w:val="single" w:sz="8" w:color="auto"/>
            </w:tcBorders>
            <w:shd w:val="clear" w:color="auto" w:fill="DBDBDB"/>
          </w:tcPr>
          <w:p>
            <w:pPr>
              <w:jc w:val="right"/>
              <w:ind w:right="8"/>
              <w:spacing w:after="0"/>
              <w:rPr>
                <w:sz w:val="20"/>
                <w:szCs w:val="20"/>
                <w:color w:val="auto"/>
              </w:rPr>
            </w:pPr>
            <w:r>
              <w:rPr>
                <w:rFonts w:ascii="Arial" w:cs="Arial" w:eastAsia="Arial" w:hAnsi="Arial"/>
                <w:sz w:val="14"/>
                <w:szCs w:val="14"/>
                <w:b w:val="1"/>
                <w:bCs w:val="1"/>
                <w:color w:val="auto"/>
              </w:rPr>
              <w:t>1,092,479</w:t>
            </w:r>
          </w:p>
        </w:tc>
        <w:tc>
          <w:tcPr>
            <w:tcW w:w="1160" w:type="dxa"/>
            <w:vAlign w:val="bottom"/>
            <w:tcBorders>
              <w:bottom w:val="single" w:sz="8" w:color="auto"/>
            </w:tcBorders>
            <w:shd w:val="clear" w:color="auto" w:fill="DBDBDB"/>
          </w:tcPr>
          <w:p>
            <w:pPr>
              <w:jc w:val="right"/>
              <w:ind w:right="108"/>
              <w:spacing w:after="0"/>
              <w:rPr>
                <w:sz w:val="20"/>
                <w:szCs w:val="20"/>
                <w:color w:val="auto"/>
              </w:rPr>
            </w:pPr>
            <w:r>
              <w:rPr>
                <w:rFonts w:ascii="Arial" w:cs="Arial" w:eastAsia="Arial" w:hAnsi="Arial"/>
                <w:sz w:val="14"/>
                <w:szCs w:val="14"/>
                <w:b w:val="1"/>
                <w:bCs w:val="1"/>
                <w:color w:val="auto"/>
              </w:rPr>
              <w:t>3,431</w:t>
            </w:r>
          </w:p>
        </w:tc>
        <w:tc>
          <w:tcPr>
            <w:tcW w:w="960" w:type="dxa"/>
            <w:vAlign w:val="bottom"/>
            <w:tcBorders>
              <w:bottom w:val="single" w:sz="8" w:color="auto"/>
              <w:right w:val="single" w:sz="8" w:color="auto"/>
            </w:tcBorders>
            <w:shd w:val="clear" w:color="auto" w:fill="DBDBDB"/>
          </w:tcPr>
          <w:p>
            <w:pPr>
              <w:jc w:val="right"/>
              <w:ind w:right="28"/>
              <w:spacing w:after="0"/>
              <w:rPr>
                <w:sz w:val="20"/>
                <w:szCs w:val="20"/>
                <w:color w:val="auto"/>
              </w:rPr>
            </w:pPr>
            <w:r>
              <w:rPr>
                <w:rFonts w:ascii="Arial" w:cs="Arial" w:eastAsia="Arial" w:hAnsi="Arial"/>
                <w:sz w:val="14"/>
                <w:szCs w:val="14"/>
                <w:b w:val="1"/>
                <w:bCs w:val="1"/>
                <w:color w:val="auto"/>
              </w:rPr>
              <w:t>703,329</w:t>
            </w:r>
          </w:p>
        </w:tc>
        <w:tc>
          <w:tcPr>
            <w:tcW w:w="1140" w:type="dxa"/>
            <w:vAlign w:val="bottom"/>
            <w:tcBorders>
              <w:bottom w:val="single" w:sz="8" w:color="auto"/>
            </w:tcBorders>
            <w:shd w:val="clear" w:color="auto" w:fill="DBDBDB"/>
          </w:tcPr>
          <w:p>
            <w:pPr>
              <w:jc w:val="right"/>
              <w:ind w:right="108"/>
              <w:spacing w:after="0"/>
              <w:rPr>
                <w:sz w:val="20"/>
                <w:szCs w:val="20"/>
                <w:color w:val="auto"/>
              </w:rPr>
            </w:pPr>
            <w:r>
              <w:rPr>
                <w:rFonts w:ascii="Arial" w:cs="Arial" w:eastAsia="Arial" w:hAnsi="Arial"/>
                <w:sz w:val="14"/>
                <w:szCs w:val="14"/>
                <w:b w:val="1"/>
                <w:bCs w:val="1"/>
                <w:color w:val="auto"/>
              </w:rPr>
              <w:t>9,926</w:t>
            </w:r>
          </w:p>
        </w:tc>
        <w:tc>
          <w:tcPr>
            <w:tcW w:w="960" w:type="dxa"/>
            <w:vAlign w:val="bottom"/>
            <w:tcBorders>
              <w:bottom w:val="single" w:sz="8" w:color="auto"/>
              <w:right w:val="single" w:sz="8" w:color="auto"/>
            </w:tcBorders>
            <w:shd w:val="clear" w:color="auto" w:fill="DBDBDB"/>
          </w:tcPr>
          <w:p>
            <w:pPr>
              <w:jc w:val="right"/>
              <w:ind w:right="8"/>
              <w:spacing w:after="0"/>
              <w:rPr>
                <w:sz w:val="20"/>
                <w:szCs w:val="20"/>
                <w:color w:val="auto"/>
              </w:rPr>
            </w:pPr>
            <w:r>
              <w:rPr>
                <w:rFonts w:ascii="Arial" w:cs="Arial" w:eastAsia="Arial" w:hAnsi="Arial"/>
                <w:sz w:val="14"/>
                <w:szCs w:val="14"/>
                <w:b w:val="1"/>
                <w:bCs w:val="1"/>
                <w:color w:val="auto"/>
              </w:rPr>
              <w:t>1,795,808</w:t>
            </w:r>
          </w:p>
        </w:tc>
      </w:tr>
    </w:tbl>
    <w:p>
      <w:pPr>
        <w:spacing w:after="0" w:line="165" w:lineRule="exact"/>
        <w:rPr>
          <w:sz w:val="20"/>
          <w:szCs w:val="20"/>
          <w:color w:val="auto"/>
        </w:rPr>
      </w:pPr>
    </w:p>
    <w:p>
      <w:pPr>
        <w:ind w:left="120" w:hanging="96"/>
        <w:spacing w:after="0"/>
        <w:tabs>
          <w:tab w:leader="none" w:pos="120" w:val="left"/>
        </w:tabs>
        <w:numPr>
          <w:ilvl w:val="0"/>
          <w:numId w:val="18"/>
        </w:numPr>
        <w:rPr>
          <w:rFonts w:ascii="Arial" w:cs="Arial" w:eastAsia="Arial" w:hAnsi="Arial"/>
          <w:sz w:val="19"/>
          <w:szCs w:val="19"/>
          <w:color w:val="auto"/>
          <w:vertAlign w:val="superscript"/>
        </w:rPr>
      </w:pPr>
      <w:r>
        <w:rPr>
          <w:rFonts w:ascii="Arial" w:cs="Arial" w:eastAsia="Arial" w:hAnsi="Arial"/>
          <w:sz w:val="14"/>
          <w:szCs w:val="14"/>
          <w:color w:val="auto"/>
        </w:rPr>
        <w:t>"International" refers to: (i) Europe, Middle East &amp; Africa, (ii) Greater China, (iii) Asia Pacific excluding China, and (iv) Caribbean &amp; Latin America.</w:t>
      </w:r>
    </w:p>
    <w:p>
      <w:pPr>
        <w:spacing w:after="0" w:line="26" w:lineRule="exact"/>
        <w:rPr>
          <w:sz w:val="20"/>
          <w:szCs w:val="20"/>
          <w:color w:val="auto"/>
        </w:rPr>
      </w:pPr>
    </w:p>
    <w:p>
      <w:pPr>
        <w:ind w:left="20" w:right="80" w:firstLine="4"/>
        <w:spacing w:after="0" w:line="242" w:lineRule="auto"/>
        <w:tabs>
          <w:tab w:leader="none" w:pos="116" w:val="left"/>
        </w:tabs>
        <w:numPr>
          <w:ilvl w:val="0"/>
          <w:numId w:val="19"/>
        </w:numPr>
        <w:rPr>
          <w:rFonts w:ascii="Arial" w:cs="Arial" w:eastAsia="Arial" w:hAnsi="Arial"/>
          <w:sz w:val="14"/>
          <w:szCs w:val="14"/>
          <w:color w:val="auto"/>
        </w:rPr>
      </w:pPr>
      <w:r>
        <w:rPr>
          <w:rFonts w:ascii="Arial" w:cs="Arial" w:eastAsia="Arial" w:hAnsi="Arial"/>
          <w:sz w:val="14"/>
          <w:szCs w:val="14"/>
          <w:color w:val="auto"/>
        </w:rPr>
        <w:t>Timeshare, Design Hotels, and The Ritz-Carlton Yacht Collection counts are included in this table by geographical location. For external reporting purposes, these offerings are captured within “Unallocated corporate and other.”</w:t>
      </w:r>
    </w:p>
    <w:p>
      <w:pPr>
        <w:ind w:left="20" w:right="60" w:firstLine="44"/>
        <w:spacing w:after="0" w:line="263" w:lineRule="auto"/>
        <w:tabs>
          <w:tab w:leader="none" w:pos="212" w:val="left"/>
        </w:tabs>
        <w:numPr>
          <w:ilvl w:val="1"/>
          <w:numId w:val="19"/>
        </w:numPr>
        <w:rPr>
          <w:rFonts w:ascii="Arial" w:cs="Arial" w:eastAsia="Arial" w:hAnsi="Arial"/>
          <w:sz w:val="14"/>
          <w:szCs w:val="14"/>
          <w:color w:val="auto"/>
        </w:rPr>
      </w:pPr>
      <w:r>
        <w:rPr>
          <w:rFonts w:ascii="Arial" w:cs="Arial" w:eastAsia="Arial" w:hAnsi="Arial"/>
          <w:sz w:val="14"/>
          <w:szCs w:val="14"/>
          <w:color w:val="auto"/>
        </w:rPr>
        <w:t>The Outdoor Collection by Marriott Bonvoy includes properties under both the Premium and Select quality tiers. Series by Marriott includes properties under both the Select and Midscale quality tiers.</w:t>
      </w:r>
    </w:p>
    <w:p>
      <w:pPr>
        <w:spacing w:after="0" w:line="105" w:lineRule="exact"/>
        <w:rPr>
          <w:sz w:val="20"/>
          <w:szCs w:val="20"/>
          <w:color w:val="auto"/>
        </w:rPr>
      </w:pPr>
    </w:p>
    <w:p>
      <w:pPr>
        <w:ind w:left="20" w:right="120"/>
        <w:spacing w:after="0" w:line="285" w:lineRule="auto"/>
        <w:rPr>
          <w:sz w:val="20"/>
          <w:szCs w:val="20"/>
          <w:color w:val="auto"/>
        </w:rPr>
      </w:pPr>
      <w:r>
        <w:rPr>
          <w:rFonts w:ascii="Arial" w:cs="Arial" w:eastAsia="Arial" w:hAnsi="Arial"/>
          <w:sz w:val="14"/>
          <w:szCs w:val="14"/>
          <w:color w:val="auto"/>
        </w:rPr>
        <w:t>Property and room counts presented by brand in the above table include certain hotels in our system that are not yet operating under such brand, but are expected to operate under such brand following the completion of planned renovations.</w:t>
      </w:r>
    </w:p>
    <w:p>
      <w:pPr>
        <w:spacing w:after="0" w:line="200" w:lineRule="exact"/>
        <w:rPr>
          <w:sz w:val="20"/>
          <w:szCs w:val="20"/>
          <w:color w:val="auto"/>
        </w:rPr>
      </w:pPr>
    </w:p>
    <w:p>
      <w:pPr>
        <w:spacing w:after="0" w:line="268"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A-8</w:t>
      </w:r>
    </w:p>
    <w:p>
      <w:pPr>
        <w:sectPr>
          <w:pgSz w:w="11900" w:h="16838" w:orient="portrait"/>
          <w:cols w:equalWidth="0" w:num="1">
            <w:col w:w="10500"/>
          </w:cols>
          <w:pgMar w:left="700" w:top="414" w:right="699" w:bottom="1440" w:gutter="0" w:footer="0" w:header="0"/>
        </w:sectPr>
      </w:pPr>
    </w:p>
    <w:bookmarkStart w:id="18" w:name="page19"/>
    <w:bookmarkEnd w:id="18"/>
    <w:p>
      <w:pPr>
        <w:jc w:val="center"/>
        <w:ind w:right="20"/>
        <w:spacing w:after="0"/>
        <w:rPr>
          <w:sz w:val="20"/>
          <w:szCs w:val="20"/>
          <w:color w:val="auto"/>
        </w:rPr>
      </w:pPr>
      <w:r>
        <w:rPr>
          <w:rFonts w:ascii="Arial" w:cs="Arial" w:eastAsia="Arial" w:hAnsi="Arial"/>
          <w:sz w:val="14"/>
          <w:szCs w:val="14"/>
          <w:b w:val="1"/>
          <w:bCs w:val="1"/>
          <w:color w:val="auto"/>
        </w:rPr>
        <w:t>MARRIOTT INTERNATIONAL, INC.</w:t>
      </w:r>
    </w:p>
    <w:p>
      <w:pPr>
        <w:spacing w:after="0" w:line="42"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KEY LODGING STATISTICS</w:t>
      </w:r>
    </w:p>
    <w:p>
      <w:pPr>
        <w:spacing w:after="0" w:line="42"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In Constant $</w:t>
      </w:r>
    </w:p>
    <w:p>
      <w:pPr>
        <w:spacing w:after="0" w:line="312"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Comparable Company-Operated US &amp; Canada Properties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1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spacing w:after="0"/>
              <w:rPr>
                <w:sz w:val="17"/>
                <w:szCs w:val="17"/>
                <w:color w:val="auto"/>
              </w:rPr>
            </w:pPr>
          </w:p>
        </w:tc>
        <w:tc>
          <w:tcPr>
            <w:tcW w:w="4940" w:type="dxa"/>
            <w:vAlign w:val="bottom"/>
            <w:tcBorders>
              <w:top w:val="single" w:sz="8" w:color="auto"/>
              <w:bottom w:val="single" w:sz="8" w:color="auto"/>
            </w:tcBorders>
            <w:gridSpan w:val="11"/>
          </w:tcPr>
          <w:p>
            <w:pPr>
              <w:jc w:val="center"/>
              <w:spacing w:after="0"/>
              <w:rPr>
                <w:sz w:val="20"/>
                <w:szCs w:val="20"/>
                <w:color w:val="auto"/>
              </w:rPr>
            </w:pPr>
            <w:r>
              <w:rPr>
                <w:rFonts w:ascii="Arial" w:cs="Arial" w:eastAsia="Arial" w:hAnsi="Arial"/>
                <w:sz w:val="14"/>
                <w:szCs w:val="14"/>
                <w:b w:val="1"/>
                <w:bCs w:val="1"/>
                <w:color w:val="auto"/>
              </w:rPr>
              <w:t>Three Months Ended March 31, 2026 and March 31, 2025</w:t>
            </w:r>
          </w:p>
        </w:tc>
        <w:tc>
          <w:tcPr>
            <w:tcW w:w="1020" w:type="dxa"/>
            <w:vAlign w:val="bottom"/>
            <w:tcBorders>
              <w:top w:val="single" w:sz="8" w:color="auto"/>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195"/>
        </w:trPr>
        <w:tc>
          <w:tcPr>
            <w:tcW w:w="3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2"/>
          </w:tcPr>
          <w:p>
            <w:pPr>
              <w:jc w:val="right"/>
              <w:ind w:right="668"/>
              <w:spacing w:after="0"/>
              <w:rPr>
                <w:sz w:val="20"/>
                <w:szCs w:val="20"/>
                <w:color w:val="auto"/>
              </w:rPr>
            </w:pPr>
            <w:r>
              <w:rPr>
                <w:rFonts w:ascii="Arial" w:cs="Arial" w:eastAsia="Arial" w:hAnsi="Arial"/>
                <w:sz w:val="14"/>
                <w:szCs w:val="14"/>
                <w:b w:val="1"/>
                <w:bCs w:val="1"/>
                <w:color w:val="auto"/>
              </w:rPr>
              <w:t>RevPAR</w:t>
            </w:r>
          </w:p>
        </w:tc>
        <w:tc>
          <w:tcPr>
            <w:tcW w:w="120" w:type="dxa"/>
            <w:vAlign w:val="bottom"/>
            <w:gridSpan w:val="2"/>
          </w:tcPr>
          <w:p>
            <w:pPr>
              <w:spacing w:after="0"/>
              <w:rPr>
                <w:sz w:val="16"/>
                <w:szCs w:val="16"/>
                <w:color w:val="auto"/>
              </w:rPr>
            </w:pPr>
          </w:p>
        </w:tc>
        <w:tc>
          <w:tcPr>
            <w:tcW w:w="2280" w:type="dxa"/>
            <w:vAlign w:val="bottom"/>
            <w:tcBorders>
              <w:bottom w:val="single" w:sz="8" w:color="auto"/>
            </w:tcBorders>
            <w:gridSpan w:val="2"/>
          </w:tcPr>
          <w:p>
            <w:pPr>
              <w:jc w:val="center"/>
              <w:ind w:left="268"/>
              <w:spacing w:after="0"/>
              <w:rPr>
                <w:sz w:val="20"/>
                <w:szCs w:val="20"/>
                <w:color w:val="auto"/>
              </w:rPr>
            </w:pPr>
            <w:r>
              <w:rPr>
                <w:rFonts w:ascii="Arial" w:cs="Arial" w:eastAsia="Arial" w:hAnsi="Arial"/>
                <w:sz w:val="14"/>
                <w:szCs w:val="14"/>
                <w:b w:val="1"/>
                <w:bCs w:val="1"/>
                <w:color w:val="auto"/>
              </w:rPr>
              <w:t>Occupancy</w:t>
            </w:r>
          </w:p>
        </w:tc>
        <w:tc>
          <w:tcPr>
            <w:tcW w:w="36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2"/>
          </w:tcPr>
          <w:p>
            <w:pPr>
              <w:jc w:val="right"/>
              <w:ind w:right="328"/>
              <w:spacing w:after="0"/>
              <w:rPr>
                <w:sz w:val="20"/>
                <w:szCs w:val="20"/>
                <w:color w:val="auto"/>
              </w:rPr>
            </w:pPr>
            <w:r>
              <w:rPr>
                <w:rFonts w:ascii="Arial" w:cs="Arial" w:eastAsia="Arial" w:hAnsi="Arial"/>
                <w:sz w:val="14"/>
                <w:szCs w:val="14"/>
                <w:b w:val="1"/>
                <w:bCs w:val="1"/>
                <w:color w:val="auto"/>
              </w:rPr>
              <w:t>Average Daily Rate</w:t>
            </w:r>
          </w:p>
        </w:tc>
        <w:tc>
          <w:tcPr>
            <w:tcW w:w="20" w:type="dxa"/>
            <w:vAlign w:val="bottom"/>
          </w:tcPr>
          <w:p>
            <w:pPr>
              <w:spacing w:after="0"/>
              <w:rPr>
                <w:sz w:val="16"/>
                <w:szCs w:val="16"/>
                <w:color w:val="auto"/>
              </w:rPr>
            </w:pPr>
          </w:p>
        </w:tc>
      </w:tr>
      <w:tr>
        <w:trPr>
          <w:trHeight w:val="197"/>
        </w:trPr>
        <w:tc>
          <w:tcPr>
            <w:tcW w:w="31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Brand</w:t>
            </w:r>
          </w:p>
        </w:tc>
        <w:tc>
          <w:tcPr>
            <w:tcW w:w="8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2026</w:t>
            </w:r>
          </w:p>
        </w:tc>
        <w:tc>
          <w:tcPr>
            <w:tcW w:w="10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vs. 2025</w:t>
            </w:r>
          </w:p>
        </w:tc>
        <w:tc>
          <w:tcPr>
            <w:tcW w:w="120" w:type="dxa"/>
            <w:vAlign w:val="bottom"/>
            <w:gridSpan w:val="2"/>
          </w:tcPr>
          <w:p>
            <w:pPr>
              <w:spacing w:after="0"/>
              <w:rPr>
                <w:sz w:val="17"/>
                <w:szCs w:val="17"/>
                <w:color w:val="auto"/>
              </w:rPr>
            </w:pPr>
          </w:p>
        </w:tc>
        <w:tc>
          <w:tcPr>
            <w:tcW w:w="130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2026</w:t>
            </w: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vs. 2025</w:t>
            </w:r>
          </w:p>
        </w:tc>
        <w:tc>
          <w:tcPr>
            <w:tcW w:w="36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2026</w:t>
            </w:r>
          </w:p>
        </w:tc>
        <w:tc>
          <w:tcPr>
            <w:tcW w:w="10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vs. 2025</w:t>
            </w:r>
          </w:p>
        </w:tc>
        <w:tc>
          <w:tcPr>
            <w:tcW w:w="20" w:type="dxa"/>
            <w:vAlign w:val="bottom"/>
          </w:tcPr>
          <w:p>
            <w:pPr>
              <w:spacing w:after="0"/>
              <w:rPr>
                <w:sz w:val="17"/>
                <w:szCs w:val="17"/>
                <w:color w:val="auto"/>
              </w:rPr>
            </w:pPr>
          </w:p>
        </w:tc>
      </w:tr>
      <w:tr>
        <w:trPr>
          <w:trHeight w:val="189"/>
        </w:trPr>
        <w:tc>
          <w:tcPr>
            <w:tcW w:w="3160" w:type="dxa"/>
            <w:vAlign w:val="bottom"/>
          </w:tcPr>
          <w:p>
            <w:pPr>
              <w:ind w:left="20"/>
              <w:spacing w:after="0"/>
              <w:rPr>
                <w:sz w:val="20"/>
                <w:szCs w:val="20"/>
                <w:color w:val="auto"/>
              </w:rPr>
            </w:pPr>
            <w:r>
              <w:rPr>
                <w:rFonts w:ascii="Arial" w:cs="Arial" w:eastAsia="Arial" w:hAnsi="Arial"/>
                <w:sz w:val="14"/>
                <w:szCs w:val="14"/>
                <w:color w:val="auto"/>
              </w:rPr>
              <w:t>JW Marriott</w:t>
            </w:r>
          </w:p>
        </w:tc>
        <w:tc>
          <w:tcPr>
            <w:tcW w:w="1180" w:type="dxa"/>
            <w:vAlign w:val="bottom"/>
            <w:gridSpan w:val="5"/>
          </w:tcPr>
          <w:p>
            <w:pPr>
              <w:jc w:val="right"/>
              <w:ind w:right="10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28"/>
              <w:spacing w:after="0"/>
              <w:rPr>
                <w:sz w:val="20"/>
                <w:szCs w:val="20"/>
                <w:color w:val="auto"/>
              </w:rPr>
            </w:pPr>
            <w:r>
              <w:rPr>
                <w:rFonts w:ascii="Arial" w:cs="Arial" w:eastAsia="Arial" w:hAnsi="Arial"/>
                <w:sz w:val="14"/>
                <w:szCs w:val="14"/>
                <w:color w:val="auto"/>
              </w:rPr>
              <w:t>287.03</w:t>
            </w:r>
          </w:p>
        </w:tc>
        <w:tc>
          <w:tcPr>
            <w:tcW w:w="1000" w:type="dxa"/>
            <w:vAlign w:val="bottom"/>
          </w:tcPr>
          <w:p>
            <w:pPr>
              <w:jc w:val="right"/>
              <w:spacing w:after="0"/>
              <w:rPr>
                <w:sz w:val="20"/>
                <w:szCs w:val="20"/>
                <w:color w:val="auto"/>
              </w:rPr>
            </w:pPr>
            <w:r>
              <w:rPr>
                <w:rFonts w:ascii="Arial" w:cs="Arial" w:eastAsia="Arial" w:hAnsi="Arial"/>
                <w:sz w:val="14"/>
                <w:szCs w:val="14"/>
                <w:color w:val="auto"/>
              </w:rPr>
              <w:t>5.1 %</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jc w:val="right"/>
              <w:ind w:right="228"/>
              <w:spacing w:after="0"/>
              <w:rPr>
                <w:sz w:val="20"/>
                <w:szCs w:val="20"/>
                <w:color w:val="auto"/>
              </w:rPr>
            </w:pPr>
            <w:r>
              <w:rPr>
                <w:rFonts w:ascii="Arial" w:cs="Arial" w:eastAsia="Arial" w:hAnsi="Arial"/>
                <w:sz w:val="14"/>
                <w:szCs w:val="14"/>
                <w:color w:val="auto"/>
              </w:rPr>
              <w:t>74.2 %</w:t>
            </w: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0.7 %</w:t>
            </w:r>
          </w:p>
        </w:tc>
        <w:tc>
          <w:tcPr>
            <w:tcW w:w="460" w:type="dxa"/>
            <w:vAlign w:val="bottom"/>
            <w:gridSpan w:val="3"/>
          </w:tcPr>
          <w:p>
            <w:pPr>
              <w:jc w:val="center"/>
              <w:ind w:right="20"/>
              <w:spacing w:after="0"/>
              <w:rPr>
                <w:sz w:val="20"/>
                <w:szCs w:val="20"/>
                <w:color w:val="auto"/>
              </w:rPr>
            </w:pPr>
            <w:r>
              <w:rPr>
                <w:rFonts w:ascii="Arial" w:cs="Arial" w:eastAsia="Arial" w:hAnsi="Arial"/>
                <w:sz w:val="14"/>
                <w:szCs w:val="14"/>
                <w:color w:val="auto"/>
              </w:rPr>
              <w:t>pts.</w:t>
            </w:r>
          </w:p>
        </w:tc>
        <w:tc>
          <w:tcPr>
            <w:tcW w:w="2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28"/>
              <w:spacing w:after="0"/>
              <w:rPr>
                <w:sz w:val="20"/>
                <w:szCs w:val="20"/>
                <w:color w:val="auto"/>
              </w:rPr>
            </w:pPr>
            <w:r>
              <w:rPr>
                <w:rFonts w:ascii="Arial" w:cs="Arial" w:eastAsia="Arial" w:hAnsi="Arial"/>
                <w:sz w:val="14"/>
                <w:szCs w:val="14"/>
                <w:color w:val="auto"/>
              </w:rPr>
              <w:t>387.02</w:t>
            </w:r>
          </w:p>
        </w:tc>
        <w:tc>
          <w:tcPr>
            <w:tcW w:w="1020" w:type="dxa"/>
            <w:vAlign w:val="bottom"/>
          </w:tcPr>
          <w:p>
            <w:pPr>
              <w:jc w:val="right"/>
              <w:spacing w:after="0"/>
              <w:rPr>
                <w:sz w:val="20"/>
                <w:szCs w:val="20"/>
                <w:color w:val="auto"/>
              </w:rPr>
            </w:pPr>
            <w:r>
              <w:rPr>
                <w:rFonts w:ascii="Arial" w:cs="Arial" w:eastAsia="Arial" w:hAnsi="Arial"/>
                <w:sz w:val="14"/>
                <w:szCs w:val="14"/>
                <w:color w:val="auto"/>
              </w:rPr>
              <w:t>4.1 %</w:t>
            </w:r>
          </w:p>
        </w:tc>
        <w:tc>
          <w:tcPr>
            <w:tcW w:w="20" w:type="dxa"/>
            <w:vAlign w:val="bottom"/>
          </w:tcPr>
          <w:p>
            <w:pPr>
              <w:spacing w:after="0"/>
              <w:rPr>
                <w:sz w:val="16"/>
                <w:szCs w:val="16"/>
                <w:color w:val="auto"/>
              </w:rPr>
            </w:pPr>
          </w:p>
        </w:tc>
      </w:tr>
      <w:tr>
        <w:trPr>
          <w:trHeight w:val="203"/>
        </w:trPr>
        <w:tc>
          <w:tcPr>
            <w:tcW w:w="3160" w:type="dxa"/>
            <w:vAlign w:val="bottom"/>
          </w:tcPr>
          <w:p>
            <w:pPr>
              <w:ind w:left="20"/>
              <w:spacing w:after="0"/>
              <w:rPr>
                <w:sz w:val="20"/>
                <w:szCs w:val="20"/>
                <w:color w:val="auto"/>
              </w:rPr>
            </w:pPr>
            <w:r>
              <w:rPr>
                <w:rFonts w:ascii="Arial" w:cs="Arial" w:eastAsia="Arial" w:hAnsi="Arial"/>
                <w:sz w:val="14"/>
                <w:szCs w:val="14"/>
                <w:color w:val="auto"/>
              </w:rPr>
              <w:t>The Ritz-Carlton</w:t>
            </w:r>
          </w:p>
        </w:tc>
        <w:tc>
          <w:tcPr>
            <w:tcW w:w="1180" w:type="dxa"/>
            <w:vAlign w:val="bottom"/>
            <w:gridSpan w:val="5"/>
          </w:tcPr>
          <w:p>
            <w:pPr>
              <w:jc w:val="right"/>
              <w:ind w:right="10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28"/>
              <w:spacing w:after="0"/>
              <w:rPr>
                <w:sz w:val="20"/>
                <w:szCs w:val="20"/>
                <w:color w:val="auto"/>
              </w:rPr>
            </w:pPr>
            <w:r>
              <w:rPr>
                <w:rFonts w:ascii="Arial" w:cs="Arial" w:eastAsia="Arial" w:hAnsi="Arial"/>
                <w:sz w:val="14"/>
                <w:szCs w:val="14"/>
                <w:color w:val="auto"/>
              </w:rPr>
              <w:t>430.10</w:t>
            </w:r>
          </w:p>
        </w:tc>
        <w:tc>
          <w:tcPr>
            <w:tcW w:w="1000" w:type="dxa"/>
            <w:vAlign w:val="bottom"/>
          </w:tcPr>
          <w:p>
            <w:pPr>
              <w:jc w:val="right"/>
              <w:spacing w:after="0"/>
              <w:rPr>
                <w:sz w:val="20"/>
                <w:szCs w:val="20"/>
                <w:color w:val="auto"/>
              </w:rPr>
            </w:pPr>
            <w:r>
              <w:rPr>
                <w:rFonts w:ascii="Arial" w:cs="Arial" w:eastAsia="Arial" w:hAnsi="Arial"/>
                <w:sz w:val="14"/>
                <w:szCs w:val="14"/>
                <w:color w:val="auto"/>
              </w:rPr>
              <w:t>5.9 %</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jc w:val="right"/>
              <w:ind w:right="228"/>
              <w:spacing w:after="0"/>
              <w:rPr>
                <w:sz w:val="20"/>
                <w:szCs w:val="20"/>
                <w:color w:val="auto"/>
              </w:rPr>
            </w:pPr>
            <w:r>
              <w:rPr>
                <w:rFonts w:ascii="Arial" w:cs="Arial" w:eastAsia="Arial" w:hAnsi="Arial"/>
                <w:sz w:val="14"/>
                <w:szCs w:val="14"/>
                <w:color w:val="auto"/>
              </w:rPr>
              <w:t>67.6 %</w:t>
            </w: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1.2 %</w:t>
            </w:r>
          </w:p>
        </w:tc>
        <w:tc>
          <w:tcPr>
            <w:tcW w:w="460" w:type="dxa"/>
            <w:vAlign w:val="bottom"/>
            <w:gridSpan w:val="3"/>
          </w:tcPr>
          <w:p>
            <w:pPr>
              <w:jc w:val="center"/>
              <w:ind w:right="20"/>
              <w:spacing w:after="0"/>
              <w:rPr>
                <w:sz w:val="20"/>
                <w:szCs w:val="20"/>
                <w:color w:val="auto"/>
              </w:rPr>
            </w:pPr>
            <w:r>
              <w:rPr>
                <w:rFonts w:ascii="Arial" w:cs="Arial" w:eastAsia="Arial" w:hAnsi="Arial"/>
                <w:sz w:val="14"/>
                <w:szCs w:val="14"/>
                <w:color w:val="auto"/>
              </w:rPr>
              <w:t>pts.</w:t>
            </w:r>
          </w:p>
        </w:tc>
        <w:tc>
          <w:tcPr>
            <w:tcW w:w="2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28"/>
              <w:spacing w:after="0"/>
              <w:rPr>
                <w:sz w:val="20"/>
                <w:szCs w:val="20"/>
                <w:color w:val="auto"/>
              </w:rPr>
            </w:pPr>
            <w:r>
              <w:rPr>
                <w:rFonts w:ascii="Arial" w:cs="Arial" w:eastAsia="Arial" w:hAnsi="Arial"/>
                <w:sz w:val="14"/>
                <w:szCs w:val="14"/>
                <w:color w:val="auto"/>
              </w:rPr>
              <w:t>636.08</w:t>
            </w:r>
          </w:p>
        </w:tc>
        <w:tc>
          <w:tcPr>
            <w:tcW w:w="1020" w:type="dxa"/>
            <w:vAlign w:val="bottom"/>
          </w:tcPr>
          <w:p>
            <w:pPr>
              <w:jc w:val="right"/>
              <w:spacing w:after="0"/>
              <w:rPr>
                <w:sz w:val="20"/>
                <w:szCs w:val="20"/>
                <w:color w:val="auto"/>
              </w:rPr>
            </w:pPr>
            <w:r>
              <w:rPr>
                <w:rFonts w:ascii="Arial" w:cs="Arial" w:eastAsia="Arial" w:hAnsi="Arial"/>
                <w:sz w:val="14"/>
                <w:szCs w:val="14"/>
                <w:color w:val="auto"/>
              </w:rPr>
              <w:t>4.1 %</w:t>
            </w:r>
          </w:p>
        </w:tc>
        <w:tc>
          <w:tcPr>
            <w:tcW w:w="20" w:type="dxa"/>
            <w:vAlign w:val="bottom"/>
          </w:tcPr>
          <w:p>
            <w:pPr>
              <w:spacing w:after="0"/>
              <w:rPr>
                <w:sz w:val="17"/>
                <w:szCs w:val="17"/>
                <w:color w:val="auto"/>
              </w:rPr>
            </w:pPr>
          </w:p>
        </w:tc>
      </w:tr>
      <w:tr>
        <w:trPr>
          <w:trHeight w:val="203"/>
        </w:trPr>
        <w:tc>
          <w:tcPr>
            <w:tcW w:w="3160" w:type="dxa"/>
            <w:vAlign w:val="bottom"/>
          </w:tcPr>
          <w:p>
            <w:pPr>
              <w:ind w:left="20"/>
              <w:spacing w:after="0"/>
              <w:rPr>
                <w:sz w:val="20"/>
                <w:szCs w:val="20"/>
                <w:color w:val="auto"/>
              </w:rPr>
            </w:pPr>
            <w:r>
              <w:rPr>
                <w:rFonts w:ascii="Arial" w:cs="Arial" w:eastAsia="Arial" w:hAnsi="Arial"/>
                <w:sz w:val="14"/>
                <w:szCs w:val="14"/>
                <w:color w:val="auto"/>
              </w:rPr>
              <w:t>W Hotels</w:t>
            </w:r>
          </w:p>
        </w:tc>
        <w:tc>
          <w:tcPr>
            <w:tcW w:w="1180" w:type="dxa"/>
            <w:vAlign w:val="bottom"/>
            <w:gridSpan w:val="5"/>
          </w:tcPr>
          <w:p>
            <w:pPr>
              <w:jc w:val="right"/>
              <w:ind w:right="10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28"/>
              <w:spacing w:after="0"/>
              <w:rPr>
                <w:sz w:val="20"/>
                <w:szCs w:val="20"/>
                <w:color w:val="auto"/>
              </w:rPr>
            </w:pPr>
            <w:r>
              <w:rPr>
                <w:rFonts w:ascii="Arial" w:cs="Arial" w:eastAsia="Arial" w:hAnsi="Arial"/>
                <w:sz w:val="14"/>
                <w:szCs w:val="14"/>
                <w:color w:val="auto"/>
              </w:rPr>
              <w:t>291.01</w:t>
            </w:r>
          </w:p>
        </w:tc>
        <w:tc>
          <w:tcPr>
            <w:tcW w:w="1000" w:type="dxa"/>
            <w:vAlign w:val="bottom"/>
          </w:tcPr>
          <w:p>
            <w:pPr>
              <w:jc w:val="right"/>
              <w:spacing w:after="0"/>
              <w:rPr>
                <w:sz w:val="20"/>
                <w:szCs w:val="20"/>
                <w:color w:val="auto"/>
              </w:rPr>
            </w:pPr>
            <w:r>
              <w:rPr>
                <w:rFonts w:ascii="Arial" w:cs="Arial" w:eastAsia="Arial" w:hAnsi="Arial"/>
                <w:sz w:val="14"/>
                <w:szCs w:val="14"/>
                <w:color w:val="auto"/>
              </w:rPr>
              <w:t>12.9 %</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jc w:val="right"/>
              <w:ind w:right="228"/>
              <w:spacing w:after="0"/>
              <w:rPr>
                <w:sz w:val="20"/>
                <w:szCs w:val="20"/>
                <w:color w:val="auto"/>
              </w:rPr>
            </w:pPr>
            <w:r>
              <w:rPr>
                <w:rFonts w:ascii="Arial" w:cs="Arial" w:eastAsia="Arial" w:hAnsi="Arial"/>
                <w:sz w:val="14"/>
                <w:szCs w:val="14"/>
                <w:color w:val="auto"/>
              </w:rPr>
              <w:t>67.1 %</w:t>
            </w: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3.1 %</w:t>
            </w:r>
          </w:p>
        </w:tc>
        <w:tc>
          <w:tcPr>
            <w:tcW w:w="460" w:type="dxa"/>
            <w:vAlign w:val="bottom"/>
            <w:gridSpan w:val="3"/>
          </w:tcPr>
          <w:p>
            <w:pPr>
              <w:jc w:val="center"/>
              <w:ind w:right="20"/>
              <w:spacing w:after="0"/>
              <w:rPr>
                <w:sz w:val="20"/>
                <w:szCs w:val="20"/>
                <w:color w:val="auto"/>
              </w:rPr>
            </w:pPr>
            <w:r>
              <w:rPr>
                <w:rFonts w:ascii="Arial" w:cs="Arial" w:eastAsia="Arial" w:hAnsi="Arial"/>
                <w:sz w:val="14"/>
                <w:szCs w:val="14"/>
                <w:color w:val="auto"/>
              </w:rPr>
              <w:t>pts.</w:t>
            </w:r>
          </w:p>
        </w:tc>
        <w:tc>
          <w:tcPr>
            <w:tcW w:w="2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28"/>
              <w:spacing w:after="0"/>
              <w:rPr>
                <w:sz w:val="20"/>
                <w:szCs w:val="20"/>
                <w:color w:val="auto"/>
              </w:rPr>
            </w:pPr>
            <w:r>
              <w:rPr>
                <w:rFonts w:ascii="Arial" w:cs="Arial" w:eastAsia="Arial" w:hAnsi="Arial"/>
                <w:sz w:val="14"/>
                <w:szCs w:val="14"/>
                <w:color w:val="auto"/>
              </w:rPr>
              <w:t>433.87</w:t>
            </w:r>
          </w:p>
        </w:tc>
        <w:tc>
          <w:tcPr>
            <w:tcW w:w="1020" w:type="dxa"/>
            <w:vAlign w:val="bottom"/>
          </w:tcPr>
          <w:p>
            <w:pPr>
              <w:jc w:val="right"/>
              <w:spacing w:after="0"/>
              <w:rPr>
                <w:sz w:val="20"/>
                <w:szCs w:val="20"/>
                <w:color w:val="auto"/>
              </w:rPr>
            </w:pPr>
            <w:r>
              <w:rPr>
                <w:rFonts w:ascii="Arial" w:cs="Arial" w:eastAsia="Arial" w:hAnsi="Arial"/>
                <w:sz w:val="14"/>
                <w:szCs w:val="14"/>
                <w:color w:val="auto"/>
              </w:rPr>
              <w:t>7.7 %</w:t>
            </w:r>
          </w:p>
        </w:tc>
        <w:tc>
          <w:tcPr>
            <w:tcW w:w="20" w:type="dxa"/>
            <w:vAlign w:val="bottom"/>
          </w:tcPr>
          <w:p>
            <w:pPr>
              <w:spacing w:after="0"/>
              <w:rPr>
                <w:sz w:val="17"/>
                <w:szCs w:val="17"/>
                <w:color w:val="auto"/>
              </w:rPr>
            </w:pPr>
          </w:p>
        </w:tc>
      </w:tr>
      <w:tr>
        <w:trPr>
          <w:trHeight w:val="215"/>
        </w:trPr>
        <w:tc>
          <w:tcPr>
            <w:tcW w:w="3160" w:type="dxa"/>
            <w:vAlign w:val="bottom"/>
          </w:tcPr>
          <w:p>
            <w:pPr>
              <w:ind w:left="20"/>
              <w:spacing w:after="0"/>
              <w:rPr>
                <w:sz w:val="20"/>
                <w:szCs w:val="20"/>
                <w:color w:val="auto"/>
              </w:rPr>
            </w:pPr>
            <w:r>
              <w:rPr>
                <w:rFonts w:ascii="Arial" w:cs="Arial" w:eastAsia="Arial" w:hAnsi="Arial"/>
                <w:sz w:val="14"/>
                <w:szCs w:val="14"/>
                <w:b w:val="1"/>
                <w:bCs w:val="1"/>
                <w:color w:val="auto"/>
              </w:rPr>
              <w:t>Composite US &amp; Canada Luxury</w:t>
            </w:r>
            <w:r>
              <w:rPr>
                <w:rFonts w:ascii="Arial" w:cs="Arial" w:eastAsia="Arial" w:hAnsi="Arial"/>
                <w:sz w:val="18"/>
                <w:szCs w:val="18"/>
                <w:b w:val="1"/>
                <w:bCs w:val="1"/>
                <w:color w:val="auto"/>
                <w:vertAlign w:val="superscript"/>
              </w:rPr>
              <w:t>1</w:t>
            </w:r>
          </w:p>
        </w:tc>
        <w:tc>
          <w:tcPr>
            <w:tcW w:w="1180" w:type="dxa"/>
            <w:vAlign w:val="bottom"/>
            <w:gridSpan w:val="5"/>
          </w:tcPr>
          <w:p>
            <w:pPr>
              <w:jc w:val="right"/>
              <w:ind w:right="100"/>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jc w:val="right"/>
              <w:ind w:right="128"/>
              <w:spacing w:after="0"/>
              <w:rPr>
                <w:sz w:val="20"/>
                <w:szCs w:val="20"/>
                <w:color w:val="auto"/>
              </w:rPr>
            </w:pPr>
            <w:r>
              <w:rPr>
                <w:rFonts w:ascii="Arial" w:cs="Arial" w:eastAsia="Arial" w:hAnsi="Arial"/>
                <w:sz w:val="14"/>
                <w:szCs w:val="14"/>
                <w:b w:val="1"/>
                <w:bCs w:val="1"/>
                <w:color w:val="auto"/>
              </w:rPr>
              <w:t>374.47</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7.4 %</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ind w:right="228"/>
              <w:spacing w:after="0"/>
              <w:rPr>
                <w:sz w:val="20"/>
                <w:szCs w:val="20"/>
                <w:color w:val="auto"/>
              </w:rPr>
            </w:pPr>
            <w:r>
              <w:rPr>
                <w:rFonts w:ascii="Arial" w:cs="Arial" w:eastAsia="Arial" w:hAnsi="Arial"/>
                <w:sz w:val="14"/>
                <w:szCs w:val="14"/>
                <w:b w:val="1"/>
                <w:bCs w:val="1"/>
                <w:color w:val="auto"/>
              </w:rPr>
              <w:t>70.4 %</w:t>
            </w:r>
          </w:p>
        </w:tc>
        <w:tc>
          <w:tcPr>
            <w:tcW w:w="980" w:type="dxa"/>
            <w:vAlign w:val="bottom"/>
          </w:tcPr>
          <w:p>
            <w:pPr>
              <w:jc w:val="right"/>
              <w:ind w:right="68"/>
              <w:spacing w:after="0"/>
              <w:rPr>
                <w:sz w:val="20"/>
                <w:szCs w:val="20"/>
                <w:color w:val="auto"/>
              </w:rPr>
            </w:pPr>
            <w:r>
              <w:rPr>
                <w:rFonts w:ascii="Arial" w:cs="Arial" w:eastAsia="Arial" w:hAnsi="Arial"/>
                <w:sz w:val="14"/>
                <w:szCs w:val="14"/>
                <w:b w:val="1"/>
                <w:bCs w:val="1"/>
                <w:color w:val="auto"/>
              </w:rPr>
              <w:t>1.2 %</w:t>
            </w:r>
          </w:p>
        </w:tc>
        <w:tc>
          <w:tcPr>
            <w:tcW w:w="46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rPr>
              <w:t>pts.</w:t>
            </w:r>
          </w:p>
        </w:tc>
        <w:tc>
          <w:tcPr>
            <w:tcW w:w="2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jc w:val="right"/>
              <w:ind w:right="128"/>
              <w:spacing w:after="0"/>
              <w:rPr>
                <w:sz w:val="20"/>
                <w:szCs w:val="20"/>
                <w:color w:val="auto"/>
              </w:rPr>
            </w:pPr>
            <w:r>
              <w:rPr>
                <w:rFonts w:ascii="Arial" w:cs="Arial" w:eastAsia="Arial" w:hAnsi="Arial"/>
                <w:sz w:val="14"/>
                <w:szCs w:val="14"/>
                <w:b w:val="1"/>
                <w:bCs w:val="1"/>
                <w:color w:val="auto"/>
              </w:rPr>
              <w:t>531.95</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5.5 %</w:t>
            </w:r>
          </w:p>
        </w:tc>
        <w:tc>
          <w:tcPr>
            <w:tcW w:w="20" w:type="dxa"/>
            <w:vAlign w:val="bottom"/>
          </w:tcPr>
          <w:p>
            <w:pPr>
              <w:spacing w:after="0"/>
              <w:rPr>
                <w:sz w:val="18"/>
                <w:szCs w:val="18"/>
                <w:color w:val="auto"/>
              </w:rPr>
            </w:pPr>
          </w:p>
        </w:tc>
      </w:tr>
      <w:tr>
        <w:trPr>
          <w:trHeight w:val="190"/>
        </w:trPr>
        <w:tc>
          <w:tcPr>
            <w:tcW w:w="3160" w:type="dxa"/>
            <w:vAlign w:val="bottom"/>
          </w:tcPr>
          <w:p>
            <w:pPr>
              <w:ind w:left="20"/>
              <w:spacing w:after="0"/>
              <w:rPr>
                <w:sz w:val="20"/>
                <w:szCs w:val="20"/>
                <w:color w:val="auto"/>
              </w:rPr>
            </w:pPr>
            <w:r>
              <w:rPr>
                <w:rFonts w:ascii="Arial" w:cs="Arial" w:eastAsia="Arial" w:hAnsi="Arial"/>
                <w:sz w:val="14"/>
                <w:szCs w:val="14"/>
                <w:color w:val="auto"/>
              </w:rPr>
              <w:t>Marriott Hotels</w:t>
            </w:r>
          </w:p>
        </w:tc>
        <w:tc>
          <w:tcPr>
            <w:tcW w:w="1180" w:type="dxa"/>
            <w:vAlign w:val="bottom"/>
            <w:gridSpan w:val="5"/>
          </w:tcPr>
          <w:p>
            <w:pPr>
              <w:jc w:val="right"/>
              <w:ind w:right="10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28"/>
              <w:spacing w:after="0"/>
              <w:rPr>
                <w:sz w:val="20"/>
                <w:szCs w:val="20"/>
                <w:color w:val="auto"/>
              </w:rPr>
            </w:pPr>
            <w:r>
              <w:rPr>
                <w:rFonts w:ascii="Arial" w:cs="Arial" w:eastAsia="Arial" w:hAnsi="Arial"/>
                <w:sz w:val="14"/>
                <w:szCs w:val="14"/>
                <w:color w:val="auto"/>
              </w:rPr>
              <w:t>178.74</w:t>
            </w:r>
          </w:p>
        </w:tc>
        <w:tc>
          <w:tcPr>
            <w:tcW w:w="1000" w:type="dxa"/>
            <w:vAlign w:val="bottom"/>
          </w:tcPr>
          <w:p>
            <w:pPr>
              <w:jc w:val="right"/>
              <w:spacing w:after="0"/>
              <w:rPr>
                <w:sz w:val="20"/>
                <w:szCs w:val="20"/>
                <w:color w:val="auto"/>
              </w:rPr>
            </w:pPr>
            <w:r>
              <w:rPr>
                <w:rFonts w:ascii="Arial" w:cs="Arial" w:eastAsia="Arial" w:hAnsi="Arial"/>
                <w:sz w:val="14"/>
                <w:szCs w:val="14"/>
                <w:color w:val="auto"/>
              </w:rPr>
              <w:t>4.2 %</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jc w:val="right"/>
              <w:ind w:right="228"/>
              <w:spacing w:after="0"/>
              <w:rPr>
                <w:sz w:val="20"/>
                <w:szCs w:val="20"/>
                <w:color w:val="auto"/>
              </w:rPr>
            </w:pPr>
            <w:r>
              <w:rPr>
                <w:rFonts w:ascii="Arial" w:cs="Arial" w:eastAsia="Arial" w:hAnsi="Arial"/>
                <w:sz w:val="14"/>
                <w:szCs w:val="14"/>
                <w:color w:val="auto"/>
              </w:rPr>
              <w:t>67.5 %</w:t>
            </w: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0.3 %</w:t>
            </w:r>
          </w:p>
        </w:tc>
        <w:tc>
          <w:tcPr>
            <w:tcW w:w="460" w:type="dxa"/>
            <w:vAlign w:val="bottom"/>
            <w:gridSpan w:val="3"/>
          </w:tcPr>
          <w:p>
            <w:pPr>
              <w:jc w:val="center"/>
              <w:ind w:right="20"/>
              <w:spacing w:after="0"/>
              <w:rPr>
                <w:sz w:val="20"/>
                <w:szCs w:val="20"/>
                <w:color w:val="auto"/>
              </w:rPr>
            </w:pPr>
            <w:r>
              <w:rPr>
                <w:rFonts w:ascii="Arial" w:cs="Arial" w:eastAsia="Arial" w:hAnsi="Arial"/>
                <w:sz w:val="14"/>
                <w:szCs w:val="14"/>
                <w:color w:val="auto"/>
              </w:rPr>
              <w:t>pts.</w:t>
            </w:r>
          </w:p>
        </w:tc>
        <w:tc>
          <w:tcPr>
            <w:tcW w:w="2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28"/>
              <w:spacing w:after="0"/>
              <w:rPr>
                <w:sz w:val="20"/>
                <w:szCs w:val="20"/>
                <w:color w:val="auto"/>
              </w:rPr>
            </w:pPr>
            <w:r>
              <w:rPr>
                <w:rFonts w:ascii="Arial" w:cs="Arial" w:eastAsia="Arial" w:hAnsi="Arial"/>
                <w:sz w:val="14"/>
                <w:szCs w:val="14"/>
                <w:color w:val="auto"/>
              </w:rPr>
              <w:t>264.64</w:t>
            </w:r>
          </w:p>
        </w:tc>
        <w:tc>
          <w:tcPr>
            <w:tcW w:w="1020" w:type="dxa"/>
            <w:vAlign w:val="bottom"/>
          </w:tcPr>
          <w:p>
            <w:pPr>
              <w:jc w:val="right"/>
              <w:spacing w:after="0"/>
              <w:rPr>
                <w:sz w:val="20"/>
                <w:szCs w:val="20"/>
                <w:color w:val="auto"/>
              </w:rPr>
            </w:pPr>
            <w:r>
              <w:rPr>
                <w:rFonts w:ascii="Arial" w:cs="Arial" w:eastAsia="Arial" w:hAnsi="Arial"/>
                <w:sz w:val="14"/>
                <w:szCs w:val="14"/>
                <w:color w:val="auto"/>
              </w:rPr>
              <w:t>3.8 %</w:t>
            </w:r>
          </w:p>
        </w:tc>
        <w:tc>
          <w:tcPr>
            <w:tcW w:w="20" w:type="dxa"/>
            <w:vAlign w:val="bottom"/>
          </w:tcPr>
          <w:p>
            <w:pPr>
              <w:spacing w:after="0"/>
              <w:rPr>
                <w:sz w:val="16"/>
                <w:szCs w:val="16"/>
                <w:color w:val="auto"/>
              </w:rPr>
            </w:pPr>
          </w:p>
        </w:tc>
      </w:tr>
      <w:tr>
        <w:trPr>
          <w:trHeight w:val="203"/>
        </w:trPr>
        <w:tc>
          <w:tcPr>
            <w:tcW w:w="3160" w:type="dxa"/>
            <w:vAlign w:val="bottom"/>
          </w:tcPr>
          <w:p>
            <w:pPr>
              <w:ind w:left="20"/>
              <w:spacing w:after="0"/>
              <w:rPr>
                <w:sz w:val="20"/>
                <w:szCs w:val="20"/>
                <w:color w:val="auto"/>
              </w:rPr>
            </w:pPr>
            <w:r>
              <w:rPr>
                <w:rFonts w:ascii="Arial" w:cs="Arial" w:eastAsia="Arial" w:hAnsi="Arial"/>
                <w:sz w:val="14"/>
                <w:szCs w:val="14"/>
                <w:color w:val="auto"/>
              </w:rPr>
              <w:t>Sheraton</w:t>
            </w:r>
          </w:p>
        </w:tc>
        <w:tc>
          <w:tcPr>
            <w:tcW w:w="1180" w:type="dxa"/>
            <w:vAlign w:val="bottom"/>
            <w:gridSpan w:val="5"/>
          </w:tcPr>
          <w:p>
            <w:pPr>
              <w:jc w:val="right"/>
              <w:ind w:right="10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28"/>
              <w:spacing w:after="0"/>
              <w:rPr>
                <w:sz w:val="20"/>
                <w:szCs w:val="20"/>
                <w:color w:val="auto"/>
              </w:rPr>
            </w:pPr>
            <w:r>
              <w:rPr>
                <w:rFonts w:ascii="Arial" w:cs="Arial" w:eastAsia="Arial" w:hAnsi="Arial"/>
                <w:sz w:val="14"/>
                <w:szCs w:val="14"/>
                <w:color w:val="auto"/>
              </w:rPr>
              <w:t>163.09</w:t>
            </w:r>
          </w:p>
        </w:tc>
        <w:tc>
          <w:tcPr>
            <w:tcW w:w="1000" w:type="dxa"/>
            <w:vAlign w:val="bottom"/>
          </w:tcPr>
          <w:p>
            <w:pPr>
              <w:jc w:val="right"/>
              <w:spacing w:after="0"/>
              <w:rPr>
                <w:sz w:val="20"/>
                <w:szCs w:val="20"/>
                <w:color w:val="auto"/>
              </w:rPr>
            </w:pPr>
            <w:r>
              <w:rPr>
                <w:rFonts w:ascii="Arial" w:cs="Arial" w:eastAsia="Arial" w:hAnsi="Arial"/>
                <w:sz w:val="14"/>
                <w:szCs w:val="14"/>
                <w:color w:val="auto"/>
              </w:rPr>
              <w:t>0.9 %</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jc w:val="right"/>
              <w:ind w:right="228"/>
              <w:spacing w:after="0"/>
              <w:rPr>
                <w:sz w:val="20"/>
                <w:szCs w:val="20"/>
                <w:color w:val="auto"/>
              </w:rPr>
            </w:pPr>
            <w:r>
              <w:rPr>
                <w:rFonts w:ascii="Arial" w:cs="Arial" w:eastAsia="Arial" w:hAnsi="Arial"/>
                <w:sz w:val="14"/>
                <w:szCs w:val="14"/>
                <w:color w:val="auto"/>
              </w:rPr>
              <w:t>66.2 %</w:t>
            </w: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0.1 %</w:t>
            </w:r>
          </w:p>
        </w:tc>
        <w:tc>
          <w:tcPr>
            <w:tcW w:w="460" w:type="dxa"/>
            <w:vAlign w:val="bottom"/>
            <w:gridSpan w:val="3"/>
          </w:tcPr>
          <w:p>
            <w:pPr>
              <w:jc w:val="center"/>
              <w:ind w:right="20"/>
              <w:spacing w:after="0"/>
              <w:rPr>
                <w:sz w:val="20"/>
                <w:szCs w:val="20"/>
                <w:color w:val="auto"/>
              </w:rPr>
            </w:pPr>
            <w:r>
              <w:rPr>
                <w:rFonts w:ascii="Arial" w:cs="Arial" w:eastAsia="Arial" w:hAnsi="Arial"/>
                <w:sz w:val="14"/>
                <w:szCs w:val="14"/>
                <w:color w:val="auto"/>
              </w:rPr>
              <w:t>pts.</w:t>
            </w:r>
          </w:p>
        </w:tc>
        <w:tc>
          <w:tcPr>
            <w:tcW w:w="2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28"/>
              <w:spacing w:after="0"/>
              <w:rPr>
                <w:sz w:val="20"/>
                <w:szCs w:val="20"/>
                <w:color w:val="auto"/>
              </w:rPr>
            </w:pPr>
            <w:r>
              <w:rPr>
                <w:rFonts w:ascii="Arial" w:cs="Arial" w:eastAsia="Arial" w:hAnsi="Arial"/>
                <w:sz w:val="14"/>
                <w:szCs w:val="14"/>
                <w:color w:val="auto"/>
              </w:rPr>
              <w:t>246.51</w:t>
            </w:r>
          </w:p>
        </w:tc>
        <w:tc>
          <w:tcPr>
            <w:tcW w:w="1020" w:type="dxa"/>
            <w:vAlign w:val="bottom"/>
          </w:tcPr>
          <w:p>
            <w:pPr>
              <w:jc w:val="right"/>
              <w:spacing w:after="0"/>
              <w:rPr>
                <w:sz w:val="20"/>
                <w:szCs w:val="20"/>
                <w:color w:val="auto"/>
              </w:rPr>
            </w:pPr>
            <w:r>
              <w:rPr>
                <w:rFonts w:ascii="Arial" w:cs="Arial" w:eastAsia="Arial" w:hAnsi="Arial"/>
                <w:sz w:val="14"/>
                <w:szCs w:val="14"/>
                <w:color w:val="auto"/>
              </w:rPr>
              <w:t>0.8 %</w:t>
            </w:r>
          </w:p>
        </w:tc>
        <w:tc>
          <w:tcPr>
            <w:tcW w:w="20" w:type="dxa"/>
            <w:vAlign w:val="bottom"/>
          </w:tcPr>
          <w:p>
            <w:pPr>
              <w:spacing w:after="0"/>
              <w:rPr>
                <w:sz w:val="17"/>
                <w:szCs w:val="17"/>
                <w:color w:val="auto"/>
              </w:rPr>
            </w:pPr>
          </w:p>
        </w:tc>
      </w:tr>
      <w:tr>
        <w:trPr>
          <w:trHeight w:val="203"/>
        </w:trPr>
        <w:tc>
          <w:tcPr>
            <w:tcW w:w="3160" w:type="dxa"/>
            <w:vAlign w:val="bottom"/>
          </w:tcPr>
          <w:p>
            <w:pPr>
              <w:ind w:left="20"/>
              <w:spacing w:after="0"/>
              <w:rPr>
                <w:sz w:val="20"/>
                <w:szCs w:val="20"/>
                <w:color w:val="auto"/>
              </w:rPr>
            </w:pPr>
            <w:r>
              <w:rPr>
                <w:rFonts w:ascii="Arial" w:cs="Arial" w:eastAsia="Arial" w:hAnsi="Arial"/>
                <w:sz w:val="14"/>
                <w:szCs w:val="14"/>
                <w:color w:val="auto"/>
              </w:rPr>
              <w:t>Westin</w:t>
            </w:r>
          </w:p>
        </w:tc>
        <w:tc>
          <w:tcPr>
            <w:tcW w:w="1180" w:type="dxa"/>
            <w:vAlign w:val="bottom"/>
            <w:gridSpan w:val="5"/>
          </w:tcPr>
          <w:p>
            <w:pPr>
              <w:jc w:val="right"/>
              <w:ind w:right="10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28"/>
              <w:spacing w:after="0"/>
              <w:rPr>
                <w:sz w:val="20"/>
                <w:szCs w:val="20"/>
                <w:color w:val="auto"/>
              </w:rPr>
            </w:pPr>
            <w:r>
              <w:rPr>
                <w:rFonts w:ascii="Arial" w:cs="Arial" w:eastAsia="Arial" w:hAnsi="Arial"/>
                <w:sz w:val="14"/>
                <w:szCs w:val="14"/>
                <w:color w:val="auto"/>
              </w:rPr>
              <w:t>175.99</w:t>
            </w:r>
          </w:p>
        </w:tc>
        <w:tc>
          <w:tcPr>
            <w:tcW w:w="1000" w:type="dxa"/>
            <w:vAlign w:val="bottom"/>
          </w:tcPr>
          <w:p>
            <w:pPr>
              <w:jc w:val="right"/>
              <w:spacing w:after="0"/>
              <w:rPr>
                <w:sz w:val="20"/>
                <w:szCs w:val="20"/>
                <w:color w:val="auto"/>
              </w:rPr>
            </w:pPr>
            <w:r>
              <w:rPr>
                <w:rFonts w:ascii="Arial" w:cs="Arial" w:eastAsia="Arial" w:hAnsi="Arial"/>
                <w:sz w:val="14"/>
                <w:szCs w:val="14"/>
                <w:color w:val="auto"/>
              </w:rPr>
              <w:t>4.6 %</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jc w:val="right"/>
              <w:ind w:right="228"/>
              <w:spacing w:after="0"/>
              <w:rPr>
                <w:sz w:val="20"/>
                <w:szCs w:val="20"/>
                <w:color w:val="auto"/>
              </w:rPr>
            </w:pPr>
            <w:r>
              <w:rPr>
                <w:rFonts w:ascii="Arial" w:cs="Arial" w:eastAsia="Arial" w:hAnsi="Arial"/>
                <w:sz w:val="14"/>
                <w:szCs w:val="14"/>
                <w:color w:val="auto"/>
              </w:rPr>
              <w:t>67.1 %</w:t>
            </w: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1.3 %</w:t>
            </w:r>
          </w:p>
        </w:tc>
        <w:tc>
          <w:tcPr>
            <w:tcW w:w="460" w:type="dxa"/>
            <w:vAlign w:val="bottom"/>
            <w:gridSpan w:val="3"/>
          </w:tcPr>
          <w:p>
            <w:pPr>
              <w:jc w:val="center"/>
              <w:ind w:right="20"/>
              <w:spacing w:after="0"/>
              <w:rPr>
                <w:sz w:val="20"/>
                <w:szCs w:val="20"/>
                <w:color w:val="auto"/>
              </w:rPr>
            </w:pPr>
            <w:r>
              <w:rPr>
                <w:rFonts w:ascii="Arial" w:cs="Arial" w:eastAsia="Arial" w:hAnsi="Arial"/>
                <w:sz w:val="14"/>
                <w:szCs w:val="14"/>
                <w:color w:val="auto"/>
              </w:rPr>
              <w:t>pts.</w:t>
            </w:r>
          </w:p>
        </w:tc>
        <w:tc>
          <w:tcPr>
            <w:tcW w:w="2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28"/>
              <w:spacing w:after="0"/>
              <w:rPr>
                <w:sz w:val="20"/>
                <w:szCs w:val="20"/>
                <w:color w:val="auto"/>
              </w:rPr>
            </w:pPr>
            <w:r>
              <w:rPr>
                <w:rFonts w:ascii="Arial" w:cs="Arial" w:eastAsia="Arial" w:hAnsi="Arial"/>
                <w:sz w:val="14"/>
                <w:szCs w:val="14"/>
                <w:color w:val="auto"/>
              </w:rPr>
              <w:t>262.37</w:t>
            </w:r>
          </w:p>
        </w:tc>
        <w:tc>
          <w:tcPr>
            <w:tcW w:w="1020" w:type="dxa"/>
            <w:vAlign w:val="bottom"/>
          </w:tcPr>
          <w:p>
            <w:pPr>
              <w:jc w:val="right"/>
              <w:spacing w:after="0"/>
              <w:rPr>
                <w:sz w:val="20"/>
                <w:szCs w:val="20"/>
                <w:color w:val="auto"/>
              </w:rPr>
            </w:pPr>
            <w:r>
              <w:rPr>
                <w:rFonts w:ascii="Arial" w:cs="Arial" w:eastAsia="Arial" w:hAnsi="Arial"/>
                <w:sz w:val="14"/>
                <w:szCs w:val="14"/>
                <w:color w:val="auto"/>
              </w:rPr>
              <w:t>2.7 %</w:t>
            </w:r>
          </w:p>
        </w:tc>
        <w:tc>
          <w:tcPr>
            <w:tcW w:w="20" w:type="dxa"/>
            <w:vAlign w:val="bottom"/>
          </w:tcPr>
          <w:p>
            <w:pPr>
              <w:spacing w:after="0"/>
              <w:rPr>
                <w:sz w:val="17"/>
                <w:szCs w:val="17"/>
                <w:color w:val="auto"/>
              </w:rPr>
            </w:pPr>
          </w:p>
        </w:tc>
      </w:tr>
      <w:tr>
        <w:trPr>
          <w:trHeight w:val="212"/>
        </w:trPr>
        <w:tc>
          <w:tcPr>
            <w:tcW w:w="3160" w:type="dxa"/>
            <w:vAlign w:val="bottom"/>
          </w:tcPr>
          <w:p>
            <w:pPr>
              <w:ind w:left="20"/>
              <w:spacing w:after="0"/>
              <w:rPr>
                <w:sz w:val="20"/>
                <w:szCs w:val="20"/>
                <w:color w:val="auto"/>
              </w:rPr>
            </w:pPr>
            <w:r>
              <w:rPr>
                <w:rFonts w:ascii="Arial" w:cs="Arial" w:eastAsia="Arial" w:hAnsi="Arial"/>
                <w:sz w:val="14"/>
                <w:szCs w:val="14"/>
                <w:b w:val="1"/>
                <w:bCs w:val="1"/>
                <w:color w:val="auto"/>
              </w:rPr>
              <w:t>Composite US &amp; Canada Premium</w:t>
            </w:r>
            <w:r>
              <w:rPr>
                <w:rFonts w:ascii="Arial" w:cs="Arial" w:eastAsia="Arial" w:hAnsi="Arial"/>
                <w:sz w:val="18"/>
                <w:szCs w:val="18"/>
                <w:b w:val="1"/>
                <w:bCs w:val="1"/>
                <w:color w:val="auto"/>
                <w:vertAlign w:val="superscript"/>
              </w:rPr>
              <w:t>2</w:t>
            </w:r>
          </w:p>
        </w:tc>
        <w:tc>
          <w:tcPr>
            <w:tcW w:w="1180" w:type="dxa"/>
            <w:vAlign w:val="bottom"/>
            <w:gridSpan w:val="5"/>
          </w:tcPr>
          <w:p>
            <w:pPr>
              <w:jc w:val="right"/>
              <w:ind w:right="100"/>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jc w:val="right"/>
              <w:ind w:right="128"/>
              <w:spacing w:after="0"/>
              <w:rPr>
                <w:sz w:val="20"/>
                <w:szCs w:val="20"/>
                <w:color w:val="auto"/>
              </w:rPr>
            </w:pPr>
            <w:r>
              <w:rPr>
                <w:rFonts w:ascii="Arial" w:cs="Arial" w:eastAsia="Arial" w:hAnsi="Arial"/>
                <w:sz w:val="14"/>
                <w:szCs w:val="14"/>
                <w:b w:val="1"/>
                <w:bCs w:val="1"/>
                <w:color w:val="auto"/>
              </w:rPr>
              <w:t>173.70</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3.4 %</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ind w:right="228"/>
              <w:spacing w:after="0"/>
              <w:rPr>
                <w:sz w:val="20"/>
                <w:szCs w:val="20"/>
                <w:color w:val="auto"/>
              </w:rPr>
            </w:pPr>
            <w:r>
              <w:rPr>
                <w:rFonts w:ascii="Arial" w:cs="Arial" w:eastAsia="Arial" w:hAnsi="Arial"/>
                <w:sz w:val="14"/>
                <w:szCs w:val="14"/>
                <w:b w:val="1"/>
                <w:bCs w:val="1"/>
                <w:color w:val="auto"/>
              </w:rPr>
              <w:t>67.1 %</w:t>
            </w:r>
          </w:p>
        </w:tc>
        <w:tc>
          <w:tcPr>
            <w:tcW w:w="980" w:type="dxa"/>
            <w:vAlign w:val="bottom"/>
          </w:tcPr>
          <w:p>
            <w:pPr>
              <w:jc w:val="right"/>
              <w:ind w:right="68"/>
              <w:spacing w:after="0"/>
              <w:rPr>
                <w:sz w:val="20"/>
                <w:szCs w:val="20"/>
                <w:color w:val="auto"/>
              </w:rPr>
            </w:pPr>
            <w:r>
              <w:rPr>
                <w:rFonts w:ascii="Arial" w:cs="Arial" w:eastAsia="Arial" w:hAnsi="Arial"/>
                <w:sz w:val="14"/>
                <w:szCs w:val="14"/>
                <w:b w:val="1"/>
                <w:bCs w:val="1"/>
                <w:color w:val="auto"/>
              </w:rPr>
              <w:t>0.2 %</w:t>
            </w:r>
          </w:p>
        </w:tc>
        <w:tc>
          <w:tcPr>
            <w:tcW w:w="46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rPr>
              <w:t>pts.</w:t>
            </w:r>
          </w:p>
        </w:tc>
        <w:tc>
          <w:tcPr>
            <w:tcW w:w="2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jc w:val="right"/>
              <w:ind w:right="128"/>
              <w:spacing w:after="0"/>
              <w:rPr>
                <w:sz w:val="20"/>
                <w:szCs w:val="20"/>
                <w:color w:val="auto"/>
              </w:rPr>
            </w:pPr>
            <w:r>
              <w:rPr>
                <w:rFonts w:ascii="Arial" w:cs="Arial" w:eastAsia="Arial" w:hAnsi="Arial"/>
                <w:sz w:val="14"/>
                <w:szCs w:val="14"/>
                <w:b w:val="1"/>
                <w:bCs w:val="1"/>
                <w:color w:val="auto"/>
              </w:rPr>
              <w:t>259.01</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3.1 %</w:t>
            </w:r>
          </w:p>
        </w:tc>
        <w:tc>
          <w:tcPr>
            <w:tcW w:w="20" w:type="dxa"/>
            <w:vAlign w:val="bottom"/>
          </w:tcPr>
          <w:p>
            <w:pPr>
              <w:spacing w:after="0"/>
              <w:rPr>
                <w:sz w:val="18"/>
                <w:szCs w:val="18"/>
                <w:color w:val="auto"/>
              </w:rPr>
            </w:pPr>
          </w:p>
        </w:tc>
      </w:tr>
      <w:tr>
        <w:trPr>
          <w:trHeight w:val="205"/>
        </w:trPr>
        <w:tc>
          <w:tcPr>
            <w:tcW w:w="3160" w:type="dxa"/>
            <w:vAlign w:val="bottom"/>
          </w:tcPr>
          <w:p>
            <w:pPr>
              <w:ind w:left="20"/>
              <w:spacing w:after="0" w:line="205" w:lineRule="exact"/>
              <w:rPr>
                <w:sz w:val="20"/>
                <w:szCs w:val="20"/>
                <w:color w:val="auto"/>
              </w:rPr>
            </w:pPr>
            <w:r>
              <w:rPr>
                <w:rFonts w:ascii="Arial" w:cs="Arial" w:eastAsia="Arial" w:hAnsi="Arial"/>
                <w:sz w:val="14"/>
                <w:szCs w:val="14"/>
                <w:b w:val="1"/>
                <w:bCs w:val="1"/>
                <w:color w:val="auto"/>
              </w:rPr>
              <w:t>US &amp; Canada Full-Service</w:t>
            </w:r>
            <w:r>
              <w:rPr>
                <w:rFonts w:ascii="Arial" w:cs="Arial" w:eastAsia="Arial" w:hAnsi="Arial"/>
                <w:sz w:val="18"/>
                <w:szCs w:val="18"/>
                <w:b w:val="1"/>
                <w:bCs w:val="1"/>
                <w:color w:val="auto"/>
                <w:vertAlign w:val="superscript"/>
              </w:rPr>
              <w:t>3</w:t>
            </w:r>
          </w:p>
        </w:tc>
        <w:tc>
          <w:tcPr>
            <w:tcW w:w="1180" w:type="dxa"/>
            <w:vAlign w:val="bottom"/>
            <w:gridSpan w:val="5"/>
          </w:tcPr>
          <w:p>
            <w:pPr>
              <w:jc w:val="right"/>
              <w:ind w:right="100"/>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jc w:val="right"/>
              <w:ind w:right="128"/>
              <w:spacing w:after="0"/>
              <w:rPr>
                <w:sz w:val="20"/>
                <w:szCs w:val="20"/>
                <w:color w:val="auto"/>
              </w:rPr>
            </w:pPr>
            <w:r>
              <w:rPr>
                <w:rFonts w:ascii="Arial" w:cs="Arial" w:eastAsia="Arial" w:hAnsi="Arial"/>
                <w:sz w:val="14"/>
                <w:szCs w:val="14"/>
                <w:b w:val="1"/>
                <w:bCs w:val="1"/>
                <w:color w:val="auto"/>
              </w:rPr>
              <w:t>217.42</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4.9 %</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jc w:val="right"/>
              <w:ind w:right="228"/>
              <w:spacing w:after="0"/>
              <w:rPr>
                <w:sz w:val="20"/>
                <w:szCs w:val="20"/>
                <w:color w:val="auto"/>
              </w:rPr>
            </w:pPr>
            <w:r>
              <w:rPr>
                <w:rFonts w:ascii="Arial" w:cs="Arial" w:eastAsia="Arial" w:hAnsi="Arial"/>
                <w:sz w:val="14"/>
                <w:szCs w:val="14"/>
                <w:b w:val="1"/>
                <w:bCs w:val="1"/>
                <w:color w:val="auto"/>
              </w:rPr>
              <w:t>67.8 %</w:t>
            </w:r>
          </w:p>
        </w:tc>
        <w:tc>
          <w:tcPr>
            <w:tcW w:w="980" w:type="dxa"/>
            <w:vAlign w:val="bottom"/>
          </w:tcPr>
          <w:p>
            <w:pPr>
              <w:jc w:val="right"/>
              <w:ind w:right="68"/>
              <w:spacing w:after="0"/>
              <w:rPr>
                <w:sz w:val="20"/>
                <w:szCs w:val="20"/>
                <w:color w:val="auto"/>
              </w:rPr>
            </w:pPr>
            <w:r>
              <w:rPr>
                <w:rFonts w:ascii="Arial" w:cs="Arial" w:eastAsia="Arial" w:hAnsi="Arial"/>
                <w:sz w:val="14"/>
                <w:szCs w:val="14"/>
                <w:b w:val="1"/>
                <w:bCs w:val="1"/>
                <w:color w:val="auto"/>
              </w:rPr>
              <w:t>0.4 %</w:t>
            </w:r>
          </w:p>
        </w:tc>
        <w:tc>
          <w:tcPr>
            <w:tcW w:w="46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rPr>
              <w:t>pts.</w:t>
            </w:r>
          </w:p>
        </w:tc>
        <w:tc>
          <w:tcPr>
            <w:tcW w:w="2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jc w:val="right"/>
              <w:ind w:right="128"/>
              <w:spacing w:after="0"/>
              <w:rPr>
                <w:sz w:val="20"/>
                <w:szCs w:val="20"/>
                <w:color w:val="auto"/>
              </w:rPr>
            </w:pPr>
            <w:r>
              <w:rPr>
                <w:rFonts w:ascii="Arial" w:cs="Arial" w:eastAsia="Arial" w:hAnsi="Arial"/>
                <w:sz w:val="14"/>
                <w:szCs w:val="14"/>
                <w:b w:val="1"/>
                <w:bCs w:val="1"/>
                <w:color w:val="auto"/>
              </w:rPr>
              <w:t>320.73</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4.2 %</w:t>
            </w:r>
          </w:p>
        </w:tc>
        <w:tc>
          <w:tcPr>
            <w:tcW w:w="20" w:type="dxa"/>
            <w:vAlign w:val="bottom"/>
          </w:tcPr>
          <w:p>
            <w:pPr>
              <w:spacing w:after="0"/>
              <w:rPr>
                <w:sz w:val="17"/>
                <w:szCs w:val="17"/>
                <w:color w:val="auto"/>
              </w:rPr>
            </w:pPr>
          </w:p>
        </w:tc>
      </w:tr>
      <w:tr>
        <w:trPr>
          <w:trHeight w:val="190"/>
        </w:trPr>
        <w:tc>
          <w:tcPr>
            <w:tcW w:w="3160" w:type="dxa"/>
            <w:vAlign w:val="bottom"/>
          </w:tcPr>
          <w:p>
            <w:pPr>
              <w:ind w:left="20"/>
              <w:spacing w:after="0"/>
              <w:rPr>
                <w:sz w:val="20"/>
                <w:szCs w:val="20"/>
                <w:color w:val="auto"/>
              </w:rPr>
            </w:pPr>
            <w:r>
              <w:rPr>
                <w:rFonts w:ascii="Arial" w:cs="Arial" w:eastAsia="Arial" w:hAnsi="Arial"/>
                <w:sz w:val="14"/>
                <w:szCs w:val="14"/>
                <w:color w:val="auto"/>
              </w:rPr>
              <w:t>Courtyard by Marriott</w:t>
            </w:r>
          </w:p>
        </w:tc>
        <w:tc>
          <w:tcPr>
            <w:tcW w:w="1180" w:type="dxa"/>
            <w:vAlign w:val="bottom"/>
            <w:gridSpan w:val="5"/>
          </w:tcPr>
          <w:p>
            <w:pPr>
              <w:jc w:val="right"/>
              <w:ind w:right="10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28"/>
              <w:spacing w:after="0"/>
              <w:rPr>
                <w:sz w:val="20"/>
                <w:szCs w:val="20"/>
                <w:color w:val="auto"/>
              </w:rPr>
            </w:pPr>
            <w:r>
              <w:rPr>
                <w:rFonts w:ascii="Arial" w:cs="Arial" w:eastAsia="Arial" w:hAnsi="Arial"/>
                <w:sz w:val="14"/>
                <w:szCs w:val="14"/>
                <w:color w:val="auto"/>
              </w:rPr>
              <w:t>108.02</w:t>
            </w:r>
          </w:p>
        </w:tc>
        <w:tc>
          <w:tcPr>
            <w:tcW w:w="1000" w:type="dxa"/>
            <w:vAlign w:val="bottom"/>
          </w:tcPr>
          <w:p>
            <w:pPr>
              <w:jc w:val="right"/>
              <w:spacing w:after="0"/>
              <w:rPr>
                <w:sz w:val="20"/>
                <w:szCs w:val="20"/>
                <w:color w:val="auto"/>
              </w:rPr>
            </w:pPr>
            <w:r>
              <w:rPr>
                <w:rFonts w:ascii="Arial" w:cs="Arial" w:eastAsia="Arial" w:hAnsi="Arial"/>
                <w:sz w:val="14"/>
                <w:szCs w:val="14"/>
                <w:color w:val="auto"/>
              </w:rPr>
              <w:t>2.4 %</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jc w:val="right"/>
              <w:ind w:right="228"/>
              <w:spacing w:after="0"/>
              <w:rPr>
                <w:sz w:val="20"/>
                <w:szCs w:val="20"/>
                <w:color w:val="auto"/>
              </w:rPr>
            </w:pPr>
            <w:r>
              <w:rPr>
                <w:rFonts w:ascii="Arial" w:cs="Arial" w:eastAsia="Arial" w:hAnsi="Arial"/>
                <w:sz w:val="14"/>
                <w:szCs w:val="14"/>
                <w:color w:val="auto"/>
              </w:rPr>
              <w:t>63.0 %</w:t>
            </w: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0.1 %</w:t>
            </w:r>
          </w:p>
        </w:tc>
        <w:tc>
          <w:tcPr>
            <w:tcW w:w="460" w:type="dxa"/>
            <w:vAlign w:val="bottom"/>
            <w:gridSpan w:val="3"/>
          </w:tcPr>
          <w:p>
            <w:pPr>
              <w:jc w:val="center"/>
              <w:ind w:right="20"/>
              <w:spacing w:after="0"/>
              <w:rPr>
                <w:sz w:val="20"/>
                <w:szCs w:val="20"/>
                <w:color w:val="auto"/>
              </w:rPr>
            </w:pPr>
            <w:r>
              <w:rPr>
                <w:rFonts w:ascii="Arial" w:cs="Arial" w:eastAsia="Arial" w:hAnsi="Arial"/>
                <w:sz w:val="14"/>
                <w:szCs w:val="14"/>
                <w:color w:val="auto"/>
              </w:rPr>
              <w:t>pts.</w:t>
            </w:r>
          </w:p>
        </w:tc>
        <w:tc>
          <w:tcPr>
            <w:tcW w:w="2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28"/>
              <w:spacing w:after="0"/>
              <w:rPr>
                <w:sz w:val="20"/>
                <w:szCs w:val="20"/>
                <w:color w:val="auto"/>
              </w:rPr>
            </w:pPr>
            <w:r>
              <w:rPr>
                <w:rFonts w:ascii="Arial" w:cs="Arial" w:eastAsia="Arial" w:hAnsi="Arial"/>
                <w:sz w:val="14"/>
                <w:szCs w:val="14"/>
                <w:color w:val="auto"/>
              </w:rPr>
              <w:t>171.52</w:t>
            </w:r>
          </w:p>
        </w:tc>
        <w:tc>
          <w:tcPr>
            <w:tcW w:w="1020" w:type="dxa"/>
            <w:vAlign w:val="bottom"/>
          </w:tcPr>
          <w:p>
            <w:pPr>
              <w:jc w:val="right"/>
              <w:spacing w:after="0"/>
              <w:rPr>
                <w:sz w:val="20"/>
                <w:szCs w:val="20"/>
                <w:color w:val="auto"/>
              </w:rPr>
            </w:pPr>
            <w:r>
              <w:rPr>
                <w:rFonts w:ascii="Arial" w:cs="Arial" w:eastAsia="Arial" w:hAnsi="Arial"/>
                <w:sz w:val="14"/>
                <w:szCs w:val="14"/>
                <w:color w:val="auto"/>
              </w:rPr>
              <w:t>2.2 %</w:t>
            </w:r>
          </w:p>
        </w:tc>
        <w:tc>
          <w:tcPr>
            <w:tcW w:w="20" w:type="dxa"/>
            <w:vAlign w:val="bottom"/>
          </w:tcPr>
          <w:p>
            <w:pPr>
              <w:spacing w:after="0"/>
              <w:rPr>
                <w:sz w:val="16"/>
                <w:szCs w:val="16"/>
                <w:color w:val="auto"/>
              </w:rPr>
            </w:pPr>
          </w:p>
        </w:tc>
      </w:tr>
      <w:tr>
        <w:trPr>
          <w:trHeight w:val="203"/>
        </w:trPr>
        <w:tc>
          <w:tcPr>
            <w:tcW w:w="3160" w:type="dxa"/>
            <w:vAlign w:val="bottom"/>
          </w:tcPr>
          <w:p>
            <w:pPr>
              <w:ind w:left="20"/>
              <w:spacing w:after="0"/>
              <w:rPr>
                <w:sz w:val="20"/>
                <w:szCs w:val="20"/>
                <w:color w:val="auto"/>
              </w:rPr>
            </w:pPr>
            <w:r>
              <w:rPr>
                <w:rFonts w:ascii="Arial" w:cs="Arial" w:eastAsia="Arial" w:hAnsi="Arial"/>
                <w:sz w:val="14"/>
                <w:szCs w:val="14"/>
                <w:color w:val="auto"/>
              </w:rPr>
              <w:t>Residence Inn by Marriott</w:t>
            </w:r>
          </w:p>
        </w:tc>
        <w:tc>
          <w:tcPr>
            <w:tcW w:w="1180" w:type="dxa"/>
            <w:vAlign w:val="bottom"/>
            <w:gridSpan w:val="5"/>
          </w:tcPr>
          <w:p>
            <w:pPr>
              <w:jc w:val="right"/>
              <w:ind w:right="10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28"/>
              <w:spacing w:after="0"/>
              <w:rPr>
                <w:sz w:val="20"/>
                <w:szCs w:val="20"/>
                <w:color w:val="auto"/>
              </w:rPr>
            </w:pPr>
            <w:r>
              <w:rPr>
                <w:rFonts w:ascii="Arial" w:cs="Arial" w:eastAsia="Arial" w:hAnsi="Arial"/>
                <w:sz w:val="14"/>
                <w:szCs w:val="14"/>
                <w:color w:val="auto"/>
              </w:rPr>
              <w:t>151.23</w:t>
            </w:r>
          </w:p>
        </w:tc>
        <w:tc>
          <w:tcPr>
            <w:tcW w:w="1000" w:type="dxa"/>
            <w:vAlign w:val="bottom"/>
          </w:tcPr>
          <w:p>
            <w:pPr>
              <w:jc w:val="right"/>
              <w:spacing w:after="0"/>
              <w:rPr>
                <w:sz w:val="20"/>
                <w:szCs w:val="20"/>
                <w:color w:val="auto"/>
              </w:rPr>
            </w:pPr>
            <w:r>
              <w:rPr>
                <w:rFonts w:ascii="Arial" w:cs="Arial" w:eastAsia="Arial" w:hAnsi="Arial"/>
                <w:sz w:val="14"/>
                <w:szCs w:val="14"/>
                <w:color w:val="auto"/>
              </w:rPr>
              <w:t>1.9 %</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jc w:val="right"/>
              <w:ind w:right="228"/>
              <w:spacing w:after="0"/>
              <w:rPr>
                <w:sz w:val="20"/>
                <w:szCs w:val="20"/>
                <w:color w:val="auto"/>
              </w:rPr>
            </w:pPr>
            <w:r>
              <w:rPr>
                <w:rFonts w:ascii="Arial" w:cs="Arial" w:eastAsia="Arial" w:hAnsi="Arial"/>
                <w:sz w:val="14"/>
                <w:szCs w:val="14"/>
                <w:color w:val="auto"/>
              </w:rPr>
              <w:t>73.5 %</w:t>
            </w: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0.4 %</w:t>
            </w:r>
          </w:p>
        </w:tc>
        <w:tc>
          <w:tcPr>
            <w:tcW w:w="460" w:type="dxa"/>
            <w:vAlign w:val="bottom"/>
            <w:gridSpan w:val="3"/>
          </w:tcPr>
          <w:p>
            <w:pPr>
              <w:jc w:val="center"/>
              <w:ind w:right="20"/>
              <w:spacing w:after="0"/>
              <w:rPr>
                <w:sz w:val="20"/>
                <w:szCs w:val="20"/>
                <w:color w:val="auto"/>
              </w:rPr>
            </w:pPr>
            <w:r>
              <w:rPr>
                <w:rFonts w:ascii="Arial" w:cs="Arial" w:eastAsia="Arial" w:hAnsi="Arial"/>
                <w:sz w:val="14"/>
                <w:szCs w:val="14"/>
                <w:color w:val="auto"/>
              </w:rPr>
              <w:t>pts.</w:t>
            </w:r>
          </w:p>
        </w:tc>
        <w:tc>
          <w:tcPr>
            <w:tcW w:w="2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28"/>
              <w:spacing w:after="0"/>
              <w:rPr>
                <w:sz w:val="20"/>
                <w:szCs w:val="20"/>
                <w:color w:val="auto"/>
              </w:rPr>
            </w:pPr>
            <w:r>
              <w:rPr>
                <w:rFonts w:ascii="Arial" w:cs="Arial" w:eastAsia="Arial" w:hAnsi="Arial"/>
                <w:sz w:val="14"/>
                <w:szCs w:val="14"/>
                <w:color w:val="auto"/>
              </w:rPr>
              <w:t>205.73</w:t>
            </w:r>
          </w:p>
        </w:tc>
        <w:tc>
          <w:tcPr>
            <w:tcW w:w="1020" w:type="dxa"/>
            <w:vAlign w:val="bottom"/>
          </w:tcPr>
          <w:p>
            <w:pPr>
              <w:jc w:val="right"/>
              <w:spacing w:after="0"/>
              <w:rPr>
                <w:sz w:val="20"/>
                <w:szCs w:val="20"/>
                <w:color w:val="auto"/>
              </w:rPr>
            </w:pPr>
            <w:r>
              <w:rPr>
                <w:rFonts w:ascii="Arial" w:cs="Arial" w:eastAsia="Arial" w:hAnsi="Arial"/>
                <w:sz w:val="14"/>
                <w:szCs w:val="14"/>
                <w:color w:val="auto"/>
              </w:rPr>
              <w:t>1.4 %</w:t>
            </w:r>
          </w:p>
        </w:tc>
        <w:tc>
          <w:tcPr>
            <w:tcW w:w="20" w:type="dxa"/>
            <w:vAlign w:val="bottom"/>
          </w:tcPr>
          <w:p>
            <w:pPr>
              <w:spacing w:after="0"/>
              <w:rPr>
                <w:sz w:val="17"/>
                <w:szCs w:val="17"/>
                <w:color w:val="auto"/>
              </w:rPr>
            </w:pPr>
          </w:p>
        </w:tc>
      </w:tr>
      <w:tr>
        <w:trPr>
          <w:trHeight w:val="212"/>
        </w:trPr>
        <w:tc>
          <w:tcPr>
            <w:tcW w:w="3160" w:type="dxa"/>
            <w:vAlign w:val="bottom"/>
          </w:tcPr>
          <w:p>
            <w:pPr>
              <w:ind w:left="20"/>
              <w:spacing w:after="0"/>
              <w:rPr>
                <w:sz w:val="20"/>
                <w:szCs w:val="20"/>
                <w:color w:val="auto"/>
              </w:rPr>
            </w:pPr>
            <w:r>
              <w:rPr>
                <w:rFonts w:ascii="Arial" w:cs="Arial" w:eastAsia="Arial" w:hAnsi="Arial"/>
                <w:sz w:val="14"/>
                <w:szCs w:val="14"/>
                <w:b w:val="1"/>
                <w:bCs w:val="1"/>
                <w:color w:val="auto"/>
              </w:rPr>
              <w:t>Composite US &amp; Canada Select</w:t>
            </w:r>
            <w:r>
              <w:rPr>
                <w:rFonts w:ascii="Arial" w:cs="Arial" w:eastAsia="Arial" w:hAnsi="Arial"/>
                <w:sz w:val="18"/>
                <w:szCs w:val="18"/>
                <w:b w:val="1"/>
                <w:bCs w:val="1"/>
                <w:color w:val="auto"/>
                <w:vertAlign w:val="superscript"/>
              </w:rPr>
              <w:t>4</w:t>
            </w:r>
          </w:p>
        </w:tc>
        <w:tc>
          <w:tcPr>
            <w:tcW w:w="1180" w:type="dxa"/>
            <w:vAlign w:val="bottom"/>
            <w:gridSpan w:val="5"/>
          </w:tcPr>
          <w:p>
            <w:pPr>
              <w:jc w:val="right"/>
              <w:ind w:right="100"/>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jc w:val="right"/>
              <w:ind w:right="128"/>
              <w:spacing w:after="0"/>
              <w:rPr>
                <w:sz w:val="20"/>
                <w:szCs w:val="20"/>
                <w:color w:val="auto"/>
              </w:rPr>
            </w:pPr>
            <w:r>
              <w:rPr>
                <w:rFonts w:ascii="Arial" w:cs="Arial" w:eastAsia="Arial" w:hAnsi="Arial"/>
                <w:sz w:val="14"/>
                <w:szCs w:val="14"/>
                <w:b w:val="1"/>
                <w:bCs w:val="1"/>
                <w:color w:val="auto"/>
              </w:rPr>
              <w:t>126.09</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2.7 %</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ind w:right="228"/>
              <w:spacing w:after="0"/>
              <w:rPr>
                <w:sz w:val="20"/>
                <w:szCs w:val="20"/>
                <w:color w:val="auto"/>
              </w:rPr>
            </w:pPr>
            <w:r>
              <w:rPr>
                <w:rFonts w:ascii="Arial" w:cs="Arial" w:eastAsia="Arial" w:hAnsi="Arial"/>
                <w:sz w:val="14"/>
                <w:szCs w:val="14"/>
                <w:b w:val="1"/>
                <w:bCs w:val="1"/>
                <w:color w:val="auto"/>
              </w:rPr>
              <w:t>67.0 %</w:t>
            </w:r>
          </w:p>
        </w:tc>
        <w:tc>
          <w:tcPr>
            <w:tcW w:w="980" w:type="dxa"/>
            <w:vAlign w:val="bottom"/>
          </w:tcPr>
          <w:p>
            <w:pPr>
              <w:jc w:val="right"/>
              <w:ind w:right="68"/>
              <w:spacing w:after="0"/>
              <w:rPr>
                <w:sz w:val="20"/>
                <w:szCs w:val="20"/>
                <w:color w:val="auto"/>
              </w:rPr>
            </w:pPr>
            <w:r>
              <w:rPr>
                <w:rFonts w:ascii="Arial" w:cs="Arial" w:eastAsia="Arial" w:hAnsi="Arial"/>
                <w:sz w:val="14"/>
                <w:szCs w:val="14"/>
                <w:b w:val="1"/>
                <w:bCs w:val="1"/>
                <w:color w:val="auto"/>
              </w:rPr>
              <w:t>0.5 %</w:t>
            </w:r>
          </w:p>
        </w:tc>
        <w:tc>
          <w:tcPr>
            <w:tcW w:w="46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rPr>
              <w:t>pts.</w:t>
            </w:r>
          </w:p>
        </w:tc>
        <w:tc>
          <w:tcPr>
            <w:tcW w:w="2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jc w:val="right"/>
              <w:ind w:right="128"/>
              <w:spacing w:after="0"/>
              <w:rPr>
                <w:sz w:val="20"/>
                <w:szCs w:val="20"/>
                <w:color w:val="auto"/>
              </w:rPr>
            </w:pPr>
            <w:r>
              <w:rPr>
                <w:rFonts w:ascii="Arial" w:cs="Arial" w:eastAsia="Arial" w:hAnsi="Arial"/>
                <w:sz w:val="14"/>
                <w:szCs w:val="14"/>
                <w:b w:val="1"/>
                <w:bCs w:val="1"/>
                <w:color w:val="auto"/>
              </w:rPr>
              <w:t>188.25</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2.0 %</w:t>
            </w:r>
          </w:p>
        </w:tc>
        <w:tc>
          <w:tcPr>
            <w:tcW w:w="20" w:type="dxa"/>
            <w:vAlign w:val="bottom"/>
          </w:tcPr>
          <w:p>
            <w:pPr>
              <w:spacing w:after="0"/>
              <w:rPr>
                <w:sz w:val="18"/>
                <w:szCs w:val="18"/>
                <w:color w:val="auto"/>
              </w:rPr>
            </w:pPr>
          </w:p>
        </w:tc>
      </w:tr>
      <w:tr>
        <w:trPr>
          <w:trHeight w:val="254"/>
        </w:trPr>
        <w:tc>
          <w:tcPr>
            <w:tcW w:w="3160" w:type="dxa"/>
            <w:vAlign w:val="bottom"/>
          </w:tcPr>
          <w:p>
            <w:pPr>
              <w:ind w:left="20"/>
              <w:spacing w:after="0"/>
              <w:rPr>
                <w:sz w:val="20"/>
                <w:szCs w:val="20"/>
                <w:color w:val="auto"/>
              </w:rPr>
            </w:pPr>
            <w:r>
              <w:rPr>
                <w:rFonts w:ascii="Arial" w:cs="Arial" w:eastAsia="Arial" w:hAnsi="Arial"/>
                <w:sz w:val="14"/>
                <w:szCs w:val="14"/>
                <w:b w:val="1"/>
                <w:bCs w:val="1"/>
                <w:color w:val="auto"/>
              </w:rPr>
              <w:t>US &amp; Canada - All</w:t>
            </w:r>
            <w:r>
              <w:rPr>
                <w:rFonts w:ascii="Arial" w:cs="Arial" w:eastAsia="Arial" w:hAnsi="Arial"/>
                <w:sz w:val="18"/>
                <w:szCs w:val="18"/>
                <w:b w:val="1"/>
                <w:bCs w:val="1"/>
                <w:color w:val="auto"/>
                <w:vertAlign w:val="superscript"/>
              </w:rPr>
              <w:t>5</w:t>
            </w:r>
          </w:p>
        </w:tc>
        <w:tc>
          <w:tcPr>
            <w:tcW w:w="1180" w:type="dxa"/>
            <w:vAlign w:val="bottom"/>
            <w:gridSpan w:val="5"/>
          </w:tcPr>
          <w:p>
            <w:pPr>
              <w:jc w:val="right"/>
              <w:ind w:right="100"/>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jc w:val="right"/>
              <w:ind w:right="128"/>
              <w:spacing w:after="0"/>
              <w:rPr>
                <w:sz w:val="20"/>
                <w:szCs w:val="20"/>
                <w:color w:val="auto"/>
              </w:rPr>
            </w:pPr>
            <w:r>
              <w:rPr>
                <w:rFonts w:ascii="Arial" w:cs="Arial" w:eastAsia="Arial" w:hAnsi="Arial"/>
                <w:sz w:val="14"/>
                <w:szCs w:val="14"/>
                <w:b w:val="1"/>
                <w:bCs w:val="1"/>
                <w:color w:val="auto"/>
              </w:rPr>
              <w:t>197.07</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4.6 %</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tcPr>
          <w:p>
            <w:pPr>
              <w:jc w:val="right"/>
              <w:ind w:right="228"/>
              <w:spacing w:after="0"/>
              <w:rPr>
                <w:sz w:val="20"/>
                <w:szCs w:val="20"/>
                <w:color w:val="auto"/>
              </w:rPr>
            </w:pPr>
            <w:r>
              <w:rPr>
                <w:rFonts w:ascii="Arial" w:cs="Arial" w:eastAsia="Arial" w:hAnsi="Arial"/>
                <w:sz w:val="14"/>
                <w:szCs w:val="14"/>
                <w:b w:val="1"/>
                <w:bCs w:val="1"/>
                <w:color w:val="auto"/>
              </w:rPr>
              <w:t>67.6 %</w:t>
            </w:r>
          </w:p>
        </w:tc>
        <w:tc>
          <w:tcPr>
            <w:tcW w:w="980" w:type="dxa"/>
            <w:vAlign w:val="bottom"/>
          </w:tcPr>
          <w:p>
            <w:pPr>
              <w:jc w:val="right"/>
              <w:ind w:right="68"/>
              <w:spacing w:after="0"/>
              <w:rPr>
                <w:sz w:val="20"/>
                <w:szCs w:val="20"/>
                <w:color w:val="auto"/>
              </w:rPr>
            </w:pPr>
            <w:r>
              <w:rPr>
                <w:rFonts w:ascii="Arial" w:cs="Arial" w:eastAsia="Arial" w:hAnsi="Arial"/>
                <w:sz w:val="14"/>
                <w:szCs w:val="14"/>
                <w:b w:val="1"/>
                <w:bCs w:val="1"/>
                <w:color w:val="auto"/>
              </w:rPr>
              <w:t>0.4 %</w:t>
            </w:r>
          </w:p>
        </w:tc>
        <w:tc>
          <w:tcPr>
            <w:tcW w:w="46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rPr>
              <w:t>pts.</w:t>
            </w:r>
          </w:p>
        </w:tc>
        <w:tc>
          <w:tcPr>
            <w:tcW w:w="2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jc w:val="right"/>
              <w:ind w:right="128"/>
              <w:spacing w:after="0"/>
              <w:rPr>
                <w:sz w:val="20"/>
                <w:szCs w:val="20"/>
                <w:color w:val="auto"/>
              </w:rPr>
            </w:pPr>
            <w:r>
              <w:rPr>
                <w:rFonts w:ascii="Arial" w:cs="Arial" w:eastAsia="Arial" w:hAnsi="Arial"/>
                <w:sz w:val="14"/>
                <w:szCs w:val="14"/>
                <w:b w:val="1"/>
                <w:bCs w:val="1"/>
                <w:color w:val="auto"/>
              </w:rPr>
              <w:t>291.48</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3.9 %</w:t>
            </w:r>
          </w:p>
        </w:tc>
        <w:tc>
          <w:tcPr>
            <w:tcW w:w="20" w:type="dxa"/>
            <w:vAlign w:val="bottom"/>
          </w:tcPr>
          <w:p>
            <w:pPr>
              <w:spacing w:after="0"/>
              <w:rPr>
                <w:sz w:val="22"/>
                <w:szCs w:val="22"/>
                <w:color w:val="auto"/>
              </w:rPr>
            </w:pPr>
          </w:p>
        </w:tc>
      </w:tr>
      <w:tr>
        <w:trPr>
          <w:trHeight w:val="783"/>
        </w:trPr>
        <w:tc>
          <w:tcPr>
            <w:tcW w:w="316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gridSpan w:val="10"/>
          </w:tcPr>
          <w:p>
            <w:pPr>
              <w:jc w:val="right"/>
              <w:ind w:right="268"/>
              <w:spacing w:after="0"/>
              <w:rPr>
                <w:sz w:val="20"/>
                <w:szCs w:val="20"/>
                <w:color w:val="auto"/>
              </w:rPr>
            </w:pPr>
            <w:r>
              <w:rPr>
                <w:rFonts w:ascii="Arial" w:cs="Arial" w:eastAsia="Arial" w:hAnsi="Arial"/>
                <w:sz w:val="14"/>
                <w:szCs w:val="14"/>
                <w:b w:val="1"/>
                <w:bCs w:val="1"/>
                <w:color w:val="auto"/>
              </w:rPr>
              <w:t>Comparable Systemwide US &amp; Canada Properties</w:t>
            </w:r>
          </w:p>
        </w:tc>
        <w:tc>
          <w:tcPr>
            <w:tcW w:w="9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196"/>
        </w:trPr>
        <w:tc>
          <w:tcPr>
            <w:tcW w:w="3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4940" w:type="dxa"/>
            <w:vAlign w:val="bottom"/>
            <w:tcBorders>
              <w:bottom w:val="single" w:sz="8" w:color="auto"/>
            </w:tcBorders>
            <w:gridSpan w:val="11"/>
          </w:tcPr>
          <w:p>
            <w:pPr>
              <w:jc w:val="center"/>
              <w:spacing w:after="0"/>
              <w:rPr>
                <w:sz w:val="20"/>
                <w:szCs w:val="20"/>
                <w:color w:val="auto"/>
              </w:rPr>
            </w:pPr>
            <w:r>
              <w:rPr>
                <w:rFonts w:ascii="Arial" w:cs="Arial" w:eastAsia="Arial" w:hAnsi="Arial"/>
                <w:sz w:val="14"/>
                <w:szCs w:val="14"/>
                <w:b w:val="1"/>
                <w:bCs w:val="1"/>
                <w:color w:val="auto"/>
              </w:rPr>
              <w:t>Three Months Ended March 31, 2026 and March 31, 2025</w:t>
            </w:r>
          </w:p>
        </w:tc>
        <w:tc>
          <w:tcPr>
            <w:tcW w:w="10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r>
      <w:tr>
        <w:trPr>
          <w:trHeight w:val="195"/>
        </w:trPr>
        <w:tc>
          <w:tcPr>
            <w:tcW w:w="3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right"/>
              <w:ind w:right="760"/>
              <w:spacing w:after="0"/>
              <w:rPr>
                <w:sz w:val="20"/>
                <w:szCs w:val="20"/>
                <w:color w:val="auto"/>
              </w:rPr>
            </w:pPr>
            <w:r>
              <w:rPr>
                <w:rFonts w:ascii="Arial" w:cs="Arial" w:eastAsia="Arial" w:hAnsi="Arial"/>
                <w:sz w:val="14"/>
                <w:szCs w:val="14"/>
                <w:b w:val="1"/>
                <w:bCs w:val="1"/>
                <w:color w:val="auto"/>
              </w:rPr>
              <w:t>RevPAR</w:t>
            </w:r>
          </w:p>
        </w:tc>
        <w:tc>
          <w:tcPr>
            <w:tcW w:w="100" w:type="dxa"/>
            <w:vAlign w:val="bottom"/>
          </w:tcPr>
          <w:p>
            <w:pPr>
              <w:spacing w:after="0"/>
              <w:rPr>
                <w:sz w:val="16"/>
                <w:szCs w:val="16"/>
                <w:color w:val="auto"/>
              </w:rPr>
            </w:pPr>
          </w:p>
        </w:tc>
        <w:tc>
          <w:tcPr>
            <w:tcW w:w="2280" w:type="dxa"/>
            <w:vAlign w:val="bottom"/>
            <w:tcBorders>
              <w:bottom w:val="single" w:sz="8" w:color="auto"/>
            </w:tcBorders>
            <w:gridSpan w:val="2"/>
          </w:tcPr>
          <w:p>
            <w:pPr>
              <w:jc w:val="center"/>
              <w:ind w:left="308"/>
              <w:spacing w:after="0"/>
              <w:rPr>
                <w:sz w:val="20"/>
                <w:szCs w:val="20"/>
                <w:color w:val="auto"/>
              </w:rPr>
            </w:pPr>
            <w:r>
              <w:rPr>
                <w:rFonts w:ascii="Arial" w:cs="Arial" w:eastAsia="Arial" w:hAnsi="Arial"/>
                <w:sz w:val="14"/>
                <w:szCs w:val="14"/>
                <w:b w:val="1"/>
                <w:bCs w:val="1"/>
                <w:color w:val="auto"/>
              </w:rPr>
              <w:t>Occupancy</w:t>
            </w:r>
          </w:p>
        </w:tc>
        <w:tc>
          <w:tcPr>
            <w:tcW w:w="3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2"/>
          </w:tcPr>
          <w:p>
            <w:pPr>
              <w:jc w:val="right"/>
              <w:ind w:right="308"/>
              <w:spacing w:after="0"/>
              <w:rPr>
                <w:sz w:val="20"/>
                <w:szCs w:val="20"/>
                <w:color w:val="auto"/>
              </w:rPr>
            </w:pPr>
            <w:r>
              <w:rPr>
                <w:rFonts w:ascii="Arial" w:cs="Arial" w:eastAsia="Arial" w:hAnsi="Arial"/>
                <w:sz w:val="14"/>
                <w:szCs w:val="14"/>
                <w:b w:val="1"/>
                <w:bCs w:val="1"/>
                <w:color w:val="auto"/>
              </w:rPr>
              <w:t>Average Daily Rate</w:t>
            </w:r>
          </w:p>
        </w:tc>
        <w:tc>
          <w:tcPr>
            <w:tcW w:w="20" w:type="dxa"/>
            <w:vAlign w:val="bottom"/>
            <w:tcBorders>
              <w:bottom w:val="single" w:sz="8" w:color="auto"/>
            </w:tcBorders>
          </w:tcPr>
          <w:p>
            <w:pPr>
              <w:spacing w:after="0"/>
              <w:rPr>
                <w:sz w:val="16"/>
                <w:szCs w:val="16"/>
                <w:color w:val="auto"/>
              </w:rPr>
            </w:pPr>
          </w:p>
        </w:tc>
      </w:tr>
      <w:tr>
        <w:trPr>
          <w:trHeight w:val="197"/>
        </w:trPr>
        <w:tc>
          <w:tcPr>
            <w:tcW w:w="31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Brand</w:t>
            </w:r>
          </w:p>
        </w:tc>
        <w:tc>
          <w:tcPr>
            <w:tcW w:w="86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2026</w:t>
            </w:r>
          </w:p>
        </w:tc>
        <w:tc>
          <w:tcPr>
            <w:tcW w:w="102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b w:val="1"/>
                <w:bCs w:val="1"/>
                <w:color w:val="auto"/>
              </w:rPr>
              <w:t>vs. 2025</w:t>
            </w:r>
          </w:p>
        </w:tc>
        <w:tc>
          <w:tcPr>
            <w:tcW w:w="100" w:type="dxa"/>
            <w:vAlign w:val="bottom"/>
          </w:tcPr>
          <w:p>
            <w:pPr>
              <w:spacing w:after="0"/>
              <w:rPr>
                <w:sz w:val="17"/>
                <w:szCs w:val="17"/>
                <w:color w:val="auto"/>
              </w:rPr>
            </w:pPr>
          </w:p>
        </w:tc>
        <w:tc>
          <w:tcPr>
            <w:tcW w:w="130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2026</w:t>
            </w: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vs. 2025</w:t>
            </w:r>
          </w:p>
        </w:tc>
        <w:tc>
          <w:tcPr>
            <w:tcW w:w="3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2026</w:t>
            </w:r>
          </w:p>
        </w:tc>
        <w:tc>
          <w:tcPr>
            <w:tcW w:w="10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vs. 2025</w:t>
            </w:r>
          </w:p>
        </w:tc>
        <w:tc>
          <w:tcPr>
            <w:tcW w:w="20" w:type="dxa"/>
            <w:vAlign w:val="bottom"/>
            <w:tcBorders>
              <w:bottom w:val="single" w:sz="8" w:color="auto"/>
            </w:tcBorders>
          </w:tcPr>
          <w:p>
            <w:pPr>
              <w:spacing w:after="0"/>
              <w:rPr>
                <w:sz w:val="17"/>
                <w:szCs w:val="17"/>
                <w:color w:val="auto"/>
              </w:rPr>
            </w:pPr>
          </w:p>
        </w:tc>
      </w:tr>
      <w:tr>
        <w:trPr>
          <w:trHeight w:val="189"/>
        </w:trPr>
        <w:tc>
          <w:tcPr>
            <w:tcW w:w="3160" w:type="dxa"/>
            <w:vAlign w:val="bottom"/>
          </w:tcPr>
          <w:p>
            <w:pPr>
              <w:ind w:left="20"/>
              <w:spacing w:after="0"/>
              <w:rPr>
                <w:sz w:val="20"/>
                <w:szCs w:val="20"/>
                <w:color w:val="auto"/>
              </w:rPr>
            </w:pPr>
            <w:r>
              <w:rPr>
                <w:rFonts w:ascii="Arial" w:cs="Arial" w:eastAsia="Arial" w:hAnsi="Arial"/>
                <w:sz w:val="14"/>
                <w:szCs w:val="14"/>
                <w:color w:val="auto"/>
              </w:rPr>
              <w:t>JW Marriott</w:t>
            </w:r>
          </w:p>
        </w:tc>
        <w:tc>
          <w:tcPr>
            <w:tcW w:w="1180" w:type="dxa"/>
            <w:vAlign w:val="bottom"/>
            <w:gridSpan w:val="5"/>
          </w:tcPr>
          <w:p>
            <w:pPr>
              <w:jc w:val="right"/>
              <w:ind w:right="12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28"/>
              <w:spacing w:after="0"/>
              <w:rPr>
                <w:sz w:val="20"/>
                <w:szCs w:val="20"/>
                <w:color w:val="auto"/>
              </w:rPr>
            </w:pPr>
            <w:r>
              <w:rPr>
                <w:rFonts w:ascii="Arial" w:cs="Arial" w:eastAsia="Arial" w:hAnsi="Arial"/>
                <w:sz w:val="14"/>
                <w:szCs w:val="14"/>
                <w:color w:val="auto"/>
              </w:rPr>
              <w:t>270.16</w:t>
            </w:r>
          </w:p>
        </w:tc>
        <w:tc>
          <w:tcPr>
            <w:tcW w:w="1000" w:type="dxa"/>
            <w:vAlign w:val="bottom"/>
          </w:tcPr>
          <w:p>
            <w:pPr>
              <w:jc w:val="right"/>
              <w:spacing w:after="0"/>
              <w:rPr>
                <w:sz w:val="20"/>
                <w:szCs w:val="20"/>
                <w:color w:val="auto"/>
              </w:rPr>
            </w:pPr>
            <w:r>
              <w:rPr>
                <w:rFonts w:ascii="Arial" w:cs="Arial" w:eastAsia="Arial" w:hAnsi="Arial"/>
                <w:sz w:val="14"/>
                <w:szCs w:val="14"/>
                <w:color w:val="auto"/>
              </w:rPr>
              <w:t>4.7 %</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jc w:val="right"/>
              <w:ind w:right="208"/>
              <w:spacing w:after="0"/>
              <w:rPr>
                <w:sz w:val="20"/>
                <w:szCs w:val="20"/>
                <w:color w:val="auto"/>
              </w:rPr>
            </w:pPr>
            <w:r>
              <w:rPr>
                <w:rFonts w:ascii="Arial" w:cs="Arial" w:eastAsia="Arial" w:hAnsi="Arial"/>
                <w:sz w:val="14"/>
                <w:szCs w:val="14"/>
                <w:color w:val="auto"/>
              </w:rPr>
              <w:t>73.5 %</w:t>
            </w: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0.5 %</w:t>
            </w:r>
          </w:p>
        </w:tc>
        <w:tc>
          <w:tcPr>
            <w:tcW w:w="460" w:type="dxa"/>
            <w:vAlign w:val="bottom"/>
            <w:gridSpan w:val="3"/>
          </w:tcPr>
          <w:p>
            <w:pPr>
              <w:jc w:val="center"/>
              <w:spacing w:after="0"/>
              <w:rPr>
                <w:sz w:val="20"/>
                <w:szCs w:val="20"/>
                <w:color w:val="auto"/>
              </w:rPr>
            </w:pPr>
            <w:r>
              <w:rPr>
                <w:rFonts w:ascii="Arial" w:cs="Arial" w:eastAsia="Arial" w:hAnsi="Arial"/>
                <w:sz w:val="14"/>
                <w:szCs w:val="14"/>
                <w:color w:val="auto"/>
              </w:rPr>
              <w:t>pts.</w:t>
            </w:r>
          </w:p>
        </w:tc>
        <w:tc>
          <w:tcPr>
            <w:tcW w:w="2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28"/>
              <w:spacing w:after="0"/>
              <w:rPr>
                <w:sz w:val="20"/>
                <w:szCs w:val="20"/>
                <w:color w:val="auto"/>
              </w:rPr>
            </w:pPr>
            <w:r>
              <w:rPr>
                <w:rFonts w:ascii="Arial" w:cs="Arial" w:eastAsia="Arial" w:hAnsi="Arial"/>
                <w:sz w:val="14"/>
                <w:szCs w:val="14"/>
                <w:color w:val="auto"/>
              </w:rPr>
              <w:t>367.66</w:t>
            </w:r>
          </w:p>
        </w:tc>
        <w:tc>
          <w:tcPr>
            <w:tcW w:w="1020" w:type="dxa"/>
            <w:vAlign w:val="bottom"/>
          </w:tcPr>
          <w:p>
            <w:pPr>
              <w:jc w:val="right"/>
              <w:spacing w:after="0"/>
              <w:rPr>
                <w:sz w:val="20"/>
                <w:szCs w:val="20"/>
                <w:color w:val="auto"/>
              </w:rPr>
            </w:pPr>
            <w:r>
              <w:rPr>
                <w:rFonts w:ascii="Arial" w:cs="Arial" w:eastAsia="Arial" w:hAnsi="Arial"/>
                <w:sz w:val="14"/>
                <w:szCs w:val="14"/>
                <w:color w:val="auto"/>
              </w:rPr>
              <w:t>4.0 %</w:t>
            </w:r>
          </w:p>
        </w:tc>
        <w:tc>
          <w:tcPr>
            <w:tcW w:w="20" w:type="dxa"/>
            <w:vAlign w:val="bottom"/>
          </w:tcPr>
          <w:p>
            <w:pPr>
              <w:spacing w:after="0"/>
              <w:rPr>
                <w:sz w:val="16"/>
                <w:szCs w:val="16"/>
                <w:color w:val="auto"/>
              </w:rPr>
            </w:pPr>
          </w:p>
        </w:tc>
      </w:tr>
      <w:tr>
        <w:trPr>
          <w:trHeight w:val="203"/>
        </w:trPr>
        <w:tc>
          <w:tcPr>
            <w:tcW w:w="3160" w:type="dxa"/>
            <w:vAlign w:val="bottom"/>
          </w:tcPr>
          <w:p>
            <w:pPr>
              <w:ind w:left="20"/>
              <w:spacing w:after="0"/>
              <w:rPr>
                <w:sz w:val="20"/>
                <w:szCs w:val="20"/>
                <w:color w:val="auto"/>
              </w:rPr>
            </w:pPr>
            <w:r>
              <w:rPr>
                <w:rFonts w:ascii="Arial" w:cs="Arial" w:eastAsia="Arial" w:hAnsi="Arial"/>
                <w:sz w:val="14"/>
                <w:szCs w:val="14"/>
                <w:color w:val="auto"/>
              </w:rPr>
              <w:t>The Ritz-Carlton</w:t>
            </w:r>
          </w:p>
        </w:tc>
        <w:tc>
          <w:tcPr>
            <w:tcW w:w="1180" w:type="dxa"/>
            <w:vAlign w:val="bottom"/>
            <w:gridSpan w:val="5"/>
          </w:tcPr>
          <w:p>
            <w:pPr>
              <w:jc w:val="right"/>
              <w:ind w:right="12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28"/>
              <w:spacing w:after="0"/>
              <w:rPr>
                <w:sz w:val="20"/>
                <w:szCs w:val="20"/>
                <w:color w:val="auto"/>
              </w:rPr>
            </w:pPr>
            <w:r>
              <w:rPr>
                <w:rFonts w:ascii="Arial" w:cs="Arial" w:eastAsia="Arial" w:hAnsi="Arial"/>
                <w:sz w:val="14"/>
                <w:szCs w:val="14"/>
                <w:color w:val="auto"/>
              </w:rPr>
              <w:t>420.93</w:t>
            </w:r>
          </w:p>
        </w:tc>
        <w:tc>
          <w:tcPr>
            <w:tcW w:w="1000" w:type="dxa"/>
            <w:vAlign w:val="bottom"/>
          </w:tcPr>
          <w:p>
            <w:pPr>
              <w:jc w:val="right"/>
              <w:spacing w:after="0"/>
              <w:rPr>
                <w:sz w:val="20"/>
                <w:szCs w:val="20"/>
                <w:color w:val="auto"/>
              </w:rPr>
            </w:pPr>
            <w:r>
              <w:rPr>
                <w:rFonts w:ascii="Arial" w:cs="Arial" w:eastAsia="Arial" w:hAnsi="Arial"/>
                <w:sz w:val="14"/>
                <w:szCs w:val="14"/>
                <w:color w:val="auto"/>
              </w:rPr>
              <w:t>5.8 %</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jc w:val="right"/>
              <w:ind w:right="208"/>
              <w:spacing w:after="0"/>
              <w:rPr>
                <w:sz w:val="20"/>
                <w:szCs w:val="20"/>
                <w:color w:val="auto"/>
              </w:rPr>
            </w:pPr>
            <w:r>
              <w:rPr>
                <w:rFonts w:ascii="Arial" w:cs="Arial" w:eastAsia="Arial" w:hAnsi="Arial"/>
                <w:sz w:val="14"/>
                <w:szCs w:val="14"/>
                <w:color w:val="auto"/>
              </w:rPr>
              <w:t>67.4 %</w:t>
            </w: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1.0 %</w:t>
            </w:r>
          </w:p>
        </w:tc>
        <w:tc>
          <w:tcPr>
            <w:tcW w:w="460" w:type="dxa"/>
            <w:vAlign w:val="bottom"/>
            <w:gridSpan w:val="3"/>
          </w:tcPr>
          <w:p>
            <w:pPr>
              <w:jc w:val="center"/>
              <w:spacing w:after="0"/>
              <w:rPr>
                <w:sz w:val="20"/>
                <w:szCs w:val="20"/>
                <w:color w:val="auto"/>
              </w:rPr>
            </w:pPr>
            <w:r>
              <w:rPr>
                <w:rFonts w:ascii="Arial" w:cs="Arial" w:eastAsia="Arial" w:hAnsi="Arial"/>
                <w:sz w:val="14"/>
                <w:szCs w:val="14"/>
                <w:color w:val="auto"/>
              </w:rPr>
              <w:t>pts.</w:t>
            </w:r>
          </w:p>
        </w:tc>
        <w:tc>
          <w:tcPr>
            <w:tcW w:w="2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28"/>
              <w:spacing w:after="0"/>
              <w:rPr>
                <w:sz w:val="20"/>
                <w:szCs w:val="20"/>
                <w:color w:val="auto"/>
              </w:rPr>
            </w:pPr>
            <w:r>
              <w:rPr>
                <w:rFonts w:ascii="Arial" w:cs="Arial" w:eastAsia="Arial" w:hAnsi="Arial"/>
                <w:sz w:val="14"/>
                <w:szCs w:val="14"/>
                <w:color w:val="auto"/>
              </w:rPr>
              <w:t>624.96</w:t>
            </w:r>
          </w:p>
        </w:tc>
        <w:tc>
          <w:tcPr>
            <w:tcW w:w="1020" w:type="dxa"/>
            <w:vAlign w:val="bottom"/>
          </w:tcPr>
          <w:p>
            <w:pPr>
              <w:jc w:val="right"/>
              <w:spacing w:after="0"/>
              <w:rPr>
                <w:sz w:val="20"/>
                <w:szCs w:val="20"/>
                <w:color w:val="auto"/>
              </w:rPr>
            </w:pPr>
            <w:r>
              <w:rPr>
                <w:rFonts w:ascii="Arial" w:cs="Arial" w:eastAsia="Arial" w:hAnsi="Arial"/>
                <w:sz w:val="14"/>
                <w:szCs w:val="14"/>
                <w:color w:val="auto"/>
              </w:rPr>
              <w:t>4.2 %</w:t>
            </w:r>
          </w:p>
        </w:tc>
        <w:tc>
          <w:tcPr>
            <w:tcW w:w="20" w:type="dxa"/>
            <w:vAlign w:val="bottom"/>
          </w:tcPr>
          <w:p>
            <w:pPr>
              <w:spacing w:after="0"/>
              <w:rPr>
                <w:sz w:val="17"/>
                <w:szCs w:val="17"/>
                <w:color w:val="auto"/>
              </w:rPr>
            </w:pPr>
          </w:p>
        </w:tc>
      </w:tr>
      <w:tr>
        <w:trPr>
          <w:trHeight w:val="203"/>
        </w:trPr>
        <w:tc>
          <w:tcPr>
            <w:tcW w:w="3160" w:type="dxa"/>
            <w:vAlign w:val="bottom"/>
          </w:tcPr>
          <w:p>
            <w:pPr>
              <w:ind w:left="20"/>
              <w:spacing w:after="0"/>
              <w:rPr>
                <w:sz w:val="20"/>
                <w:szCs w:val="20"/>
                <w:color w:val="auto"/>
              </w:rPr>
            </w:pPr>
            <w:r>
              <w:rPr>
                <w:rFonts w:ascii="Arial" w:cs="Arial" w:eastAsia="Arial" w:hAnsi="Arial"/>
                <w:sz w:val="14"/>
                <w:szCs w:val="14"/>
                <w:color w:val="auto"/>
              </w:rPr>
              <w:t>W Hotels</w:t>
            </w:r>
          </w:p>
        </w:tc>
        <w:tc>
          <w:tcPr>
            <w:tcW w:w="1180" w:type="dxa"/>
            <w:vAlign w:val="bottom"/>
            <w:gridSpan w:val="5"/>
          </w:tcPr>
          <w:p>
            <w:pPr>
              <w:jc w:val="right"/>
              <w:ind w:right="12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28"/>
              <w:spacing w:after="0"/>
              <w:rPr>
                <w:sz w:val="20"/>
                <w:szCs w:val="20"/>
                <w:color w:val="auto"/>
              </w:rPr>
            </w:pPr>
            <w:r>
              <w:rPr>
                <w:rFonts w:ascii="Arial" w:cs="Arial" w:eastAsia="Arial" w:hAnsi="Arial"/>
                <w:sz w:val="14"/>
                <w:szCs w:val="14"/>
                <w:color w:val="auto"/>
              </w:rPr>
              <w:t>291.01</w:t>
            </w:r>
          </w:p>
        </w:tc>
        <w:tc>
          <w:tcPr>
            <w:tcW w:w="1000" w:type="dxa"/>
            <w:vAlign w:val="bottom"/>
          </w:tcPr>
          <w:p>
            <w:pPr>
              <w:jc w:val="right"/>
              <w:spacing w:after="0"/>
              <w:rPr>
                <w:sz w:val="20"/>
                <w:szCs w:val="20"/>
                <w:color w:val="auto"/>
              </w:rPr>
            </w:pPr>
            <w:r>
              <w:rPr>
                <w:rFonts w:ascii="Arial" w:cs="Arial" w:eastAsia="Arial" w:hAnsi="Arial"/>
                <w:sz w:val="14"/>
                <w:szCs w:val="14"/>
                <w:color w:val="auto"/>
              </w:rPr>
              <w:t>12.9 %</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jc w:val="right"/>
              <w:ind w:right="208"/>
              <w:spacing w:after="0"/>
              <w:rPr>
                <w:sz w:val="20"/>
                <w:szCs w:val="20"/>
                <w:color w:val="auto"/>
              </w:rPr>
            </w:pPr>
            <w:r>
              <w:rPr>
                <w:rFonts w:ascii="Arial" w:cs="Arial" w:eastAsia="Arial" w:hAnsi="Arial"/>
                <w:sz w:val="14"/>
                <w:szCs w:val="14"/>
                <w:color w:val="auto"/>
              </w:rPr>
              <w:t>67.1 %</w:t>
            </w: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3.1 %</w:t>
            </w:r>
          </w:p>
        </w:tc>
        <w:tc>
          <w:tcPr>
            <w:tcW w:w="460" w:type="dxa"/>
            <w:vAlign w:val="bottom"/>
            <w:gridSpan w:val="3"/>
          </w:tcPr>
          <w:p>
            <w:pPr>
              <w:jc w:val="center"/>
              <w:spacing w:after="0"/>
              <w:rPr>
                <w:sz w:val="20"/>
                <w:szCs w:val="20"/>
                <w:color w:val="auto"/>
              </w:rPr>
            </w:pPr>
            <w:r>
              <w:rPr>
                <w:rFonts w:ascii="Arial" w:cs="Arial" w:eastAsia="Arial" w:hAnsi="Arial"/>
                <w:sz w:val="14"/>
                <w:szCs w:val="14"/>
                <w:color w:val="auto"/>
              </w:rPr>
              <w:t>pts.</w:t>
            </w:r>
          </w:p>
        </w:tc>
        <w:tc>
          <w:tcPr>
            <w:tcW w:w="2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28"/>
              <w:spacing w:after="0"/>
              <w:rPr>
                <w:sz w:val="20"/>
                <w:szCs w:val="20"/>
                <w:color w:val="auto"/>
              </w:rPr>
            </w:pPr>
            <w:r>
              <w:rPr>
                <w:rFonts w:ascii="Arial" w:cs="Arial" w:eastAsia="Arial" w:hAnsi="Arial"/>
                <w:sz w:val="14"/>
                <w:szCs w:val="14"/>
                <w:color w:val="auto"/>
              </w:rPr>
              <w:t>433.87</w:t>
            </w:r>
          </w:p>
        </w:tc>
        <w:tc>
          <w:tcPr>
            <w:tcW w:w="1020" w:type="dxa"/>
            <w:vAlign w:val="bottom"/>
          </w:tcPr>
          <w:p>
            <w:pPr>
              <w:jc w:val="right"/>
              <w:spacing w:after="0"/>
              <w:rPr>
                <w:sz w:val="20"/>
                <w:szCs w:val="20"/>
                <w:color w:val="auto"/>
              </w:rPr>
            </w:pPr>
            <w:r>
              <w:rPr>
                <w:rFonts w:ascii="Arial" w:cs="Arial" w:eastAsia="Arial" w:hAnsi="Arial"/>
                <w:sz w:val="14"/>
                <w:szCs w:val="14"/>
                <w:color w:val="auto"/>
              </w:rPr>
              <w:t>7.7 %</w:t>
            </w:r>
          </w:p>
        </w:tc>
        <w:tc>
          <w:tcPr>
            <w:tcW w:w="20" w:type="dxa"/>
            <w:vAlign w:val="bottom"/>
          </w:tcPr>
          <w:p>
            <w:pPr>
              <w:spacing w:after="0"/>
              <w:rPr>
                <w:sz w:val="17"/>
                <w:szCs w:val="17"/>
                <w:color w:val="auto"/>
              </w:rPr>
            </w:pPr>
          </w:p>
        </w:tc>
      </w:tr>
      <w:tr>
        <w:trPr>
          <w:trHeight w:val="215"/>
        </w:trPr>
        <w:tc>
          <w:tcPr>
            <w:tcW w:w="3160" w:type="dxa"/>
            <w:vAlign w:val="bottom"/>
          </w:tcPr>
          <w:p>
            <w:pPr>
              <w:ind w:left="20"/>
              <w:spacing w:after="0"/>
              <w:rPr>
                <w:sz w:val="20"/>
                <w:szCs w:val="20"/>
                <w:color w:val="auto"/>
              </w:rPr>
            </w:pPr>
            <w:r>
              <w:rPr>
                <w:rFonts w:ascii="Arial" w:cs="Arial" w:eastAsia="Arial" w:hAnsi="Arial"/>
                <w:sz w:val="14"/>
                <w:szCs w:val="14"/>
                <w:b w:val="1"/>
                <w:bCs w:val="1"/>
                <w:color w:val="auto"/>
              </w:rPr>
              <w:t>Composite US &amp; Canada Luxury</w:t>
            </w:r>
            <w:r>
              <w:rPr>
                <w:rFonts w:ascii="Arial" w:cs="Arial" w:eastAsia="Arial" w:hAnsi="Arial"/>
                <w:sz w:val="18"/>
                <w:szCs w:val="18"/>
                <w:b w:val="1"/>
                <w:bCs w:val="1"/>
                <w:color w:val="auto"/>
                <w:vertAlign w:val="superscript"/>
              </w:rPr>
              <w:t>1</w:t>
            </w:r>
          </w:p>
        </w:tc>
        <w:tc>
          <w:tcPr>
            <w:tcW w:w="1180" w:type="dxa"/>
            <w:vAlign w:val="bottom"/>
            <w:gridSpan w:val="5"/>
          </w:tcPr>
          <w:p>
            <w:pPr>
              <w:jc w:val="right"/>
              <w:ind w:right="120"/>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jc w:val="right"/>
              <w:ind w:right="128"/>
              <w:spacing w:after="0"/>
              <w:rPr>
                <w:sz w:val="20"/>
                <w:szCs w:val="20"/>
                <w:color w:val="auto"/>
              </w:rPr>
            </w:pPr>
            <w:r>
              <w:rPr>
                <w:rFonts w:ascii="Arial" w:cs="Arial" w:eastAsia="Arial" w:hAnsi="Arial"/>
                <w:sz w:val="14"/>
                <w:szCs w:val="14"/>
                <w:b w:val="1"/>
                <w:bCs w:val="1"/>
                <w:color w:val="auto"/>
              </w:rPr>
              <w:t>339.42</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6.8 %</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ind w:right="208"/>
              <w:spacing w:after="0"/>
              <w:rPr>
                <w:sz w:val="20"/>
                <w:szCs w:val="20"/>
                <w:color w:val="auto"/>
              </w:rPr>
            </w:pPr>
            <w:r>
              <w:rPr>
                <w:rFonts w:ascii="Arial" w:cs="Arial" w:eastAsia="Arial" w:hAnsi="Arial"/>
                <w:sz w:val="14"/>
                <w:szCs w:val="14"/>
                <w:b w:val="1"/>
                <w:bCs w:val="1"/>
                <w:color w:val="auto"/>
              </w:rPr>
              <w:t>70.3 %</w:t>
            </w:r>
          </w:p>
        </w:tc>
        <w:tc>
          <w:tcPr>
            <w:tcW w:w="980" w:type="dxa"/>
            <w:vAlign w:val="bottom"/>
          </w:tcPr>
          <w:p>
            <w:pPr>
              <w:jc w:val="right"/>
              <w:ind w:right="68"/>
              <w:spacing w:after="0"/>
              <w:rPr>
                <w:sz w:val="20"/>
                <w:szCs w:val="20"/>
                <w:color w:val="auto"/>
              </w:rPr>
            </w:pPr>
            <w:r>
              <w:rPr>
                <w:rFonts w:ascii="Arial" w:cs="Arial" w:eastAsia="Arial" w:hAnsi="Arial"/>
                <w:sz w:val="14"/>
                <w:szCs w:val="14"/>
                <w:b w:val="1"/>
                <w:bCs w:val="1"/>
                <w:color w:val="auto"/>
              </w:rPr>
              <w:t>0.9 %</w:t>
            </w:r>
          </w:p>
        </w:tc>
        <w:tc>
          <w:tcPr>
            <w:tcW w:w="460" w:type="dxa"/>
            <w:vAlign w:val="bottom"/>
            <w:gridSpan w:val="3"/>
          </w:tcPr>
          <w:p>
            <w:pPr>
              <w:jc w:val="center"/>
              <w:spacing w:after="0"/>
              <w:rPr>
                <w:sz w:val="20"/>
                <w:szCs w:val="20"/>
                <w:color w:val="auto"/>
              </w:rPr>
            </w:pPr>
            <w:r>
              <w:rPr>
                <w:rFonts w:ascii="Arial" w:cs="Arial" w:eastAsia="Arial" w:hAnsi="Arial"/>
                <w:sz w:val="14"/>
                <w:szCs w:val="14"/>
                <w:b w:val="1"/>
                <w:bCs w:val="1"/>
                <w:color w:val="auto"/>
              </w:rPr>
              <w:t>pts.</w:t>
            </w:r>
          </w:p>
        </w:tc>
        <w:tc>
          <w:tcPr>
            <w:tcW w:w="2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jc w:val="right"/>
              <w:ind w:right="128"/>
              <w:spacing w:after="0"/>
              <w:rPr>
                <w:sz w:val="20"/>
                <w:szCs w:val="20"/>
                <w:color w:val="auto"/>
              </w:rPr>
            </w:pPr>
            <w:r>
              <w:rPr>
                <w:rFonts w:ascii="Arial" w:cs="Arial" w:eastAsia="Arial" w:hAnsi="Arial"/>
                <w:sz w:val="14"/>
                <w:szCs w:val="14"/>
                <w:b w:val="1"/>
                <w:bCs w:val="1"/>
                <w:color w:val="auto"/>
              </w:rPr>
              <w:t>482.70</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5.4 %</w:t>
            </w:r>
          </w:p>
        </w:tc>
        <w:tc>
          <w:tcPr>
            <w:tcW w:w="20" w:type="dxa"/>
            <w:vAlign w:val="bottom"/>
          </w:tcPr>
          <w:p>
            <w:pPr>
              <w:spacing w:after="0"/>
              <w:rPr>
                <w:sz w:val="18"/>
                <w:szCs w:val="18"/>
                <w:color w:val="auto"/>
              </w:rPr>
            </w:pPr>
          </w:p>
        </w:tc>
      </w:tr>
      <w:tr>
        <w:trPr>
          <w:trHeight w:val="190"/>
        </w:trPr>
        <w:tc>
          <w:tcPr>
            <w:tcW w:w="3160" w:type="dxa"/>
            <w:vAlign w:val="bottom"/>
          </w:tcPr>
          <w:p>
            <w:pPr>
              <w:ind w:left="20"/>
              <w:spacing w:after="0"/>
              <w:rPr>
                <w:sz w:val="20"/>
                <w:szCs w:val="20"/>
                <w:color w:val="auto"/>
              </w:rPr>
            </w:pPr>
            <w:r>
              <w:rPr>
                <w:rFonts w:ascii="Arial" w:cs="Arial" w:eastAsia="Arial" w:hAnsi="Arial"/>
                <w:sz w:val="14"/>
                <w:szCs w:val="14"/>
                <w:color w:val="auto"/>
              </w:rPr>
              <w:t>Marriott Hotels</w:t>
            </w:r>
          </w:p>
        </w:tc>
        <w:tc>
          <w:tcPr>
            <w:tcW w:w="1180" w:type="dxa"/>
            <w:vAlign w:val="bottom"/>
            <w:gridSpan w:val="5"/>
          </w:tcPr>
          <w:p>
            <w:pPr>
              <w:jc w:val="right"/>
              <w:ind w:right="12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28"/>
              <w:spacing w:after="0"/>
              <w:rPr>
                <w:sz w:val="20"/>
                <w:szCs w:val="20"/>
                <w:color w:val="auto"/>
              </w:rPr>
            </w:pPr>
            <w:r>
              <w:rPr>
                <w:rFonts w:ascii="Arial" w:cs="Arial" w:eastAsia="Arial" w:hAnsi="Arial"/>
                <w:sz w:val="14"/>
                <w:szCs w:val="14"/>
                <w:color w:val="auto"/>
              </w:rPr>
              <w:t>142.93</w:t>
            </w:r>
          </w:p>
        </w:tc>
        <w:tc>
          <w:tcPr>
            <w:tcW w:w="1000" w:type="dxa"/>
            <w:vAlign w:val="bottom"/>
          </w:tcPr>
          <w:p>
            <w:pPr>
              <w:jc w:val="right"/>
              <w:spacing w:after="0"/>
              <w:rPr>
                <w:sz w:val="20"/>
                <w:szCs w:val="20"/>
                <w:color w:val="auto"/>
              </w:rPr>
            </w:pPr>
            <w:r>
              <w:rPr>
                <w:rFonts w:ascii="Arial" w:cs="Arial" w:eastAsia="Arial" w:hAnsi="Arial"/>
                <w:sz w:val="14"/>
                <w:szCs w:val="14"/>
                <w:color w:val="auto"/>
              </w:rPr>
              <w:t>4.0 %</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jc w:val="right"/>
              <w:ind w:right="208"/>
              <w:spacing w:after="0"/>
              <w:rPr>
                <w:sz w:val="20"/>
                <w:szCs w:val="20"/>
                <w:color w:val="auto"/>
              </w:rPr>
            </w:pPr>
            <w:r>
              <w:rPr>
                <w:rFonts w:ascii="Arial" w:cs="Arial" w:eastAsia="Arial" w:hAnsi="Arial"/>
                <w:sz w:val="14"/>
                <w:szCs w:val="14"/>
                <w:color w:val="auto"/>
              </w:rPr>
              <w:t>65.0 %</w:t>
            </w: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0.6 %</w:t>
            </w:r>
          </w:p>
        </w:tc>
        <w:tc>
          <w:tcPr>
            <w:tcW w:w="460" w:type="dxa"/>
            <w:vAlign w:val="bottom"/>
            <w:gridSpan w:val="3"/>
          </w:tcPr>
          <w:p>
            <w:pPr>
              <w:jc w:val="center"/>
              <w:spacing w:after="0"/>
              <w:rPr>
                <w:sz w:val="20"/>
                <w:szCs w:val="20"/>
                <w:color w:val="auto"/>
              </w:rPr>
            </w:pPr>
            <w:r>
              <w:rPr>
                <w:rFonts w:ascii="Arial" w:cs="Arial" w:eastAsia="Arial" w:hAnsi="Arial"/>
                <w:sz w:val="14"/>
                <w:szCs w:val="14"/>
                <w:color w:val="auto"/>
              </w:rPr>
              <w:t>pts.</w:t>
            </w:r>
          </w:p>
        </w:tc>
        <w:tc>
          <w:tcPr>
            <w:tcW w:w="2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28"/>
              <w:spacing w:after="0"/>
              <w:rPr>
                <w:sz w:val="20"/>
                <w:szCs w:val="20"/>
                <w:color w:val="auto"/>
              </w:rPr>
            </w:pPr>
            <w:r>
              <w:rPr>
                <w:rFonts w:ascii="Arial" w:cs="Arial" w:eastAsia="Arial" w:hAnsi="Arial"/>
                <w:sz w:val="14"/>
                <w:szCs w:val="14"/>
                <w:color w:val="auto"/>
              </w:rPr>
              <w:t>219.73</w:t>
            </w:r>
          </w:p>
        </w:tc>
        <w:tc>
          <w:tcPr>
            <w:tcW w:w="1020" w:type="dxa"/>
            <w:vAlign w:val="bottom"/>
          </w:tcPr>
          <w:p>
            <w:pPr>
              <w:jc w:val="right"/>
              <w:spacing w:after="0"/>
              <w:rPr>
                <w:sz w:val="20"/>
                <w:szCs w:val="20"/>
                <w:color w:val="auto"/>
              </w:rPr>
            </w:pPr>
            <w:r>
              <w:rPr>
                <w:rFonts w:ascii="Arial" w:cs="Arial" w:eastAsia="Arial" w:hAnsi="Arial"/>
                <w:sz w:val="14"/>
                <w:szCs w:val="14"/>
                <w:color w:val="auto"/>
              </w:rPr>
              <w:t>3.0 %</w:t>
            </w:r>
          </w:p>
        </w:tc>
        <w:tc>
          <w:tcPr>
            <w:tcW w:w="20" w:type="dxa"/>
            <w:vAlign w:val="bottom"/>
          </w:tcPr>
          <w:p>
            <w:pPr>
              <w:spacing w:after="0"/>
              <w:rPr>
                <w:sz w:val="16"/>
                <w:szCs w:val="16"/>
                <w:color w:val="auto"/>
              </w:rPr>
            </w:pPr>
          </w:p>
        </w:tc>
      </w:tr>
      <w:tr>
        <w:trPr>
          <w:trHeight w:val="203"/>
        </w:trPr>
        <w:tc>
          <w:tcPr>
            <w:tcW w:w="3160" w:type="dxa"/>
            <w:vAlign w:val="bottom"/>
          </w:tcPr>
          <w:p>
            <w:pPr>
              <w:ind w:left="20"/>
              <w:spacing w:after="0"/>
              <w:rPr>
                <w:sz w:val="20"/>
                <w:szCs w:val="20"/>
                <w:color w:val="auto"/>
              </w:rPr>
            </w:pPr>
            <w:r>
              <w:rPr>
                <w:rFonts w:ascii="Arial" w:cs="Arial" w:eastAsia="Arial" w:hAnsi="Arial"/>
                <w:sz w:val="14"/>
                <w:szCs w:val="14"/>
                <w:color w:val="auto"/>
              </w:rPr>
              <w:t>Sheraton</w:t>
            </w:r>
          </w:p>
        </w:tc>
        <w:tc>
          <w:tcPr>
            <w:tcW w:w="1180" w:type="dxa"/>
            <w:vAlign w:val="bottom"/>
            <w:gridSpan w:val="5"/>
          </w:tcPr>
          <w:p>
            <w:pPr>
              <w:jc w:val="right"/>
              <w:ind w:right="12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28"/>
              <w:spacing w:after="0"/>
              <w:rPr>
                <w:sz w:val="20"/>
                <w:szCs w:val="20"/>
                <w:color w:val="auto"/>
              </w:rPr>
            </w:pPr>
            <w:r>
              <w:rPr>
                <w:rFonts w:ascii="Arial" w:cs="Arial" w:eastAsia="Arial" w:hAnsi="Arial"/>
                <w:sz w:val="14"/>
                <w:szCs w:val="14"/>
                <w:color w:val="auto"/>
              </w:rPr>
              <w:t>124.14</w:t>
            </w:r>
          </w:p>
        </w:tc>
        <w:tc>
          <w:tcPr>
            <w:tcW w:w="1000" w:type="dxa"/>
            <w:vAlign w:val="bottom"/>
          </w:tcPr>
          <w:p>
            <w:pPr>
              <w:jc w:val="right"/>
              <w:spacing w:after="0"/>
              <w:rPr>
                <w:sz w:val="20"/>
                <w:szCs w:val="20"/>
                <w:color w:val="auto"/>
              </w:rPr>
            </w:pPr>
            <w:r>
              <w:rPr>
                <w:rFonts w:ascii="Arial" w:cs="Arial" w:eastAsia="Arial" w:hAnsi="Arial"/>
                <w:sz w:val="14"/>
                <w:szCs w:val="14"/>
                <w:color w:val="auto"/>
              </w:rPr>
              <w:t>2.7 %</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jc w:val="right"/>
              <w:ind w:right="208"/>
              <w:spacing w:after="0"/>
              <w:rPr>
                <w:sz w:val="20"/>
                <w:szCs w:val="20"/>
                <w:color w:val="auto"/>
              </w:rPr>
            </w:pPr>
            <w:r>
              <w:rPr>
                <w:rFonts w:ascii="Arial" w:cs="Arial" w:eastAsia="Arial" w:hAnsi="Arial"/>
                <w:sz w:val="14"/>
                <w:szCs w:val="14"/>
                <w:color w:val="auto"/>
              </w:rPr>
              <w:t>63.8 %</w:t>
            </w: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0.8 %</w:t>
            </w:r>
          </w:p>
        </w:tc>
        <w:tc>
          <w:tcPr>
            <w:tcW w:w="460" w:type="dxa"/>
            <w:vAlign w:val="bottom"/>
            <w:gridSpan w:val="3"/>
          </w:tcPr>
          <w:p>
            <w:pPr>
              <w:jc w:val="center"/>
              <w:spacing w:after="0"/>
              <w:rPr>
                <w:sz w:val="20"/>
                <w:szCs w:val="20"/>
                <w:color w:val="auto"/>
              </w:rPr>
            </w:pPr>
            <w:r>
              <w:rPr>
                <w:rFonts w:ascii="Arial" w:cs="Arial" w:eastAsia="Arial" w:hAnsi="Arial"/>
                <w:sz w:val="14"/>
                <w:szCs w:val="14"/>
                <w:color w:val="auto"/>
              </w:rPr>
              <w:t>pts.</w:t>
            </w:r>
          </w:p>
        </w:tc>
        <w:tc>
          <w:tcPr>
            <w:tcW w:w="2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28"/>
              <w:spacing w:after="0"/>
              <w:rPr>
                <w:sz w:val="20"/>
                <w:szCs w:val="20"/>
                <w:color w:val="auto"/>
              </w:rPr>
            </w:pPr>
            <w:r>
              <w:rPr>
                <w:rFonts w:ascii="Arial" w:cs="Arial" w:eastAsia="Arial" w:hAnsi="Arial"/>
                <w:sz w:val="14"/>
                <w:szCs w:val="14"/>
                <w:color w:val="auto"/>
              </w:rPr>
              <w:t>194.47</w:t>
            </w:r>
          </w:p>
        </w:tc>
        <w:tc>
          <w:tcPr>
            <w:tcW w:w="1020" w:type="dxa"/>
            <w:vAlign w:val="bottom"/>
          </w:tcPr>
          <w:p>
            <w:pPr>
              <w:jc w:val="right"/>
              <w:spacing w:after="0"/>
              <w:rPr>
                <w:sz w:val="20"/>
                <w:szCs w:val="20"/>
                <w:color w:val="auto"/>
              </w:rPr>
            </w:pPr>
            <w:r>
              <w:rPr>
                <w:rFonts w:ascii="Arial" w:cs="Arial" w:eastAsia="Arial" w:hAnsi="Arial"/>
                <w:sz w:val="14"/>
                <w:szCs w:val="14"/>
                <w:color w:val="auto"/>
              </w:rPr>
              <w:t>1.4 %</w:t>
            </w:r>
          </w:p>
        </w:tc>
        <w:tc>
          <w:tcPr>
            <w:tcW w:w="20" w:type="dxa"/>
            <w:vAlign w:val="bottom"/>
          </w:tcPr>
          <w:p>
            <w:pPr>
              <w:spacing w:after="0"/>
              <w:rPr>
                <w:sz w:val="17"/>
                <w:szCs w:val="17"/>
                <w:color w:val="auto"/>
              </w:rPr>
            </w:pPr>
          </w:p>
        </w:tc>
      </w:tr>
      <w:tr>
        <w:trPr>
          <w:trHeight w:val="203"/>
        </w:trPr>
        <w:tc>
          <w:tcPr>
            <w:tcW w:w="3160" w:type="dxa"/>
            <w:vAlign w:val="bottom"/>
          </w:tcPr>
          <w:p>
            <w:pPr>
              <w:ind w:left="20"/>
              <w:spacing w:after="0"/>
              <w:rPr>
                <w:sz w:val="20"/>
                <w:szCs w:val="20"/>
                <w:color w:val="auto"/>
              </w:rPr>
            </w:pPr>
            <w:r>
              <w:rPr>
                <w:rFonts w:ascii="Arial" w:cs="Arial" w:eastAsia="Arial" w:hAnsi="Arial"/>
                <w:sz w:val="14"/>
                <w:szCs w:val="14"/>
                <w:color w:val="auto"/>
              </w:rPr>
              <w:t>Westin</w:t>
            </w:r>
          </w:p>
        </w:tc>
        <w:tc>
          <w:tcPr>
            <w:tcW w:w="1180" w:type="dxa"/>
            <w:vAlign w:val="bottom"/>
            <w:gridSpan w:val="5"/>
          </w:tcPr>
          <w:p>
            <w:pPr>
              <w:jc w:val="right"/>
              <w:ind w:right="12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28"/>
              <w:spacing w:after="0"/>
              <w:rPr>
                <w:sz w:val="20"/>
                <w:szCs w:val="20"/>
                <w:color w:val="auto"/>
              </w:rPr>
            </w:pPr>
            <w:r>
              <w:rPr>
                <w:rFonts w:ascii="Arial" w:cs="Arial" w:eastAsia="Arial" w:hAnsi="Arial"/>
                <w:sz w:val="14"/>
                <w:szCs w:val="14"/>
                <w:color w:val="auto"/>
              </w:rPr>
              <w:t>162.66</w:t>
            </w:r>
          </w:p>
        </w:tc>
        <w:tc>
          <w:tcPr>
            <w:tcW w:w="1000" w:type="dxa"/>
            <w:vAlign w:val="bottom"/>
          </w:tcPr>
          <w:p>
            <w:pPr>
              <w:jc w:val="right"/>
              <w:spacing w:after="0"/>
              <w:rPr>
                <w:sz w:val="20"/>
                <w:szCs w:val="20"/>
                <w:color w:val="auto"/>
              </w:rPr>
            </w:pPr>
            <w:r>
              <w:rPr>
                <w:rFonts w:ascii="Arial" w:cs="Arial" w:eastAsia="Arial" w:hAnsi="Arial"/>
                <w:sz w:val="14"/>
                <w:szCs w:val="14"/>
                <w:color w:val="auto"/>
              </w:rPr>
              <w:t>3.0 %</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jc w:val="right"/>
              <w:ind w:right="208"/>
              <w:spacing w:after="0"/>
              <w:rPr>
                <w:sz w:val="20"/>
                <w:szCs w:val="20"/>
                <w:color w:val="auto"/>
              </w:rPr>
            </w:pPr>
            <w:r>
              <w:rPr>
                <w:rFonts w:ascii="Arial" w:cs="Arial" w:eastAsia="Arial" w:hAnsi="Arial"/>
                <w:sz w:val="14"/>
                <w:szCs w:val="14"/>
                <w:color w:val="auto"/>
              </w:rPr>
              <w:t>67.3 %</w:t>
            </w: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0.2 %</w:t>
            </w:r>
          </w:p>
        </w:tc>
        <w:tc>
          <w:tcPr>
            <w:tcW w:w="460" w:type="dxa"/>
            <w:vAlign w:val="bottom"/>
            <w:gridSpan w:val="3"/>
          </w:tcPr>
          <w:p>
            <w:pPr>
              <w:jc w:val="center"/>
              <w:spacing w:after="0"/>
              <w:rPr>
                <w:sz w:val="20"/>
                <w:szCs w:val="20"/>
                <w:color w:val="auto"/>
              </w:rPr>
            </w:pPr>
            <w:r>
              <w:rPr>
                <w:rFonts w:ascii="Arial" w:cs="Arial" w:eastAsia="Arial" w:hAnsi="Arial"/>
                <w:sz w:val="14"/>
                <w:szCs w:val="14"/>
                <w:color w:val="auto"/>
              </w:rPr>
              <w:t>pts.</w:t>
            </w:r>
          </w:p>
        </w:tc>
        <w:tc>
          <w:tcPr>
            <w:tcW w:w="2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28"/>
              <w:spacing w:after="0"/>
              <w:rPr>
                <w:sz w:val="20"/>
                <w:szCs w:val="20"/>
                <w:color w:val="auto"/>
              </w:rPr>
            </w:pPr>
            <w:r>
              <w:rPr>
                <w:rFonts w:ascii="Arial" w:cs="Arial" w:eastAsia="Arial" w:hAnsi="Arial"/>
                <w:sz w:val="14"/>
                <w:szCs w:val="14"/>
                <w:color w:val="auto"/>
              </w:rPr>
              <w:t>241.66</w:t>
            </w:r>
          </w:p>
        </w:tc>
        <w:tc>
          <w:tcPr>
            <w:tcW w:w="1020" w:type="dxa"/>
            <w:vAlign w:val="bottom"/>
          </w:tcPr>
          <w:p>
            <w:pPr>
              <w:jc w:val="right"/>
              <w:spacing w:after="0"/>
              <w:rPr>
                <w:sz w:val="20"/>
                <w:szCs w:val="20"/>
                <w:color w:val="auto"/>
              </w:rPr>
            </w:pPr>
            <w:r>
              <w:rPr>
                <w:rFonts w:ascii="Arial" w:cs="Arial" w:eastAsia="Arial" w:hAnsi="Arial"/>
                <w:sz w:val="14"/>
                <w:szCs w:val="14"/>
                <w:color w:val="auto"/>
              </w:rPr>
              <w:t>2.7 %</w:t>
            </w:r>
          </w:p>
        </w:tc>
        <w:tc>
          <w:tcPr>
            <w:tcW w:w="20" w:type="dxa"/>
            <w:vAlign w:val="bottom"/>
          </w:tcPr>
          <w:p>
            <w:pPr>
              <w:spacing w:after="0"/>
              <w:rPr>
                <w:sz w:val="17"/>
                <w:szCs w:val="17"/>
                <w:color w:val="auto"/>
              </w:rPr>
            </w:pPr>
          </w:p>
        </w:tc>
      </w:tr>
      <w:tr>
        <w:trPr>
          <w:trHeight w:val="212"/>
        </w:trPr>
        <w:tc>
          <w:tcPr>
            <w:tcW w:w="3160" w:type="dxa"/>
            <w:vAlign w:val="bottom"/>
          </w:tcPr>
          <w:p>
            <w:pPr>
              <w:ind w:left="20"/>
              <w:spacing w:after="0"/>
              <w:rPr>
                <w:sz w:val="20"/>
                <w:szCs w:val="20"/>
                <w:color w:val="auto"/>
              </w:rPr>
            </w:pPr>
            <w:r>
              <w:rPr>
                <w:rFonts w:ascii="Arial" w:cs="Arial" w:eastAsia="Arial" w:hAnsi="Arial"/>
                <w:sz w:val="14"/>
                <w:szCs w:val="14"/>
                <w:b w:val="1"/>
                <w:bCs w:val="1"/>
                <w:color w:val="auto"/>
              </w:rPr>
              <w:t>Composite US &amp; Canada Premium</w:t>
            </w:r>
            <w:r>
              <w:rPr>
                <w:rFonts w:ascii="Arial" w:cs="Arial" w:eastAsia="Arial" w:hAnsi="Arial"/>
                <w:sz w:val="18"/>
                <w:szCs w:val="18"/>
                <w:b w:val="1"/>
                <w:bCs w:val="1"/>
                <w:color w:val="auto"/>
                <w:vertAlign w:val="superscript"/>
              </w:rPr>
              <w:t>2</w:t>
            </w:r>
          </w:p>
        </w:tc>
        <w:tc>
          <w:tcPr>
            <w:tcW w:w="1180" w:type="dxa"/>
            <w:vAlign w:val="bottom"/>
            <w:gridSpan w:val="5"/>
          </w:tcPr>
          <w:p>
            <w:pPr>
              <w:jc w:val="right"/>
              <w:ind w:right="120"/>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jc w:val="right"/>
              <w:ind w:right="128"/>
              <w:spacing w:after="0"/>
              <w:rPr>
                <w:sz w:val="20"/>
                <w:szCs w:val="20"/>
                <w:color w:val="auto"/>
              </w:rPr>
            </w:pPr>
            <w:r>
              <w:rPr>
                <w:rFonts w:ascii="Arial" w:cs="Arial" w:eastAsia="Arial" w:hAnsi="Arial"/>
                <w:sz w:val="14"/>
                <w:szCs w:val="14"/>
                <w:b w:val="1"/>
                <w:bCs w:val="1"/>
                <w:color w:val="auto"/>
              </w:rPr>
              <w:t>144.83</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3.8 %</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ind w:right="208"/>
              <w:spacing w:after="0"/>
              <w:rPr>
                <w:sz w:val="20"/>
                <w:szCs w:val="20"/>
                <w:color w:val="auto"/>
              </w:rPr>
            </w:pPr>
            <w:r>
              <w:rPr>
                <w:rFonts w:ascii="Arial" w:cs="Arial" w:eastAsia="Arial" w:hAnsi="Arial"/>
                <w:sz w:val="14"/>
                <w:szCs w:val="14"/>
                <w:b w:val="1"/>
                <w:bCs w:val="1"/>
                <w:color w:val="auto"/>
              </w:rPr>
              <w:t>65.2 %</w:t>
            </w:r>
          </w:p>
        </w:tc>
        <w:tc>
          <w:tcPr>
            <w:tcW w:w="980" w:type="dxa"/>
            <w:vAlign w:val="bottom"/>
          </w:tcPr>
          <w:p>
            <w:pPr>
              <w:jc w:val="right"/>
              <w:ind w:right="68"/>
              <w:spacing w:after="0"/>
              <w:rPr>
                <w:sz w:val="20"/>
                <w:szCs w:val="20"/>
                <w:color w:val="auto"/>
              </w:rPr>
            </w:pPr>
            <w:r>
              <w:rPr>
                <w:rFonts w:ascii="Arial" w:cs="Arial" w:eastAsia="Arial" w:hAnsi="Arial"/>
                <w:sz w:val="14"/>
                <w:szCs w:val="14"/>
                <w:b w:val="1"/>
                <w:bCs w:val="1"/>
                <w:color w:val="auto"/>
              </w:rPr>
              <w:t>0.5 %</w:t>
            </w:r>
          </w:p>
        </w:tc>
        <w:tc>
          <w:tcPr>
            <w:tcW w:w="460" w:type="dxa"/>
            <w:vAlign w:val="bottom"/>
            <w:gridSpan w:val="3"/>
          </w:tcPr>
          <w:p>
            <w:pPr>
              <w:jc w:val="center"/>
              <w:spacing w:after="0"/>
              <w:rPr>
                <w:sz w:val="20"/>
                <w:szCs w:val="20"/>
                <w:color w:val="auto"/>
              </w:rPr>
            </w:pPr>
            <w:r>
              <w:rPr>
                <w:rFonts w:ascii="Arial" w:cs="Arial" w:eastAsia="Arial" w:hAnsi="Arial"/>
                <w:sz w:val="14"/>
                <w:szCs w:val="14"/>
                <w:b w:val="1"/>
                <w:bCs w:val="1"/>
                <w:color w:val="auto"/>
              </w:rPr>
              <w:t>pts.</w:t>
            </w:r>
          </w:p>
        </w:tc>
        <w:tc>
          <w:tcPr>
            <w:tcW w:w="2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jc w:val="right"/>
              <w:ind w:right="128"/>
              <w:spacing w:after="0"/>
              <w:rPr>
                <w:sz w:val="20"/>
                <w:szCs w:val="20"/>
                <w:color w:val="auto"/>
              </w:rPr>
            </w:pPr>
            <w:r>
              <w:rPr>
                <w:rFonts w:ascii="Arial" w:cs="Arial" w:eastAsia="Arial" w:hAnsi="Arial"/>
                <w:sz w:val="14"/>
                <w:szCs w:val="14"/>
                <w:b w:val="1"/>
                <w:bCs w:val="1"/>
                <w:color w:val="auto"/>
              </w:rPr>
              <w:t>222.26</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2.9 %</w:t>
            </w:r>
          </w:p>
        </w:tc>
        <w:tc>
          <w:tcPr>
            <w:tcW w:w="20" w:type="dxa"/>
            <w:vAlign w:val="bottom"/>
          </w:tcPr>
          <w:p>
            <w:pPr>
              <w:spacing w:after="0"/>
              <w:rPr>
                <w:sz w:val="18"/>
                <w:szCs w:val="18"/>
                <w:color w:val="auto"/>
              </w:rPr>
            </w:pPr>
          </w:p>
        </w:tc>
      </w:tr>
      <w:tr>
        <w:trPr>
          <w:trHeight w:val="205"/>
        </w:trPr>
        <w:tc>
          <w:tcPr>
            <w:tcW w:w="3160" w:type="dxa"/>
            <w:vAlign w:val="bottom"/>
          </w:tcPr>
          <w:p>
            <w:pPr>
              <w:ind w:left="20"/>
              <w:spacing w:after="0" w:line="205" w:lineRule="exact"/>
              <w:rPr>
                <w:sz w:val="20"/>
                <w:szCs w:val="20"/>
                <w:color w:val="auto"/>
              </w:rPr>
            </w:pPr>
            <w:r>
              <w:rPr>
                <w:rFonts w:ascii="Arial" w:cs="Arial" w:eastAsia="Arial" w:hAnsi="Arial"/>
                <w:sz w:val="14"/>
                <w:szCs w:val="14"/>
                <w:b w:val="1"/>
                <w:bCs w:val="1"/>
                <w:color w:val="auto"/>
              </w:rPr>
              <w:t>US &amp; Canada Full-Service</w:t>
            </w:r>
            <w:r>
              <w:rPr>
                <w:rFonts w:ascii="Arial" w:cs="Arial" w:eastAsia="Arial" w:hAnsi="Arial"/>
                <w:sz w:val="18"/>
                <w:szCs w:val="18"/>
                <w:b w:val="1"/>
                <w:bCs w:val="1"/>
                <w:color w:val="auto"/>
                <w:vertAlign w:val="superscript"/>
              </w:rPr>
              <w:t>3</w:t>
            </w:r>
          </w:p>
        </w:tc>
        <w:tc>
          <w:tcPr>
            <w:tcW w:w="1180" w:type="dxa"/>
            <w:vAlign w:val="bottom"/>
            <w:gridSpan w:val="5"/>
          </w:tcPr>
          <w:p>
            <w:pPr>
              <w:jc w:val="right"/>
              <w:ind w:right="120"/>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jc w:val="right"/>
              <w:ind w:right="128"/>
              <w:spacing w:after="0"/>
              <w:rPr>
                <w:sz w:val="20"/>
                <w:szCs w:val="20"/>
                <w:color w:val="auto"/>
              </w:rPr>
            </w:pPr>
            <w:r>
              <w:rPr>
                <w:rFonts w:ascii="Arial" w:cs="Arial" w:eastAsia="Arial" w:hAnsi="Arial"/>
                <w:sz w:val="14"/>
                <w:szCs w:val="14"/>
                <w:b w:val="1"/>
                <w:bCs w:val="1"/>
                <w:color w:val="auto"/>
              </w:rPr>
              <w:t>166.06</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4.5 %</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jc w:val="right"/>
              <w:ind w:right="208"/>
              <w:spacing w:after="0"/>
              <w:rPr>
                <w:sz w:val="20"/>
                <w:szCs w:val="20"/>
                <w:color w:val="auto"/>
              </w:rPr>
            </w:pPr>
            <w:r>
              <w:rPr>
                <w:rFonts w:ascii="Arial" w:cs="Arial" w:eastAsia="Arial" w:hAnsi="Arial"/>
                <w:sz w:val="14"/>
                <w:szCs w:val="14"/>
                <w:b w:val="1"/>
                <w:bCs w:val="1"/>
                <w:color w:val="auto"/>
              </w:rPr>
              <w:t>65.7 %</w:t>
            </w:r>
          </w:p>
        </w:tc>
        <w:tc>
          <w:tcPr>
            <w:tcW w:w="980" w:type="dxa"/>
            <w:vAlign w:val="bottom"/>
          </w:tcPr>
          <w:p>
            <w:pPr>
              <w:jc w:val="right"/>
              <w:ind w:right="68"/>
              <w:spacing w:after="0"/>
              <w:rPr>
                <w:sz w:val="20"/>
                <w:szCs w:val="20"/>
                <w:color w:val="auto"/>
              </w:rPr>
            </w:pPr>
            <w:r>
              <w:rPr>
                <w:rFonts w:ascii="Arial" w:cs="Arial" w:eastAsia="Arial" w:hAnsi="Arial"/>
                <w:sz w:val="14"/>
                <w:szCs w:val="14"/>
                <w:b w:val="1"/>
                <w:bCs w:val="1"/>
                <w:color w:val="auto"/>
              </w:rPr>
              <w:t>0.6 %</w:t>
            </w:r>
          </w:p>
        </w:tc>
        <w:tc>
          <w:tcPr>
            <w:tcW w:w="460" w:type="dxa"/>
            <w:vAlign w:val="bottom"/>
            <w:gridSpan w:val="3"/>
          </w:tcPr>
          <w:p>
            <w:pPr>
              <w:jc w:val="center"/>
              <w:spacing w:after="0"/>
              <w:rPr>
                <w:sz w:val="20"/>
                <w:szCs w:val="20"/>
                <w:color w:val="auto"/>
              </w:rPr>
            </w:pPr>
            <w:r>
              <w:rPr>
                <w:rFonts w:ascii="Arial" w:cs="Arial" w:eastAsia="Arial" w:hAnsi="Arial"/>
                <w:sz w:val="14"/>
                <w:szCs w:val="14"/>
                <w:b w:val="1"/>
                <w:bCs w:val="1"/>
                <w:color w:val="auto"/>
              </w:rPr>
              <w:t>pts.</w:t>
            </w:r>
          </w:p>
        </w:tc>
        <w:tc>
          <w:tcPr>
            <w:tcW w:w="2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jc w:val="right"/>
              <w:ind w:right="128"/>
              <w:spacing w:after="0"/>
              <w:rPr>
                <w:sz w:val="20"/>
                <w:szCs w:val="20"/>
                <w:color w:val="auto"/>
              </w:rPr>
            </w:pPr>
            <w:r>
              <w:rPr>
                <w:rFonts w:ascii="Arial" w:cs="Arial" w:eastAsia="Arial" w:hAnsi="Arial"/>
                <w:sz w:val="14"/>
                <w:szCs w:val="14"/>
                <w:b w:val="1"/>
                <w:bCs w:val="1"/>
                <w:color w:val="auto"/>
              </w:rPr>
              <w:t>252.67</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3.5 %</w:t>
            </w:r>
          </w:p>
        </w:tc>
        <w:tc>
          <w:tcPr>
            <w:tcW w:w="20" w:type="dxa"/>
            <w:vAlign w:val="bottom"/>
          </w:tcPr>
          <w:p>
            <w:pPr>
              <w:spacing w:after="0"/>
              <w:rPr>
                <w:sz w:val="17"/>
                <w:szCs w:val="17"/>
                <w:color w:val="auto"/>
              </w:rPr>
            </w:pPr>
          </w:p>
        </w:tc>
      </w:tr>
      <w:tr>
        <w:trPr>
          <w:trHeight w:val="190"/>
        </w:trPr>
        <w:tc>
          <w:tcPr>
            <w:tcW w:w="3160" w:type="dxa"/>
            <w:vAlign w:val="bottom"/>
          </w:tcPr>
          <w:p>
            <w:pPr>
              <w:ind w:left="20"/>
              <w:spacing w:after="0"/>
              <w:rPr>
                <w:sz w:val="20"/>
                <w:szCs w:val="20"/>
                <w:color w:val="auto"/>
              </w:rPr>
            </w:pPr>
            <w:r>
              <w:rPr>
                <w:rFonts w:ascii="Arial" w:cs="Arial" w:eastAsia="Arial" w:hAnsi="Arial"/>
                <w:sz w:val="14"/>
                <w:szCs w:val="14"/>
                <w:color w:val="auto"/>
              </w:rPr>
              <w:t>Courtyard by Marriott</w:t>
            </w:r>
          </w:p>
        </w:tc>
        <w:tc>
          <w:tcPr>
            <w:tcW w:w="1180" w:type="dxa"/>
            <w:vAlign w:val="bottom"/>
            <w:gridSpan w:val="5"/>
          </w:tcPr>
          <w:p>
            <w:pPr>
              <w:jc w:val="right"/>
              <w:ind w:right="12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28"/>
              <w:spacing w:after="0"/>
              <w:rPr>
                <w:sz w:val="20"/>
                <w:szCs w:val="20"/>
                <w:color w:val="auto"/>
              </w:rPr>
            </w:pPr>
            <w:r>
              <w:rPr>
                <w:rFonts w:ascii="Arial" w:cs="Arial" w:eastAsia="Arial" w:hAnsi="Arial"/>
                <w:sz w:val="14"/>
                <w:szCs w:val="14"/>
                <w:color w:val="auto"/>
              </w:rPr>
              <w:t>102.08</w:t>
            </w:r>
          </w:p>
        </w:tc>
        <w:tc>
          <w:tcPr>
            <w:tcW w:w="1000" w:type="dxa"/>
            <w:vAlign w:val="bottom"/>
          </w:tcPr>
          <w:p>
            <w:pPr>
              <w:jc w:val="right"/>
              <w:spacing w:after="0"/>
              <w:rPr>
                <w:sz w:val="20"/>
                <w:szCs w:val="20"/>
                <w:color w:val="auto"/>
              </w:rPr>
            </w:pPr>
            <w:r>
              <w:rPr>
                <w:rFonts w:ascii="Arial" w:cs="Arial" w:eastAsia="Arial" w:hAnsi="Arial"/>
                <w:sz w:val="14"/>
                <w:szCs w:val="14"/>
                <w:color w:val="auto"/>
              </w:rPr>
              <w:t>3.6 %</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jc w:val="right"/>
              <w:ind w:right="208"/>
              <w:spacing w:after="0"/>
              <w:rPr>
                <w:sz w:val="20"/>
                <w:szCs w:val="20"/>
                <w:color w:val="auto"/>
              </w:rPr>
            </w:pPr>
            <w:r>
              <w:rPr>
                <w:rFonts w:ascii="Arial" w:cs="Arial" w:eastAsia="Arial" w:hAnsi="Arial"/>
                <w:sz w:val="14"/>
                <w:szCs w:val="14"/>
                <w:color w:val="auto"/>
              </w:rPr>
              <w:t>63.5 %</w:t>
            </w: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0.5 %</w:t>
            </w:r>
          </w:p>
        </w:tc>
        <w:tc>
          <w:tcPr>
            <w:tcW w:w="460" w:type="dxa"/>
            <w:vAlign w:val="bottom"/>
            <w:gridSpan w:val="3"/>
          </w:tcPr>
          <w:p>
            <w:pPr>
              <w:jc w:val="center"/>
              <w:spacing w:after="0"/>
              <w:rPr>
                <w:sz w:val="20"/>
                <w:szCs w:val="20"/>
                <w:color w:val="auto"/>
              </w:rPr>
            </w:pPr>
            <w:r>
              <w:rPr>
                <w:rFonts w:ascii="Arial" w:cs="Arial" w:eastAsia="Arial" w:hAnsi="Arial"/>
                <w:sz w:val="14"/>
                <w:szCs w:val="14"/>
                <w:color w:val="auto"/>
              </w:rPr>
              <w:t>pts.</w:t>
            </w:r>
          </w:p>
        </w:tc>
        <w:tc>
          <w:tcPr>
            <w:tcW w:w="2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28"/>
              <w:spacing w:after="0"/>
              <w:rPr>
                <w:sz w:val="20"/>
                <w:szCs w:val="20"/>
                <w:color w:val="auto"/>
              </w:rPr>
            </w:pPr>
            <w:r>
              <w:rPr>
                <w:rFonts w:ascii="Arial" w:cs="Arial" w:eastAsia="Arial" w:hAnsi="Arial"/>
                <w:sz w:val="14"/>
                <w:szCs w:val="14"/>
                <w:color w:val="auto"/>
              </w:rPr>
              <w:t>160.83</w:t>
            </w:r>
          </w:p>
        </w:tc>
        <w:tc>
          <w:tcPr>
            <w:tcW w:w="1020" w:type="dxa"/>
            <w:vAlign w:val="bottom"/>
          </w:tcPr>
          <w:p>
            <w:pPr>
              <w:jc w:val="right"/>
              <w:spacing w:after="0"/>
              <w:rPr>
                <w:sz w:val="20"/>
                <w:szCs w:val="20"/>
                <w:color w:val="auto"/>
              </w:rPr>
            </w:pPr>
            <w:r>
              <w:rPr>
                <w:rFonts w:ascii="Arial" w:cs="Arial" w:eastAsia="Arial" w:hAnsi="Arial"/>
                <w:sz w:val="14"/>
                <w:szCs w:val="14"/>
                <w:color w:val="auto"/>
              </w:rPr>
              <w:t>2.8 %</w:t>
            </w:r>
          </w:p>
        </w:tc>
        <w:tc>
          <w:tcPr>
            <w:tcW w:w="20" w:type="dxa"/>
            <w:vAlign w:val="bottom"/>
          </w:tcPr>
          <w:p>
            <w:pPr>
              <w:spacing w:after="0"/>
              <w:rPr>
                <w:sz w:val="16"/>
                <w:szCs w:val="16"/>
                <w:color w:val="auto"/>
              </w:rPr>
            </w:pPr>
          </w:p>
        </w:tc>
      </w:tr>
      <w:tr>
        <w:trPr>
          <w:trHeight w:val="203"/>
        </w:trPr>
        <w:tc>
          <w:tcPr>
            <w:tcW w:w="3160" w:type="dxa"/>
            <w:vAlign w:val="bottom"/>
          </w:tcPr>
          <w:p>
            <w:pPr>
              <w:ind w:left="20"/>
              <w:spacing w:after="0"/>
              <w:rPr>
                <w:sz w:val="20"/>
                <w:szCs w:val="20"/>
                <w:color w:val="auto"/>
              </w:rPr>
            </w:pPr>
            <w:r>
              <w:rPr>
                <w:rFonts w:ascii="Arial" w:cs="Arial" w:eastAsia="Arial" w:hAnsi="Arial"/>
                <w:sz w:val="14"/>
                <w:szCs w:val="14"/>
                <w:color w:val="auto"/>
              </w:rPr>
              <w:t>Residence Inn by Marriott</w:t>
            </w:r>
          </w:p>
        </w:tc>
        <w:tc>
          <w:tcPr>
            <w:tcW w:w="1180" w:type="dxa"/>
            <w:vAlign w:val="bottom"/>
            <w:gridSpan w:val="5"/>
          </w:tcPr>
          <w:p>
            <w:pPr>
              <w:jc w:val="right"/>
              <w:ind w:right="12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28"/>
              <w:spacing w:after="0"/>
              <w:rPr>
                <w:sz w:val="20"/>
                <w:szCs w:val="20"/>
                <w:color w:val="auto"/>
              </w:rPr>
            </w:pPr>
            <w:r>
              <w:rPr>
                <w:rFonts w:ascii="Arial" w:cs="Arial" w:eastAsia="Arial" w:hAnsi="Arial"/>
                <w:sz w:val="14"/>
                <w:szCs w:val="14"/>
                <w:color w:val="auto"/>
              </w:rPr>
              <w:t>122.16</w:t>
            </w:r>
          </w:p>
        </w:tc>
        <w:tc>
          <w:tcPr>
            <w:tcW w:w="1000" w:type="dxa"/>
            <w:vAlign w:val="bottom"/>
          </w:tcPr>
          <w:p>
            <w:pPr>
              <w:jc w:val="right"/>
              <w:spacing w:after="0"/>
              <w:rPr>
                <w:sz w:val="20"/>
                <w:szCs w:val="20"/>
                <w:color w:val="auto"/>
              </w:rPr>
            </w:pPr>
            <w:r>
              <w:rPr>
                <w:rFonts w:ascii="Arial" w:cs="Arial" w:eastAsia="Arial" w:hAnsi="Arial"/>
                <w:sz w:val="14"/>
                <w:szCs w:val="14"/>
                <w:color w:val="auto"/>
              </w:rPr>
              <w:t>2.6 %</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jc w:val="right"/>
              <w:ind w:right="208"/>
              <w:spacing w:after="0"/>
              <w:rPr>
                <w:sz w:val="20"/>
                <w:szCs w:val="20"/>
                <w:color w:val="auto"/>
              </w:rPr>
            </w:pPr>
            <w:r>
              <w:rPr>
                <w:rFonts w:ascii="Arial" w:cs="Arial" w:eastAsia="Arial" w:hAnsi="Arial"/>
                <w:sz w:val="14"/>
                <w:szCs w:val="14"/>
                <w:color w:val="auto"/>
              </w:rPr>
              <w:t>72.6 %</w:t>
            </w: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0.7 %</w:t>
            </w:r>
          </w:p>
        </w:tc>
        <w:tc>
          <w:tcPr>
            <w:tcW w:w="460" w:type="dxa"/>
            <w:vAlign w:val="bottom"/>
            <w:gridSpan w:val="3"/>
          </w:tcPr>
          <w:p>
            <w:pPr>
              <w:jc w:val="center"/>
              <w:spacing w:after="0"/>
              <w:rPr>
                <w:sz w:val="20"/>
                <w:szCs w:val="20"/>
                <w:color w:val="auto"/>
              </w:rPr>
            </w:pPr>
            <w:r>
              <w:rPr>
                <w:rFonts w:ascii="Arial" w:cs="Arial" w:eastAsia="Arial" w:hAnsi="Arial"/>
                <w:sz w:val="14"/>
                <w:szCs w:val="14"/>
                <w:color w:val="auto"/>
              </w:rPr>
              <w:t>pts.</w:t>
            </w:r>
          </w:p>
        </w:tc>
        <w:tc>
          <w:tcPr>
            <w:tcW w:w="2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28"/>
              <w:spacing w:after="0"/>
              <w:rPr>
                <w:sz w:val="20"/>
                <w:szCs w:val="20"/>
                <w:color w:val="auto"/>
              </w:rPr>
            </w:pPr>
            <w:r>
              <w:rPr>
                <w:rFonts w:ascii="Arial" w:cs="Arial" w:eastAsia="Arial" w:hAnsi="Arial"/>
                <w:sz w:val="14"/>
                <w:szCs w:val="14"/>
                <w:color w:val="auto"/>
              </w:rPr>
              <w:t>168.16</w:t>
            </w:r>
          </w:p>
        </w:tc>
        <w:tc>
          <w:tcPr>
            <w:tcW w:w="1020" w:type="dxa"/>
            <w:vAlign w:val="bottom"/>
          </w:tcPr>
          <w:p>
            <w:pPr>
              <w:jc w:val="right"/>
              <w:spacing w:after="0"/>
              <w:rPr>
                <w:sz w:val="20"/>
                <w:szCs w:val="20"/>
                <w:color w:val="auto"/>
              </w:rPr>
            </w:pPr>
            <w:r>
              <w:rPr>
                <w:rFonts w:ascii="Arial" w:cs="Arial" w:eastAsia="Arial" w:hAnsi="Arial"/>
                <w:sz w:val="14"/>
                <w:szCs w:val="14"/>
                <w:color w:val="auto"/>
              </w:rPr>
              <w:t>1.5 %</w:t>
            </w:r>
          </w:p>
        </w:tc>
        <w:tc>
          <w:tcPr>
            <w:tcW w:w="20" w:type="dxa"/>
            <w:vAlign w:val="bottom"/>
          </w:tcPr>
          <w:p>
            <w:pPr>
              <w:spacing w:after="0"/>
              <w:rPr>
                <w:sz w:val="17"/>
                <w:szCs w:val="17"/>
                <w:color w:val="auto"/>
              </w:rPr>
            </w:pPr>
          </w:p>
        </w:tc>
      </w:tr>
      <w:tr>
        <w:trPr>
          <w:trHeight w:val="203"/>
        </w:trPr>
        <w:tc>
          <w:tcPr>
            <w:tcW w:w="3160" w:type="dxa"/>
            <w:vAlign w:val="bottom"/>
          </w:tcPr>
          <w:p>
            <w:pPr>
              <w:ind w:left="20"/>
              <w:spacing w:after="0"/>
              <w:rPr>
                <w:sz w:val="20"/>
                <w:szCs w:val="20"/>
                <w:color w:val="auto"/>
              </w:rPr>
            </w:pPr>
            <w:r>
              <w:rPr>
                <w:rFonts w:ascii="Arial" w:cs="Arial" w:eastAsia="Arial" w:hAnsi="Arial"/>
                <w:sz w:val="14"/>
                <w:szCs w:val="14"/>
                <w:color w:val="auto"/>
              </w:rPr>
              <w:t>Fairfield by Marriott</w:t>
            </w:r>
          </w:p>
        </w:tc>
        <w:tc>
          <w:tcPr>
            <w:tcW w:w="1180" w:type="dxa"/>
            <w:vAlign w:val="bottom"/>
            <w:gridSpan w:val="5"/>
          </w:tcPr>
          <w:p>
            <w:pPr>
              <w:jc w:val="right"/>
              <w:ind w:right="12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28"/>
              <w:spacing w:after="0"/>
              <w:rPr>
                <w:sz w:val="20"/>
                <w:szCs w:val="20"/>
                <w:color w:val="auto"/>
              </w:rPr>
            </w:pPr>
            <w:r>
              <w:rPr>
                <w:rFonts w:ascii="Arial" w:cs="Arial" w:eastAsia="Arial" w:hAnsi="Arial"/>
                <w:sz w:val="14"/>
                <w:szCs w:val="14"/>
                <w:color w:val="auto"/>
              </w:rPr>
              <w:t>82.96</w:t>
            </w:r>
          </w:p>
        </w:tc>
        <w:tc>
          <w:tcPr>
            <w:tcW w:w="1000" w:type="dxa"/>
            <w:vAlign w:val="bottom"/>
          </w:tcPr>
          <w:p>
            <w:pPr>
              <w:jc w:val="right"/>
              <w:spacing w:after="0"/>
              <w:rPr>
                <w:sz w:val="20"/>
                <w:szCs w:val="20"/>
                <w:color w:val="auto"/>
              </w:rPr>
            </w:pPr>
            <w:r>
              <w:rPr>
                <w:rFonts w:ascii="Arial" w:cs="Arial" w:eastAsia="Arial" w:hAnsi="Arial"/>
                <w:sz w:val="14"/>
                <w:szCs w:val="14"/>
                <w:color w:val="auto"/>
              </w:rPr>
              <w:t>3.1 %</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jc w:val="right"/>
              <w:ind w:right="208"/>
              <w:spacing w:after="0"/>
              <w:rPr>
                <w:sz w:val="20"/>
                <w:szCs w:val="20"/>
                <w:color w:val="auto"/>
              </w:rPr>
            </w:pPr>
            <w:r>
              <w:rPr>
                <w:rFonts w:ascii="Arial" w:cs="Arial" w:eastAsia="Arial" w:hAnsi="Arial"/>
                <w:sz w:val="14"/>
                <w:szCs w:val="14"/>
                <w:color w:val="auto"/>
              </w:rPr>
              <w:t>62.6 %</w:t>
            </w: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0.3 %</w:t>
            </w:r>
          </w:p>
        </w:tc>
        <w:tc>
          <w:tcPr>
            <w:tcW w:w="460" w:type="dxa"/>
            <w:vAlign w:val="bottom"/>
            <w:gridSpan w:val="3"/>
          </w:tcPr>
          <w:p>
            <w:pPr>
              <w:jc w:val="center"/>
              <w:spacing w:after="0"/>
              <w:rPr>
                <w:sz w:val="20"/>
                <w:szCs w:val="20"/>
                <w:color w:val="auto"/>
              </w:rPr>
            </w:pPr>
            <w:r>
              <w:rPr>
                <w:rFonts w:ascii="Arial" w:cs="Arial" w:eastAsia="Arial" w:hAnsi="Arial"/>
                <w:sz w:val="14"/>
                <w:szCs w:val="14"/>
                <w:color w:val="auto"/>
              </w:rPr>
              <w:t>pts.</w:t>
            </w:r>
          </w:p>
        </w:tc>
        <w:tc>
          <w:tcPr>
            <w:tcW w:w="2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28"/>
              <w:spacing w:after="0"/>
              <w:rPr>
                <w:sz w:val="20"/>
                <w:szCs w:val="20"/>
                <w:color w:val="auto"/>
              </w:rPr>
            </w:pPr>
            <w:r>
              <w:rPr>
                <w:rFonts w:ascii="Arial" w:cs="Arial" w:eastAsia="Arial" w:hAnsi="Arial"/>
                <w:sz w:val="14"/>
                <w:szCs w:val="14"/>
                <w:color w:val="auto"/>
              </w:rPr>
              <w:t>132.47</w:t>
            </w:r>
          </w:p>
        </w:tc>
        <w:tc>
          <w:tcPr>
            <w:tcW w:w="1020" w:type="dxa"/>
            <w:vAlign w:val="bottom"/>
          </w:tcPr>
          <w:p>
            <w:pPr>
              <w:jc w:val="right"/>
              <w:spacing w:after="0"/>
              <w:rPr>
                <w:sz w:val="20"/>
                <w:szCs w:val="20"/>
                <w:color w:val="auto"/>
              </w:rPr>
            </w:pPr>
            <w:r>
              <w:rPr>
                <w:rFonts w:ascii="Arial" w:cs="Arial" w:eastAsia="Arial" w:hAnsi="Arial"/>
                <w:sz w:val="14"/>
                <w:szCs w:val="14"/>
                <w:color w:val="auto"/>
              </w:rPr>
              <w:t>2.6 %</w:t>
            </w:r>
          </w:p>
        </w:tc>
        <w:tc>
          <w:tcPr>
            <w:tcW w:w="20" w:type="dxa"/>
            <w:vAlign w:val="bottom"/>
          </w:tcPr>
          <w:p>
            <w:pPr>
              <w:spacing w:after="0"/>
              <w:rPr>
                <w:sz w:val="17"/>
                <w:szCs w:val="17"/>
                <w:color w:val="auto"/>
              </w:rPr>
            </w:pPr>
          </w:p>
        </w:tc>
      </w:tr>
      <w:tr>
        <w:trPr>
          <w:trHeight w:val="212"/>
        </w:trPr>
        <w:tc>
          <w:tcPr>
            <w:tcW w:w="3160" w:type="dxa"/>
            <w:vAlign w:val="bottom"/>
          </w:tcPr>
          <w:p>
            <w:pPr>
              <w:ind w:left="20"/>
              <w:spacing w:after="0"/>
              <w:rPr>
                <w:sz w:val="20"/>
                <w:szCs w:val="20"/>
                <w:color w:val="auto"/>
              </w:rPr>
            </w:pPr>
            <w:r>
              <w:rPr>
                <w:rFonts w:ascii="Arial" w:cs="Arial" w:eastAsia="Arial" w:hAnsi="Arial"/>
                <w:sz w:val="14"/>
                <w:szCs w:val="14"/>
                <w:b w:val="1"/>
                <w:bCs w:val="1"/>
                <w:color w:val="auto"/>
              </w:rPr>
              <w:t>Composite US &amp; Canada Select</w:t>
            </w:r>
            <w:r>
              <w:rPr>
                <w:rFonts w:ascii="Arial" w:cs="Arial" w:eastAsia="Arial" w:hAnsi="Arial"/>
                <w:sz w:val="18"/>
                <w:szCs w:val="18"/>
                <w:b w:val="1"/>
                <w:bCs w:val="1"/>
                <w:color w:val="auto"/>
                <w:vertAlign w:val="superscript"/>
              </w:rPr>
              <w:t>4</w:t>
            </w:r>
          </w:p>
        </w:tc>
        <w:tc>
          <w:tcPr>
            <w:tcW w:w="1180" w:type="dxa"/>
            <w:vAlign w:val="bottom"/>
            <w:gridSpan w:val="5"/>
          </w:tcPr>
          <w:p>
            <w:pPr>
              <w:jc w:val="right"/>
              <w:ind w:right="120"/>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jc w:val="right"/>
              <w:ind w:right="128"/>
              <w:spacing w:after="0"/>
              <w:rPr>
                <w:sz w:val="20"/>
                <w:szCs w:val="20"/>
                <w:color w:val="auto"/>
              </w:rPr>
            </w:pPr>
            <w:r>
              <w:rPr>
                <w:rFonts w:ascii="Arial" w:cs="Arial" w:eastAsia="Arial" w:hAnsi="Arial"/>
                <w:sz w:val="14"/>
                <w:szCs w:val="14"/>
                <w:b w:val="1"/>
                <w:bCs w:val="1"/>
                <w:color w:val="auto"/>
              </w:rPr>
              <w:t>103.87</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3.5 %</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ind w:right="208"/>
              <w:spacing w:after="0"/>
              <w:rPr>
                <w:sz w:val="20"/>
                <w:szCs w:val="20"/>
                <w:color w:val="auto"/>
              </w:rPr>
            </w:pPr>
            <w:r>
              <w:rPr>
                <w:rFonts w:ascii="Arial" w:cs="Arial" w:eastAsia="Arial" w:hAnsi="Arial"/>
                <w:sz w:val="14"/>
                <w:szCs w:val="14"/>
                <w:b w:val="1"/>
                <w:bCs w:val="1"/>
                <w:color w:val="auto"/>
              </w:rPr>
              <w:t>66.8 %</w:t>
            </w:r>
          </w:p>
        </w:tc>
        <w:tc>
          <w:tcPr>
            <w:tcW w:w="980" w:type="dxa"/>
            <w:vAlign w:val="bottom"/>
          </w:tcPr>
          <w:p>
            <w:pPr>
              <w:jc w:val="right"/>
              <w:ind w:right="68"/>
              <w:spacing w:after="0"/>
              <w:rPr>
                <w:sz w:val="20"/>
                <w:szCs w:val="20"/>
                <w:color w:val="auto"/>
              </w:rPr>
            </w:pPr>
            <w:r>
              <w:rPr>
                <w:rFonts w:ascii="Arial" w:cs="Arial" w:eastAsia="Arial" w:hAnsi="Arial"/>
                <w:sz w:val="14"/>
                <w:szCs w:val="14"/>
                <w:b w:val="1"/>
                <w:bCs w:val="1"/>
                <w:color w:val="auto"/>
              </w:rPr>
              <w:t>0.7 %</w:t>
            </w:r>
          </w:p>
        </w:tc>
        <w:tc>
          <w:tcPr>
            <w:tcW w:w="460" w:type="dxa"/>
            <w:vAlign w:val="bottom"/>
            <w:gridSpan w:val="3"/>
          </w:tcPr>
          <w:p>
            <w:pPr>
              <w:jc w:val="center"/>
              <w:spacing w:after="0"/>
              <w:rPr>
                <w:sz w:val="20"/>
                <w:szCs w:val="20"/>
                <w:color w:val="auto"/>
              </w:rPr>
            </w:pPr>
            <w:r>
              <w:rPr>
                <w:rFonts w:ascii="Arial" w:cs="Arial" w:eastAsia="Arial" w:hAnsi="Arial"/>
                <w:sz w:val="14"/>
                <w:szCs w:val="14"/>
                <w:b w:val="1"/>
                <w:bCs w:val="1"/>
                <w:color w:val="auto"/>
              </w:rPr>
              <w:t>pts.</w:t>
            </w:r>
          </w:p>
        </w:tc>
        <w:tc>
          <w:tcPr>
            <w:tcW w:w="2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jc w:val="right"/>
              <w:ind w:right="128"/>
              <w:spacing w:after="0"/>
              <w:rPr>
                <w:sz w:val="20"/>
                <w:szCs w:val="20"/>
                <w:color w:val="auto"/>
              </w:rPr>
            </w:pPr>
            <w:r>
              <w:rPr>
                <w:rFonts w:ascii="Arial" w:cs="Arial" w:eastAsia="Arial" w:hAnsi="Arial"/>
                <w:sz w:val="14"/>
                <w:szCs w:val="14"/>
                <w:b w:val="1"/>
                <w:bCs w:val="1"/>
                <w:color w:val="auto"/>
              </w:rPr>
              <w:t>155.60</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2.4 %</w:t>
            </w:r>
          </w:p>
        </w:tc>
        <w:tc>
          <w:tcPr>
            <w:tcW w:w="20" w:type="dxa"/>
            <w:vAlign w:val="bottom"/>
          </w:tcPr>
          <w:p>
            <w:pPr>
              <w:spacing w:after="0"/>
              <w:rPr>
                <w:sz w:val="18"/>
                <w:szCs w:val="18"/>
                <w:color w:val="auto"/>
              </w:rPr>
            </w:pPr>
          </w:p>
        </w:tc>
      </w:tr>
      <w:tr>
        <w:trPr>
          <w:trHeight w:val="254"/>
        </w:trPr>
        <w:tc>
          <w:tcPr>
            <w:tcW w:w="3160" w:type="dxa"/>
            <w:vAlign w:val="bottom"/>
          </w:tcPr>
          <w:p>
            <w:pPr>
              <w:ind w:left="20"/>
              <w:spacing w:after="0"/>
              <w:rPr>
                <w:sz w:val="20"/>
                <w:szCs w:val="20"/>
                <w:color w:val="auto"/>
              </w:rPr>
            </w:pPr>
            <w:r>
              <w:rPr>
                <w:rFonts w:ascii="Arial" w:cs="Arial" w:eastAsia="Arial" w:hAnsi="Arial"/>
                <w:sz w:val="14"/>
                <w:szCs w:val="14"/>
                <w:b w:val="1"/>
                <w:bCs w:val="1"/>
                <w:color w:val="auto"/>
              </w:rPr>
              <w:t>US &amp; Canada - All</w:t>
            </w:r>
            <w:r>
              <w:rPr>
                <w:rFonts w:ascii="Arial" w:cs="Arial" w:eastAsia="Arial" w:hAnsi="Arial"/>
                <w:sz w:val="18"/>
                <w:szCs w:val="18"/>
                <w:b w:val="1"/>
                <w:bCs w:val="1"/>
                <w:color w:val="auto"/>
                <w:vertAlign w:val="superscript"/>
              </w:rPr>
              <w:t>5</w:t>
            </w:r>
          </w:p>
        </w:tc>
        <w:tc>
          <w:tcPr>
            <w:tcW w:w="1180" w:type="dxa"/>
            <w:vAlign w:val="bottom"/>
            <w:gridSpan w:val="5"/>
          </w:tcPr>
          <w:p>
            <w:pPr>
              <w:jc w:val="right"/>
              <w:ind w:right="120"/>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jc w:val="right"/>
              <w:ind w:right="128"/>
              <w:spacing w:after="0"/>
              <w:rPr>
                <w:sz w:val="20"/>
                <w:szCs w:val="20"/>
                <w:color w:val="auto"/>
              </w:rPr>
            </w:pPr>
            <w:r>
              <w:rPr>
                <w:rFonts w:ascii="Arial" w:cs="Arial" w:eastAsia="Arial" w:hAnsi="Arial"/>
                <w:sz w:val="14"/>
                <w:szCs w:val="14"/>
                <w:b w:val="1"/>
                <w:bCs w:val="1"/>
                <w:color w:val="auto"/>
              </w:rPr>
              <w:t>128.80</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4.0 %</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tcPr>
          <w:p>
            <w:pPr>
              <w:jc w:val="right"/>
              <w:ind w:right="208"/>
              <w:spacing w:after="0"/>
              <w:rPr>
                <w:sz w:val="20"/>
                <w:szCs w:val="20"/>
                <w:color w:val="auto"/>
              </w:rPr>
            </w:pPr>
            <w:r>
              <w:rPr>
                <w:rFonts w:ascii="Arial" w:cs="Arial" w:eastAsia="Arial" w:hAnsi="Arial"/>
                <w:sz w:val="14"/>
                <w:szCs w:val="14"/>
                <w:b w:val="1"/>
                <w:bCs w:val="1"/>
                <w:color w:val="auto"/>
              </w:rPr>
              <w:t>66.3 %</w:t>
            </w:r>
          </w:p>
        </w:tc>
        <w:tc>
          <w:tcPr>
            <w:tcW w:w="980" w:type="dxa"/>
            <w:vAlign w:val="bottom"/>
          </w:tcPr>
          <w:p>
            <w:pPr>
              <w:jc w:val="right"/>
              <w:ind w:right="68"/>
              <w:spacing w:after="0"/>
              <w:rPr>
                <w:sz w:val="20"/>
                <w:szCs w:val="20"/>
                <w:color w:val="auto"/>
              </w:rPr>
            </w:pPr>
            <w:r>
              <w:rPr>
                <w:rFonts w:ascii="Arial" w:cs="Arial" w:eastAsia="Arial" w:hAnsi="Arial"/>
                <w:sz w:val="14"/>
                <w:szCs w:val="14"/>
                <w:b w:val="1"/>
                <w:bCs w:val="1"/>
                <w:color w:val="auto"/>
              </w:rPr>
              <w:t>0.7 %</w:t>
            </w:r>
          </w:p>
        </w:tc>
        <w:tc>
          <w:tcPr>
            <w:tcW w:w="460" w:type="dxa"/>
            <w:vAlign w:val="bottom"/>
            <w:gridSpan w:val="3"/>
          </w:tcPr>
          <w:p>
            <w:pPr>
              <w:jc w:val="center"/>
              <w:spacing w:after="0"/>
              <w:rPr>
                <w:sz w:val="20"/>
                <w:szCs w:val="20"/>
                <w:color w:val="auto"/>
              </w:rPr>
            </w:pPr>
            <w:r>
              <w:rPr>
                <w:rFonts w:ascii="Arial" w:cs="Arial" w:eastAsia="Arial" w:hAnsi="Arial"/>
                <w:sz w:val="14"/>
                <w:szCs w:val="14"/>
                <w:b w:val="1"/>
                <w:bCs w:val="1"/>
                <w:color w:val="auto"/>
              </w:rPr>
              <w:t>pts.</w:t>
            </w:r>
          </w:p>
        </w:tc>
        <w:tc>
          <w:tcPr>
            <w:tcW w:w="2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jc w:val="right"/>
              <w:ind w:right="128"/>
              <w:spacing w:after="0"/>
              <w:rPr>
                <w:sz w:val="20"/>
                <w:szCs w:val="20"/>
                <w:color w:val="auto"/>
              </w:rPr>
            </w:pPr>
            <w:r>
              <w:rPr>
                <w:rFonts w:ascii="Arial" w:cs="Arial" w:eastAsia="Arial" w:hAnsi="Arial"/>
                <w:sz w:val="14"/>
                <w:szCs w:val="14"/>
                <w:b w:val="1"/>
                <w:bCs w:val="1"/>
                <w:color w:val="auto"/>
              </w:rPr>
              <w:t>194.15</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3.0 %</w:t>
            </w:r>
          </w:p>
        </w:tc>
        <w:tc>
          <w:tcPr>
            <w:tcW w:w="20" w:type="dxa"/>
            <w:vAlign w:val="bottom"/>
          </w:tcPr>
          <w:p>
            <w:pPr>
              <w:spacing w:after="0"/>
              <w:rPr>
                <w:sz w:val="22"/>
                <w:szCs w:val="22"/>
                <w:color w:val="auto"/>
              </w:rPr>
            </w:pPr>
          </w:p>
        </w:tc>
      </w:tr>
    </w:tbl>
    <w:p>
      <w:pPr>
        <w:spacing w:after="0" w:line="139" w:lineRule="exact"/>
        <w:rPr>
          <w:sz w:val="20"/>
          <w:szCs w:val="20"/>
          <w:color w:val="auto"/>
        </w:rPr>
      </w:pPr>
    </w:p>
    <w:p>
      <w:pPr>
        <w:ind w:left="100" w:hanging="87"/>
        <w:spacing w:after="0"/>
        <w:tabs>
          <w:tab w:leader="none" w:pos="100" w:val="left"/>
        </w:tabs>
        <w:numPr>
          <w:ilvl w:val="0"/>
          <w:numId w:val="20"/>
        </w:numPr>
        <w:rPr>
          <w:rFonts w:ascii="Arial" w:cs="Arial" w:eastAsia="Arial" w:hAnsi="Arial"/>
          <w:sz w:val="19"/>
          <w:szCs w:val="19"/>
          <w:color w:val="auto"/>
          <w:vertAlign w:val="superscript"/>
        </w:rPr>
      </w:pPr>
      <w:r>
        <w:rPr>
          <w:rFonts w:ascii="Arial" w:cs="Arial" w:eastAsia="Arial" w:hAnsi="Arial"/>
          <w:sz w:val="14"/>
          <w:szCs w:val="14"/>
          <w:color w:val="auto"/>
        </w:rPr>
        <w:t>Includes JW Marriott, The Ritz-Carlton, W Hotels, The Luxury Collection, St. Regis, and EDITION.</w:t>
      </w:r>
    </w:p>
    <w:p>
      <w:pPr>
        <w:spacing w:after="0" w:line="18" w:lineRule="exact"/>
        <w:rPr>
          <w:sz w:val="20"/>
          <w:szCs w:val="20"/>
          <w:color w:val="auto"/>
        </w:rPr>
      </w:pPr>
    </w:p>
    <w:p>
      <w:pPr>
        <w:ind w:left="20" w:right="200" w:hanging="7"/>
        <w:spacing w:after="0" w:line="210" w:lineRule="auto"/>
        <w:tabs>
          <w:tab w:leader="none" w:pos="112" w:val="left"/>
        </w:tabs>
        <w:numPr>
          <w:ilvl w:val="0"/>
          <w:numId w:val="21"/>
        </w:numPr>
        <w:rPr>
          <w:rFonts w:ascii="Arial" w:cs="Arial" w:eastAsia="Arial" w:hAnsi="Arial"/>
          <w:sz w:val="19"/>
          <w:szCs w:val="19"/>
          <w:color w:val="auto"/>
          <w:vertAlign w:val="superscript"/>
        </w:rPr>
      </w:pPr>
      <w:r>
        <w:rPr>
          <w:rFonts w:ascii="Arial" w:cs="Arial" w:eastAsia="Arial" w:hAnsi="Arial"/>
          <w:sz w:val="14"/>
          <w:szCs w:val="14"/>
          <w:color w:val="auto"/>
        </w:rPr>
        <w:t>Includes Marriott Hotels, Sheraton, Westin, Renaissance Hotels, Autograph Collection, Delta Hotels by Marriott, and Gaylord Hotels. Systemwide also includes Le Méridien and Tribute Portfolio.</w:t>
      </w:r>
    </w:p>
    <w:p>
      <w:pPr>
        <w:ind w:left="100" w:hanging="87"/>
        <w:spacing w:after="0" w:line="223" w:lineRule="auto"/>
        <w:tabs>
          <w:tab w:leader="none" w:pos="100" w:val="left"/>
        </w:tabs>
        <w:numPr>
          <w:ilvl w:val="0"/>
          <w:numId w:val="22"/>
        </w:numPr>
        <w:rPr>
          <w:rFonts w:ascii="Arial" w:cs="Arial" w:eastAsia="Arial" w:hAnsi="Arial"/>
          <w:sz w:val="19"/>
          <w:szCs w:val="19"/>
          <w:color w:val="auto"/>
          <w:vertAlign w:val="superscript"/>
        </w:rPr>
      </w:pPr>
      <w:r>
        <w:rPr>
          <w:rFonts w:ascii="Arial" w:cs="Arial" w:eastAsia="Arial" w:hAnsi="Arial"/>
          <w:sz w:val="14"/>
          <w:szCs w:val="14"/>
          <w:color w:val="auto"/>
        </w:rPr>
        <w:t>Includes Composite US &amp; Canada Luxury and Composite US &amp; Canada Premium.</w:t>
      </w:r>
    </w:p>
    <w:p>
      <w:pPr>
        <w:spacing w:after="0" w:line="18" w:lineRule="exact"/>
        <w:rPr>
          <w:sz w:val="20"/>
          <w:szCs w:val="20"/>
          <w:color w:val="auto"/>
        </w:rPr>
      </w:pPr>
    </w:p>
    <w:p>
      <w:pPr>
        <w:ind w:left="20" w:right="240" w:hanging="7"/>
        <w:spacing w:after="0" w:line="210" w:lineRule="auto"/>
        <w:tabs>
          <w:tab w:leader="none" w:pos="112" w:val="left"/>
        </w:tabs>
        <w:numPr>
          <w:ilvl w:val="0"/>
          <w:numId w:val="23"/>
        </w:numPr>
        <w:rPr>
          <w:rFonts w:ascii="Arial" w:cs="Arial" w:eastAsia="Arial" w:hAnsi="Arial"/>
          <w:sz w:val="19"/>
          <w:szCs w:val="19"/>
          <w:color w:val="auto"/>
          <w:vertAlign w:val="superscript"/>
        </w:rPr>
      </w:pPr>
      <w:r>
        <w:rPr>
          <w:rFonts w:ascii="Arial" w:cs="Arial" w:eastAsia="Arial" w:hAnsi="Arial"/>
          <w:sz w:val="14"/>
          <w:szCs w:val="14"/>
          <w:color w:val="auto"/>
        </w:rPr>
        <w:t>Includes Courtyard by Marriott, Residence Inn by Marriott, Fairfield by Marriott, SpringHill Suites by Marriott, TownePlace Suites by Marriott, Four Points by Sheraton, Aloft Hotels, Element Hotels, AC Hotels by Marriott, and Moxy Hotels.</w:t>
      </w:r>
    </w:p>
    <w:p>
      <w:pPr>
        <w:ind w:left="100" w:hanging="87"/>
        <w:spacing w:after="0" w:line="223" w:lineRule="auto"/>
        <w:tabs>
          <w:tab w:leader="none" w:pos="100" w:val="left"/>
        </w:tabs>
        <w:numPr>
          <w:ilvl w:val="0"/>
          <w:numId w:val="24"/>
        </w:numPr>
        <w:rPr>
          <w:rFonts w:ascii="Arial" w:cs="Arial" w:eastAsia="Arial" w:hAnsi="Arial"/>
          <w:sz w:val="19"/>
          <w:szCs w:val="19"/>
          <w:color w:val="auto"/>
          <w:vertAlign w:val="superscript"/>
        </w:rPr>
      </w:pPr>
      <w:r>
        <w:rPr>
          <w:rFonts w:ascii="Arial" w:cs="Arial" w:eastAsia="Arial" w:hAnsi="Arial"/>
          <w:sz w:val="14"/>
          <w:szCs w:val="14"/>
          <w:color w:val="auto"/>
        </w:rPr>
        <w:t>Includes US &amp; Canada Full-Service and Composite US &amp; Canada Select. Systemwide also includes US &amp; Canada Midscale.</w:t>
      </w:r>
    </w:p>
    <w:p>
      <w:pPr>
        <w:spacing w:after="0" w:line="200" w:lineRule="exact"/>
        <w:rPr>
          <w:rFonts w:ascii="Arial" w:cs="Arial" w:eastAsia="Arial" w:hAnsi="Arial"/>
          <w:sz w:val="19"/>
          <w:szCs w:val="19"/>
          <w:color w:val="auto"/>
          <w:vertAlign w:val="superscript"/>
        </w:rPr>
      </w:pPr>
    </w:p>
    <w:p>
      <w:pPr>
        <w:spacing w:after="0" w:line="200" w:lineRule="exact"/>
        <w:rPr>
          <w:rFonts w:ascii="Arial" w:cs="Arial" w:eastAsia="Arial" w:hAnsi="Arial"/>
          <w:sz w:val="19"/>
          <w:szCs w:val="19"/>
          <w:color w:val="auto"/>
          <w:vertAlign w:val="superscript"/>
        </w:rPr>
      </w:pPr>
    </w:p>
    <w:p>
      <w:pPr>
        <w:spacing w:after="0" w:line="200" w:lineRule="exact"/>
        <w:rPr>
          <w:rFonts w:ascii="Arial" w:cs="Arial" w:eastAsia="Arial" w:hAnsi="Arial"/>
          <w:sz w:val="19"/>
          <w:szCs w:val="19"/>
          <w:color w:val="auto"/>
          <w:vertAlign w:val="superscript"/>
        </w:rPr>
      </w:pPr>
    </w:p>
    <w:p>
      <w:pPr>
        <w:spacing w:after="0" w:line="371" w:lineRule="exact"/>
        <w:rPr>
          <w:rFonts w:ascii="Arial" w:cs="Arial" w:eastAsia="Arial" w:hAnsi="Arial"/>
          <w:sz w:val="19"/>
          <w:szCs w:val="19"/>
          <w:color w:val="auto"/>
          <w:vertAlign w:val="superscript"/>
        </w:rPr>
      </w:pPr>
    </w:p>
    <w:p>
      <w:pPr>
        <w:ind w:left="5480"/>
        <w:spacing w:after="0"/>
        <w:rPr>
          <w:rFonts w:ascii="Arial" w:cs="Arial" w:eastAsia="Arial" w:hAnsi="Arial"/>
          <w:sz w:val="19"/>
          <w:szCs w:val="19"/>
          <w:color w:val="auto"/>
          <w:vertAlign w:val="superscript"/>
        </w:rPr>
      </w:pPr>
      <w:r>
        <w:rPr>
          <w:rFonts w:ascii="Arial" w:cs="Arial" w:eastAsia="Arial" w:hAnsi="Arial"/>
          <w:sz w:val="14"/>
          <w:szCs w:val="14"/>
          <w:color w:val="auto"/>
        </w:rPr>
        <w:t>A-9</w:t>
      </w:r>
    </w:p>
    <w:p>
      <w:pPr>
        <w:sectPr>
          <w:pgSz w:w="11900" w:h="16838" w:orient="portrait"/>
          <w:cols w:equalWidth="0" w:num="1">
            <w:col w:w="11180"/>
          </w:cols>
          <w:pgMar w:left="360" w:top="1224" w:right="359" w:bottom="1440" w:gutter="0" w:footer="0" w:header="0"/>
        </w:sectPr>
      </w:pPr>
    </w:p>
    <w:bookmarkStart w:id="19" w:name="page20"/>
    <w:bookmarkEnd w:id="19"/>
    <w:p>
      <w:pPr>
        <w:jc w:val="center"/>
        <w:ind w:right="20"/>
        <w:spacing w:after="0"/>
        <w:rPr>
          <w:sz w:val="20"/>
          <w:szCs w:val="20"/>
          <w:color w:val="auto"/>
        </w:rPr>
      </w:pPr>
      <w:r>
        <w:rPr>
          <w:rFonts w:ascii="Arial" w:cs="Arial" w:eastAsia="Arial" w:hAnsi="Arial"/>
          <w:sz w:val="14"/>
          <w:szCs w:val="14"/>
          <w:b w:val="1"/>
          <w:bCs w:val="1"/>
          <w:color w:val="auto"/>
        </w:rPr>
        <w:t>MARRIOTT INTERNATIONAL, INC.</w:t>
      </w:r>
    </w:p>
    <w:p>
      <w:pPr>
        <w:spacing w:after="0" w:line="42"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KEY LODGING STATISTICS</w:t>
      </w:r>
    </w:p>
    <w:p>
      <w:pPr>
        <w:spacing w:after="0" w:line="42"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In Constant $</w:t>
      </w:r>
    </w:p>
    <w:p>
      <w:pPr>
        <w:spacing w:after="0" w:line="312"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Comparable Company-Operated International Properties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8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spacing w:after="0"/>
              <w:rPr>
                <w:sz w:val="17"/>
                <w:szCs w:val="17"/>
                <w:color w:val="auto"/>
              </w:rPr>
            </w:pPr>
          </w:p>
        </w:tc>
        <w:tc>
          <w:tcPr>
            <w:tcW w:w="4960" w:type="dxa"/>
            <w:vAlign w:val="bottom"/>
            <w:tcBorders>
              <w:top w:val="single" w:sz="8" w:color="auto"/>
              <w:bottom w:val="single" w:sz="8" w:color="auto"/>
            </w:tcBorders>
            <w:gridSpan w:val="11"/>
          </w:tcPr>
          <w:p>
            <w:pPr>
              <w:ind w:left="540"/>
              <w:spacing w:after="0"/>
              <w:rPr>
                <w:sz w:val="20"/>
                <w:szCs w:val="20"/>
                <w:color w:val="auto"/>
              </w:rPr>
            </w:pPr>
            <w:r>
              <w:rPr>
                <w:rFonts w:ascii="Arial" w:cs="Arial" w:eastAsia="Arial" w:hAnsi="Arial"/>
                <w:sz w:val="14"/>
                <w:szCs w:val="14"/>
                <w:b w:val="1"/>
                <w:bCs w:val="1"/>
                <w:color w:val="auto"/>
              </w:rPr>
              <w:t>Three Months Ended March 31, 2026 and March 31, 2025</w:t>
            </w:r>
          </w:p>
        </w:tc>
        <w:tc>
          <w:tcPr>
            <w:tcW w:w="1020" w:type="dxa"/>
            <w:vAlign w:val="bottom"/>
            <w:tcBorders>
              <w:top w:val="single" w:sz="8" w:color="auto"/>
              <w:bottom w:val="single" w:sz="8" w:color="auto"/>
            </w:tcBorders>
          </w:tcPr>
          <w:p>
            <w:pPr>
              <w:spacing w:after="0"/>
              <w:rPr>
                <w:sz w:val="17"/>
                <w:szCs w:val="17"/>
                <w:color w:val="auto"/>
              </w:rPr>
            </w:pPr>
          </w:p>
        </w:tc>
      </w:tr>
      <w:tr>
        <w:trPr>
          <w:trHeight w:val="195"/>
        </w:trPr>
        <w:tc>
          <w:tcPr>
            <w:tcW w:w="28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ind w:left="580"/>
              <w:spacing w:after="0"/>
              <w:rPr>
                <w:sz w:val="20"/>
                <w:szCs w:val="20"/>
                <w:color w:val="auto"/>
              </w:rPr>
            </w:pPr>
            <w:r>
              <w:rPr>
                <w:rFonts w:ascii="Arial" w:cs="Arial" w:eastAsia="Arial" w:hAnsi="Arial"/>
                <w:sz w:val="14"/>
                <w:szCs w:val="14"/>
                <w:b w:val="1"/>
                <w:bCs w:val="1"/>
                <w:color w:val="auto"/>
              </w:rPr>
              <w:t>RevPAR</w:t>
            </w:r>
          </w:p>
        </w:tc>
        <w:tc>
          <w:tcPr>
            <w:tcW w:w="120" w:type="dxa"/>
            <w:vAlign w:val="bottom"/>
            <w:gridSpan w:val="2"/>
          </w:tcPr>
          <w:p>
            <w:pPr>
              <w:spacing w:after="0"/>
              <w:rPr>
                <w:sz w:val="16"/>
                <w:szCs w:val="16"/>
                <w:color w:val="auto"/>
              </w:rPr>
            </w:pPr>
          </w:p>
        </w:tc>
        <w:tc>
          <w:tcPr>
            <w:tcW w:w="2640" w:type="dxa"/>
            <w:vAlign w:val="bottom"/>
            <w:tcBorders>
              <w:bottom w:val="single" w:sz="8" w:color="auto"/>
            </w:tcBorders>
            <w:gridSpan w:val="3"/>
          </w:tcPr>
          <w:p>
            <w:pPr>
              <w:ind w:left="920"/>
              <w:spacing w:after="0"/>
              <w:rPr>
                <w:sz w:val="20"/>
                <w:szCs w:val="20"/>
                <w:color w:val="auto"/>
              </w:rPr>
            </w:pPr>
            <w:r>
              <w:rPr>
                <w:rFonts w:ascii="Arial" w:cs="Arial" w:eastAsia="Arial" w:hAnsi="Arial"/>
                <w:sz w:val="14"/>
                <w:szCs w:val="14"/>
                <w:b w:val="1"/>
                <w:bCs w:val="1"/>
                <w:color w:val="auto"/>
              </w:rPr>
              <w:t>Occupancy</w:t>
            </w:r>
          </w:p>
        </w:tc>
        <w:tc>
          <w:tcPr>
            <w:tcW w:w="100" w:type="dxa"/>
            <w:vAlign w:val="bottom"/>
            <w:gridSpan w:val="2"/>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2"/>
          </w:tcPr>
          <w:p>
            <w:pPr>
              <w:jc w:val="right"/>
              <w:ind w:right="328"/>
              <w:spacing w:after="0"/>
              <w:rPr>
                <w:sz w:val="20"/>
                <w:szCs w:val="20"/>
                <w:color w:val="auto"/>
              </w:rPr>
            </w:pPr>
            <w:r>
              <w:rPr>
                <w:rFonts w:ascii="Arial" w:cs="Arial" w:eastAsia="Arial" w:hAnsi="Arial"/>
                <w:sz w:val="14"/>
                <w:szCs w:val="14"/>
                <w:b w:val="1"/>
                <w:bCs w:val="1"/>
                <w:color w:val="auto"/>
              </w:rPr>
              <w:t>Average Daily Rate</w:t>
            </w:r>
          </w:p>
        </w:tc>
      </w:tr>
      <w:tr>
        <w:trPr>
          <w:trHeight w:val="197"/>
        </w:trPr>
        <w:tc>
          <w:tcPr>
            <w:tcW w:w="28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Region</w:t>
            </w:r>
          </w:p>
        </w:tc>
        <w:tc>
          <w:tcPr>
            <w:tcW w:w="11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2026</w:t>
            </w:r>
          </w:p>
        </w:tc>
        <w:tc>
          <w:tcPr>
            <w:tcW w:w="1040" w:type="dxa"/>
            <w:vAlign w:val="bottom"/>
            <w:tcBorders>
              <w:bottom w:val="single" w:sz="8" w:color="auto"/>
            </w:tcBorders>
            <w:gridSpan w:val="2"/>
          </w:tcPr>
          <w:p>
            <w:pPr>
              <w:ind w:left="240"/>
              <w:spacing w:after="0"/>
              <w:rPr>
                <w:sz w:val="20"/>
                <w:szCs w:val="20"/>
                <w:color w:val="auto"/>
              </w:rPr>
            </w:pPr>
            <w:r>
              <w:rPr>
                <w:rFonts w:ascii="Arial" w:cs="Arial" w:eastAsia="Arial" w:hAnsi="Arial"/>
                <w:sz w:val="14"/>
                <w:szCs w:val="14"/>
                <w:b w:val="1"/>
                <w:bCs w:val="1"/>
                <w:color w:val="auto"/>
              </w:rPr>
              <w:t>vs. 2025</w:t>
            </w:r>
          </w:p>
        </w:tc>
        <w:tc>
          <w:tcPr>
            <w:tcW w:w="120" w:type="dxa"/>
            <w:vAlign w:val="bottom"/>
            <w:gridSpan w:val="2"/>
          </w:tcPr>
          <w:p>
            <w:pPr>
              <w:spacing w:after="0"/>
              <w:rPr>
                <w:sz w:val="17"/>
                <w:szCs w:val="17"/>
                <w:color w:val="auto"/>
              </w:rPr>
            </w:pPr>
          </w:p>
        </w:tc>
        <w:tc>
          <w:tcPr>
            <w:tcW w:w="128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2026</w:t>
            </w:r>
          </w:p>
        </w:tc>
        <w:tc>
          <w:tcPr>
            <w:tcW w:w="1360" w:type="dxa"/>
            <w:vAlign w:val="bottom"/>
            <w:tcBorders>
              <w:bottom w:val="single" w:sz="8" w:color="auto"/>
            </w:tcBorders>
            <w:gridSpan w:val="2"/>
          </w:tcPr>
          <w:p>
            <w:pPr>
              <w:ind w:left="320"/>
              <w:spacing w:after="0"/>
              <w:rPr>
                <w:sz w:val="20"/>
                <w:szCs w:val="20"/>
                <w:color w:val="auto"/>
              </w:rPr>
            </w:pPr>
            <w:r>
              <w:rPr>
                <w:rFonts w:ascii="Arial" w:cs="Arial" w:eastAsia="Arial" w:hAnsi="Arial"/>
                <w:sz w:val="14"/>
                <w:szCs w:val="14"/>
                <w:b w:val="1"/>
                <w:bCs w:val="1"/>
                <w:color w:val="auto"/>
              </w:rPr>
              <w:t>vs. 2025</w:t>
            </w:r>
          </w:p>
        </w:tc>
        <w:tc>
          <w:tcPr>
            <w:tcW w:w="100" w:type="dxa"/>
            <w:vAlign w:val="bottom"/>
            <w:gridSpan w:val="2"/>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2026</w:t>
            </w:r>
          </w:p>
        </w:tc>
        <w:tc>
          <w:tcPr>
            <w:tcW w:w="10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vs. 2025</w:t>
            </w:r>
          </w:p>
        </w:tc>
      </w:tr>
      <w:tr>
        <w:trPr>
          <w:trHeight w:val="189"/>
        </w:trPr>
        <w:tc>
          <w:tcPr>
            <w:tcW w:w="2860" w:type="dxa"/>
            <w:vAlign w:val="bottom"/>
          </w:tcPr>
          <w:p>
            <w:pPr>
              <w:spacing w:after="0"/>
              <w:rPr>
                <w:sz w:val="20"/>
                <w:szCs w:val="20"/>
                <w:color w:val="auto"/>
              </w:rPr>
            </w:pPr>
            <w:r>
              <w:rPr>
                <w:rFonts w:ascii="Arial" w:cs="Arial" w:eastAsia="Arial" w:hAnsi="Arial"/>
                <w:sz w:val="14"/>
                <w:szCs w:val="14"/>
                <w:color w:val="auto"/>
              </w:rPr>
              <w:t>Europe</w:t>
            </w:r>
          </w:p>
        </w:tc>
        <w:tc>
          <w:tcPr>
            <w:tcW w:w="1480" w:type="dxa"/>
            <w:vAlign w:val="bottom"/>
            <w:gridSpan w:val="5"/>
          </w:tcPr>
          <w:p>
            <w:pPr>
              <w:jc w:val="right"/>
              <w:ind w:right="10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08"/>
              <w:spacing w:after="0"/>
              <w:rPr>
                <w:sz w:val="20"/>
                <w:szCs w:val="20"/>
                <w:color w:val="auto"/>
              </w:rPr>
            </w:pPr>
            <w:r>
              <w:rPr>
                <w:rFonts w:ascii="Arial" w:cs="Arial" w:eastAsia="Arial" w:hAnsi="Arial"/>
                <w:sz w:val="14"/>
                <w:szCs w:val="14"/>
                <w:color w:val="auto"/>
              </w:rPr>
              <w:t>174.01</w:t>
            </w:r>
          </w:p>
        </w:tc>
        <w:tc>
          <w:tcPr>
            <w:tcW w:w="1040" w:type="dxa"/>
            <w:vAlign w:val="bottom"/>
            <w:gridSpan w:val="2"/>
          </w:tcPr>
          <w:p>
            <w:pPr>
              <w:ind w:left="660"/>
              <w:spacing w:after="0"/>
              <w:rPr>
                <w:sz w:val="20"/>
                <w:szCs w:val="20"/>
                <w:color w:val="auto"/>
              </w:rPr>
            </w:pPr>
            <w:r>
              <w:rPr>
                <w:rFonts w:ascii="Arial" w:cs="Arial" w:eastAsia="Arial" w:hAnsi="Arial"/>
                <w:sz w:val="14"/>
                <w:szCs w:val="14"/>
                <w:color w:val="auto"/>
              </w:rPr>
              <w:t>7.0 %</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80" w:type="dxa"/>
            <w:vAlign w:val="bottom"/>
          </w:tcPr>
          <w:p>
            <w:pPr>
              <w:jc w:val="right"/>
              <w:ind w:right="208"/>
              <w:spacing w:after="0"/>
              <w:rPr>
                <w:sz w:val="20"/>
                <w:szCs w:val="20"/>
                <w:color w:val="auto"/>
              </w:rPr>
            </w:pPr>
            <w:r>
              <w:rPr>
                <w:rFonts w:ascii="Arial" w:cs="Arial" w:eastAsia="Arial" w:hAnsi="Arial"/>
                <w:sz w:val="14"/>
                <w:szCs w:val="14"/>
                <w:color w:val="auto"/>
              </w:rPr>
              <w:t>61.2 %</w:t>
            </w:r>
          </w:p>
        </w:tc>
        <w:tc>
          <w:tcPr>
            <w:tcW w:w="1460" w:type="dxa"/>
            <w:vAlign w:val="bottom"/>
            <w:gridSpan w:val="4"/>
          </w:tcPr>
          <w:p>
            <w:pPr>
              <w:ind w:left="440"/>
              <w:spacing w:after="0"/>
              <w:rPr>
                <w:sz w:val="20"/>
                <w:szCs w:val="20"/>
                <w:color w:val="auto"/>
              </w:rPr>
            </w:pPr>
            <w:r>
              <w:rPr>
                <w:rFonts w:ascii="Arial" w:cs="Arial" w:eastAsia="Arial" w:hAnsi="Arial"/>
                <w:sz w:val="14"/>
                <w:szCs w:val="14"/>
                <w:color w:val="auto"/>
              </w:rPr>
              <w:t>-0.6 % pts.</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ind w:right="128"/>
              <w:spacing w:after="0"/>
              <w:rPr>
                <w:sz w:val="20"/>
                <w:szCs w:val="20"/>
                <w:color w:val="auto"/>
              </w:rPr>
            </w:pPr>
            <w:r>
              <w:rPr>
                <w:rFonts w:ascii="Arial" w:cs="Arial" w:eastAsia="Arial" w:hAnsi="Arial"/>
                <w:sz w:val="14"/>
                <w:szCs w:val="14"/>
                <w:color w:val="auto"/>
              </w:rPr>
              <w:t>284.35</w:t>
            </w:r>
          </w:p>
        </w:tc>
        <w:tc>
          <w:tcPr>
            <w:tcW w:w="1020" w:type="dxa"/>
            <w:vAlign w:val="bottom"/>
          </w:tcPr>
          <w:p>
            <w:pPr>
              <w:jc w:val="right"/>
              <w:spacing w:after="0"/>
              <w:rPr>
                <w:sz w:val="20"/>
                <w:szCs w:val="20"/>
                <w:color w:val="auto"/>
              </w:rPr>
            </w:pPr>
            <w:r>
              <w:rPr>
                <w:rFonts w:ascii="Arial" w:cs="Arial" w:eastAsia="Arial" w:hAnsi="Arial"/>
                <w:sz w:val="14"/>
                <w:szCs w:val="14"/>
                <w:color w:val="auto"/>
              </w:rPr>
              <w:t>8.0 %</w:t>
            </w:r>
          </w:p>
        </w:tc>
      </w:tr>
      <w:tr>
        <w:trPr>
          <w:trHeight w:val="203"/>
        </w:trPr>
        <w:tc>
          <w:tcPr>
            <w:tcW w:w="2860" w:type="dxa"/>
            <w:vAlign w:val="bottom"/>
          </w:tcPr>
          <w:p>
            <w:pPr>
              <w:spacing w:after="0"/>
              <w:rPr>
                <w:sz w:val="20"/>
                <w:szCs w:val="20"/>
                <w:color w:val="auto"/>
              </w:rPr>
            </w:pPr>
            <w:r>
              <w:rPr>
                <w:rFonts w:ascii="Arial" w:cs="Arial" w:eastAsia="Arial" w:hAnsi="Arial"/>
                <w:sz w:val="14"/>
                <w:szCs w:val="14"/>
                <w:color w:val="auto"/>
              </w:rPr>
              <w:t>Middle East &amp; Africa</w:t>
            </w:r>
          </w:p>
        </w:tc>
        <w:tc>
          <w:tcPr>
            <w:tcW w:w="1480" w:type="dxa"/>
            <w:vAlign w:val="bottom"/>
            <w:gridSpan w:val="5"/>
          </w:tcPr>
          <w:p>
            <w:pPr>
              <w:jc w:val="right"/>
              <w:ind w:right="10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08"/>
              <w:spacing w:after="0"/>
              <w:rPr>
                <w:sz w:val="20"/>
                <w:szCs w:val="20"/>
                <w:color w:val="auto"/>
              </w:rPr>
            </w:pPr>
            <w:r>
              <w:rPr>
                <w:rFonts w:ascii="Arial" w:cs="Arial" w:eastAsia="Arial" w:hAnsi="Arial"/>
                <w:sz w:val="14"/>
                <w:szCs w:val="14"/>
                <w:color w:val="auto"/>
              </w:rPr>
              <w:t>138.45</w:t>
            </w:r>
          </w:p>
        </w:tc>
        <w:tc>
          <w:tcPr>
            <w:tcW w:w="1040" w:type="dxa"/>
            <w:vAlign w:val="bottom"/>
            <w:gridSpan w:val="2"/>
          </w:tcPr>
          <w:p>
            <w:pPr>
              <w:ind w:left="600"/>
              <w:spacing w:after="0"/>
              <w:rPr>
                <w:sz w:val="20"/>
                <w:szCs w:val="20"/>
                <w:color w:val="auto"/>
              </w:rPr>
            </w:pPr>
            <w:r>
              <w:rPr>
                <w:rFonts w:ascii="Arial" w:cs="Arial" w:eastAsia="Arial" w:hAnsi="Arial"/>
                <w:sz w:val="14"/>
                <w:szCs w:val="14"/>
                <w:color w:val="auto"/>
              </w:rPr>
              <w:t>-2.3 %</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80" w:type="dxa"/>
            <w:vAlign w:val="bottom"/>
          </w:tcPr>
          <w:p>
            <w:pPr>
              <w:jc w:val="right"/>
              <w:ind w:right="208"/>
              <w:spacing w:after="0"/>
              <w:rPr>
                <w:sz w:val="20"/>
                <w:szCs w:val="20"/>
                <w:color w:val="auto"/>
              </w:rPr>
            </w:pPr>
            <w:r>
              <w:rPr>
                <w:rFonts w:ascii="Arial" w:cs="Arial" w:eastAsia="Arial" w:hAnsi="Arial"/>
                <w:sz w:val="14"/>
                <w:szCs w:val="14"/>
                <w:color w:val="auto"/>
              </w:rPr>
              <w:t>62.3 %</w:t>
            </w:r>
          </w:p>
        </w:tc>
        <w:tc>
          <w:tcPr>
            <w:tcW w:w="1460" w:type="dxa"/>
            <w:vAlign w:val="bottom"/>
            <w:gridSpan w:val="4"/>
          </w:tcPr>
          <w:p>
            <w:pPr>
              <w:ind w:left="440"/>
              <w:spacing w:after="0"/>
              <w:rPr>
                <w:sz w:val="20"/>
                <w:szCs w:val="20"/>
                <w:color w:val="auto"/>
              </w:rPr>
            </w:pPr>
            <w:r>
              <w:rPr>
                <w:rFonts w:ascii="Arial" w:cs="Arial" w:eastAsia="Arial" w:hAnsi="Arial"/>
                <w:sz w:val="14"/>
                <w:szCs w:val="14"/>
                <w:color w:val="auto"/>
              </w:rPr>
              <w:t>-6.3 % pts.</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ind w:right="128"/>
              <w:spacing w:after="0"/>
              <w:rPr>
                <w:sz w:val="20"/>
                <w:szCs w:val="20"/>
                <w:color w:val="auto"/>
              </w:rPr>
            </w:pPr>
            <w:r>
              <w:rPr>
                <w:rFonts w:ascii="Arial" w:cs="Arial" w:eastAsia="Arial" w:hAnsi="Arial"/>
                <w:sz w:val="14"/>
                <w:szCs w:val="14"/>
                <w:color w:val="auto"/>
              </w:rPr>
              <w:t>222.36</w:t>
            </w:r>
          </w:p>
        </w:tc>
        <w:tc>
          <w:tcPr>
            <w:tcW w:w="1020" w:type="dxa"/>
            <w:vAlign w:val="bottom"/>
          </w:tcPr>
          <w:p>
            <w:pPr>
              <w:jc w:val="right"/>
              <w:spacing w:after="0"/>
              <w:rPr>
                <w:sz w:val="20"/>
                <w:szCs w:val="20"/>
                <w:color w:val="auto"/>
              </w:rPr>
            </w:pPr>
            <w:r>
              <w:rPr>
                <w:rFonts w:ascii="Arial" w:cs="Arial" w:eastAsia="Arial" w:hAnsi="Arial"/>
                <w:sz w:val="14"/>
                <w:szCs w:val="14"/>
                <w:color w:val="auto"/>
              </w:rPr>
              <w:t>7.5 %</w:t>
            </w:r>
          </w:p>
        </w:tc>
      </w:tr>
      <w:tr>
        <w:trPr>
          <w:trHeight w:val="203"/>
        </w:trPr>
        <w:tc>
          <w:tcPr>
            <w:tcW w:w="2860" w:type="dxa"/>
            <w:vAlign w:val="bottom"/>
          </w:tcPr>
          <w:p>
            <w:pPr>
              <w:spacing w:after="0"/>
              <w:rPr>
                <w:sz w:val="20"/>
                <w:szCs w:val="20"/>
                <w:color w:val="auto"/>
              </w:rPr>
            </w:pPr>
            <w:r>
              <w:rPr>
                <w:rFonts w:ascii="Arial" w:cs="Arial" w:eastAsia="Arial" w:hAnsi="Arial"/>
                <w:sz w:val="14"/>
                <w:szCs w:val="14"/>
                <w:color w:val="auto"/>
              </w:rPr>
              <w:t>Greater China</w:t>
            </w:r>
          </w:p>
        </w:tc>
        <w:tc>
          <w:tcPr>
            <w:tcW w:w="1480" w:type="dxa"/>
            <w:vAlign w:val="bottom"/>
            <w:gridSpan w:val="5"/>
          </w:tcPr>
          <w:p>
            <w:pPr>
              <w:jc w:val="right"/>
              <w:ind w:right="10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08"/>
              <w:spacing w:after="0"/>
              <w:rPr>
                <w:sz w:val="20"/>
                <w:szCs w:val="20"/>
                <w:color w:val="auto"/>
              </w:rPr>
            </w:pPr>
            <w:r>
              <w:rPr>
                <w:rFonts w:ascii="Arial" w:cs="Arial" w:eastAsia="Arial" w:hAnsi="Arial"/>
                <w:sz w:val="14"/>
                <w:szCs w:val="14"/>
                <w:color w:val="auto"/>
              </w:rPr>
              <w:t>79.23</w:t>
            </w:r>
          </w:p>
        </w:tc>
        <w:tc>
          <w:tcPr>
            <w:tcW w:w="1040" w:type="dxa"/>
            <w:vAlign w:val="bottom"/>
            <w:gridSpan w:val="2"/>
          </w:tcPr>
          <w:p>
            <w:pPr>
              <w:ind w:left="660"/>
              <w:spacing w:after="0"/>
              <w:rPr>
                <w:sz w:val="20"/>
                <w:szCs w:val="20"/>
                <w:color w:val="auto"/>
              </w:rPr>
            </w:pPr>
            <w:r>
              <w:rPr>
                <w:rFonts w:ascii="Arial" w:cs="Arial" w:eastAsia="Arial" w:hAnsi="Arial"/>
                <w:sz w:val="14"/>
                <w:szCs w:val="14"/>
                <w:color w:val="auto"/>
              </w:rPr>
              <w:t>6.1 %</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80" w:type="dxa"/>
            <w:vAlign w:val="bottom"/>
          </w:tcPr>
          <w:p>
            <w:pPr>
              <w:jc w:val="right"/>
              <w:ind w:right="208"/>
              <w:spacing w:after="0"/>
              <w:rPr>
                <w:sz w:val="20"/>
                <w:szCs w:val="20"/>
                <w:color w:val="auto"/>
              </w:rPr>
            </w:pPr>
            <w:r>
              <w:rPr>
                <w:rFonts w:ascii="Arial" w:cs="Arial" w:eastAsia="Arial" w:hAnsi="Arial"/>
                <w:sz w:val="14"/>
                <w:szCs w:val="14"/>
                <w:color w:val="auto"/>
              </w:rPr>
              <w:t>65.1 %</w:t>
            </w:r>
          </w:p>
        </w:tc>
        <w:tc>
          <w:tcPr>
            <w:tcW w:w="1460" w:type="dxa"/>
            <w:vAlign w:val="bottom"/>
            <w:gridSpan w:val="4"/>
          </w:tcPr>
          <w:p>
            <w:pPr>
              <w:ind w:left="480"/>
              <w:spacing w:after="0"/>
              <w:rPr>
                <w:sz w:val="20"/>
                <w:szCs w:val="20"/>
                <w:color w:val="auto"/>
              </w:rPr>
            </w:pPr>
            <w:r>
              <w:rPr>
                <w:rFonts w:ascii="Arial" w:cs="Arial" w:eastAsia="Arial" w:hAnsi="Arial"/>
                <w:sz w:val="14"/>
                <w:szCs w:val="14"/>
                <w:color w:val="auto"/>
              </w:rPr>
              <w:t>1.2 % pts.</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ind w:right="128"/>
              <w:spacing w:after="0"/>
              <w:rPr>
                <w:sz w:val="20"/>
                <w:szCs w:val="20"/>
                <w:color w:val="auto"/>
              </w:rPr>
            </w:pPr>
            <w:r>
              <w:rPr>
                <w:rFonts w:ascii="Arial" w:cs="Arial" w:eastAsia="Arial" w:hAnsi="Arial"/>
                <w:sz w:val="14"/>
                <w:szCs w:val="14"/>
                <w:color w:val="auto"/>
              </w:rPr>
              <w:t>121.63</w:t>
            </w:r>
          </w:p>
        </w:tc>
        <w:tc>
          <w:tcPr>
            <w:tcW w:w="1020" w:type="dxa"/>
            <w:vAlign w:val="bottom"/>
          </w:tcPr>
          <w:p>
            <w:pPr>
              <w:jc w:val="right"/>
              <w:spacing w:after="0"/>
              <w:rPr>
                <w:sz w:val="20"/>
                <w:szCs w:val="20"/>
                <w:color w:val="auto"/>
              </w:rPr>
            </w:pPr>
            <w:r>
              <w:rPr>
                <w:rFonts w:ascii="Arial" w:cs="Arial" w:eastAsia="Arial" w:hAnsi="Arial"/>
                <w:sz w:val="14"/>
                <w:szCs w:val="14"/>
                <w:color w:val="auto"/>
              </w:rPr>
              <w:t>4.1 %</w:t>
            </w:r>
          </w:p>
        </w:tc>
      </w:tr>
      <w:tr>
        <w:trPr>
          <w:trHeight w:val="203"/>
        </w:trPr>
        <w:tc>
          <w:tcPr>
            <w:tcW w:w="2860" w:type="dxa"/>
            <w:vAlign w:val="bottom"/>
          </w:tcPr>
          <w:p>
            <w:pPr>
              <w:spacing w:after="0"/>
              <w:rPr>
                <w:sz w:val="20"/>
                <w:szCs w:val="20"/>
                <w:color w:val="auto"/>
              </w:rPr>
            </w:pPr>
            <w:r>
              <w:rPr>
                <w:rFonts w:ascii="Arial" w:cs="Arial" w:eastAsia="Arial" w:hAnsi="Arial"/>
                <w:sz w:val="14"/>
                <w:szCs w:val="14"/>
                <w:color w:val="auto"/>
              </w:rPr>
              <w:t>Asia Pacific excluding China</w:t>
            </w:r>
          </w:p>
        </w:tc>
        <w:tc>
          <w:tcPr>
            <w:tcW w:w="1480" w:type="dxa"/>
            <w:vAlign w:val="bottom"/>
            <w:gridSpan w:val="5"/>
          </w:tcPr>
          <w:p>
            <w:pPr>
              <w:jc w:val="right"/>
              <w:ind w:right="10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08"/>
              <w:spacing w:after="0"/>
              <w:rPr>
                <w:sz w:val="20"/>
                <w:szCs w:val="20"/>
                <w:color w:val="auto"/>
              </w:rPr>
            </w:pPr>
            <w:r>
              <w:rPr>
                <w:rFonts w:ascii="Arial" w:cs="Arial" w:eastAsia="Arial" w:hAnsi="Arial"/>
                <w:sz w:val="14"/>
                <w:szCs w:val="14"/>
                <w:color w:val="auto"/>
              </w:rPr>
              <w:t>136.26</w:t>
            </w:r>
          </w:p>
        </w:tc>
        <w:tc>
          <w:tcPr>
            <w:tcW w:w="1040" w:type="dxa"/>
            <w:vAlign w:val="bottom"/>
            <w:gridSpan w:val="2"/>
          </w:tcPr>
          <w:p>
            <w:pPr>
              <w:ind w:left="660"/>
              <w:spacing w:after="0"/>
              <w:rPr>
                <w:sz w:val="20"/>
                <w:szCs w:val="20"/>
                <w:color w:val="auto"/>
              </w:rPr>
            </w:pPr>
            <w:r>
              <w:rPr>
                <w:rFonts w:ascii="Arial" w:cs="Arial" w:eastAsia="Arial" w:hAnsi="Arial"/>
                <w:sz w:val="14"/>
                <w:szCs w:val="14"/>
                <w:color w:val="auto"/>
              </w:rPr>
              <w:t>7.6 %</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80" w:type="dxa"/>
            <w:vAlign w:val="bottom"/>
          </w:tcPr>
          <w:p>
            <w:pPr>
              <w:jc w:val="right"/>
              <w:ind w:right="208"/>
              <w:spacing w:after="0"/>
              <w:rPr>
                <w:sz w:val="20"/>
                <w:szCs w:val="20"/>
                <w:color w:val="auto"/>
              </w:rPr>
            </w:pPr>
            <w:r>
              <w:rPr>
                <w:rFonts w:ascii="Arial" w:cs="Arial" w:eastAsia="Arial" w:hAnsi="Arial"/>
                <w:sz w:val="14"/>
                <w:szCs w:val="14"/>
                <w:color w:val="auto"/>
              </w:rPr>
              <w:t>71.3 %</w:t>
            </w:r>
          </w:p>
        </w:tc>
        <w:tc>
          <w:tcPr>
            <w:tcW w:w="1460" w:type="dxa"/>
            <w:vAlign w:val="bottom"/>
            <w:gridSpan w:val="4"/>
          </w:tcPr>
          <w:p>
            <w:pPr>
              <w:ind w:left="480"/>
              <w:spacing w:after="0"/>
              <w:rPr>
                <w:sz w:val="20"/>
                <w:szCs w:val="20"/>
                <w:color w:val="auto"/>
              </w:rPr>
            </w:pPr>
            <w:r>
              <w:rPr>
                <w:rFonts w:ascii="Arial" w:cs="Arial" w:eastAsia="Arial" w:hAnsi="Arial"/>
                <w:sz w:val="14"/>
                <w:szCs w:val="14"/>
                <w:color w:val="auto"/>
              </w:rPr>
              <w:t>2.5 % pts.</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ind w:right="128"/>
              <w:spacing w:after="0"/>
              <w:rPr>
                <w:sz w:val="20"/>
                <w:szCs w:val="20"/>
                <w:color w:val="auto"/>
              </w:rPr>
            </w:pPr>
            <w:r>
              <w:rPr>
                <w:rFonts w:ascii="Arial" w:cs="Arial" w:eastAsia="Arial" w:hAnsi="Arial"/>
                <w:sz w:val="14"/>
                <w:szCs w:val="14"/>
                <w:color w:val="auto"/>
              </w:rPr>
              <w:t>191.17</w:t>
            </w:r>
          </w:p>
        </w:tc>
        <w:tc>
          <w:tcPr>
            <w:tcW w:w="1020" w:type="dxa"/>
            <w:vAlign w:val="bottom"/>
          </w:tcPr>
          <w:p>
            <w:pPr>
              <w:jc w:val="right"/>
              <w:spacing w:after="0"/>
              <w:rPr>
                <w:sz w:val="20"/>
                <w:szCs w:val="20"/>
                <w:color w:val="auto"/>
              </w:rPr>
            </w:pPr>
            <w:r>
              <w:rPr>
                <w:rFonts w:ascii="Arial" w:cs="Arial" w:eastAsia="Arial" w:hAnsi="Arial"/>
                <w:sz w:val="14"/>
                <w:szCs w:val="14"/>
                <w:color w:val="auto"/>
              </w:rPr>
              <w:t>3.8 %</w:t>
            </w:r>
          </w:p>
        </w:tc>
      </w:tr>
      <w:tr>
        <w:trPr>
          <w:trHeight w:val="203"/>
        </w:trPr>
        <w:tc>
          <w:tcPr>
            <w:tcW w:w="2860" w:type="dxa"/>
            <w:vAlign w:val="bottom"/>
          </w:tcPr>
          <w:p>
            <w:pPr>
              <w:spacing w:after="0"/>
              <w:rPr>
                <w:sz w:val="20"/>
                <w:szCs w:val="20"/>
                <w:color w:val="auto"/>
              </w:rPr>
            </w:pPr>
            <w:r>
              <w:rPr>
                <w:rFonts w:ascii="Arial" w:cs="Arial" w:eastAsia="Arial" w:hAnsi="Arial"/>
                <w:sz w:val="14"/>
                <w:szCs w:val="14"/>
                <w:color w:val="auto"/>
              </w:rPr>
              <w:t>Caribbean &amp; Latin America</w:t>
            </w:r>
          </w:p>
        </w:tc>
        <w:tc>
          <w:tcPr>
            <w:tcW w:w="1480" w:type="dxa"/>
            <w:vAlign w:val="bottom"/>
            <w:gridSpan w:val="5"/>
          </w:tcPr>
          <w:p>
            <w:pPr>
              <w:jc w:val="right"/>
              <w:ind w:right="10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08"/>
              <w:spacing w:after="0"/>
              <w:rPr>
                <w:sz w:val="20"/>
                <w:szCs w:val="20"/>
                <w:color w:val="auto"/>
              </w:rPr>
            </w:pPr>
            <w:r>
              <w:rPr>
                <w:rFonts w:ascii="Arial" w:cs="Arial" w:eastAsia="Arial" w:hAnsi="Arial"/>
                <w:sz w:val="14"/>
                <w:szCs w:val="14"/>
                <w:color w:val="auto"/>
              </w:rPr>
              <w:t>255.61</w:t>
            </w:r>
          </w:p>
        </w:tc>
        <w:tc>
          <w:tcPr>
            <w:tcW w:w="1040" w:type="dxa"/>
            <w:vAlign w:val="bottom"/>
            <w:gridSpan w:val="2"/>
          </w:tcPr>
          <w:p>
            <w:pPr>
              <w:ind w:left="600"/>
              <w:spacing w:after="0"/>
              <w:rPr>
                <w:sz w:val="20"/>
                <w:szCs w:val="20"/>
                <w:color w:val="auto"/>
              </w:rPr>
            </w:pPr>
            <w:r>
              <w:rPr>
                <w:rFonts w:ascii="Arial" w:cs="Arial" w:eastAsia="Arial" w:hAnsi="Arial"/>
                <w:sz w:val="14"/>
                <w:szCs w:val="14"/>
                <w:color w:val="auto"/>
              </w:rPr>
              <w:t>-0.7 %</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80" w:type="dxa"/>
            <w:vAlign w:val="bottom"/>
          </w:tcPr>
          <w:p>
            <w:pPr>
              <w:jc w:val="right"/>
              <w:ind w:right="208"/>
              <w:spacing w:after="0"/>
              <w:rPr>
                <w:sz w:val="20"/>
                <w:szCs w:val="20"/>
                <w:color w:val="auto"/>
              </w:rPr>
            </w:pPr>
            <w:r>
              <w:rPr>
                <w:rFonts w:ascii="Arial" w:cs="Arial" w:eastAsia="Arial" w:hAnsi="Arial"/>
                <w:sz w:val="14"/>
                <w:szCs w:val="14"/>
                <w:color w:val="auto"/>
              </w:rPr>
              <w:t>69.0 %</w:t>
            </w:r>
          </w:p>
        </w:tc>
        <w:tc>
          <w:tcPr>
            <w:tcW w:w="1460" w:type="dxa"/>
            <w:vAlign w:val="bottom"/>
            <w:gridSpan w:val="4"/>
          </w:tcPr>
          <w:p>
            <w:pPr>
              <w:ind w:left="440"/>
              <w:spacing w:after="0"/>
              <w:rPr>
                <w:sz w:val="20"/>
                <w:szCs w:val="20"/>
                <w:color w:val="auto"/>
              </w:rPr>
            </w:pPr>
            <w:r>
              <w:rPr>
                <w:rFonts w:ascii="Arial" w:cs="Arial" w:eastAsia="Arial" w:hAnsi="Arial"/>
                <w:sz w:val="14"/>
                <w:szCs w:val="14"/>
                <w:color w:val="auto"/>
              </w:rPr>
              <w:t>-0.1 % pts.</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ind w:right="128"/>
              <w:spacing w:after="0"/>
              <w:rPr>
                <w:sz w:val="20"/>
                <w:szCs w:val="20"/>
                <w:color w:val="auto"/>
              </w:rPr>
            </w:pPr>
            <w:r>
              <w:rPr>
                <w:rFonts w:ascii="Arial" w:cs="Arial" w:eastAsia="Arial" w:hAnsi="Arial"/>
                <w:sz w:val="14"/>
                <w:szCs w:val="14"/>
                <w:color w:val="auto"/>
              </w:rPr>
              <w:t>370.60</w:t>
            </w:r>
          </w:p>
        </w:tc>
        <w:tc>
          <w:tcPr>
            <w:tcW w:w="1020" w:type="dxa"/>
            <w:vAlign w:val="bottom"/>
          </w:tcPr>
          <w:p>
            <w:pPr>
              <w:jc w:val="right"/>
              <w:spacing w:after="0"/>
              <w:rPr>
                <w:sz w:val="20"/>
                <w:szCs w:val="20"/>
                <w:color w:val="auto"/>
              </w:rPr>
            </w:pPr>
            <w:r>
              <w:rPr>
                <w:rFonts w:ascii="Arial" w:cs="Arial" w:eastAsia="Arial" w:hAnsi="Arial"/>
                <w:sz w:val="14"/>
                <w:szCs w:val="14"/>
                <w:color w:val="auto"/>
              </w:rPr>
              <w:t>-0.5 %</w:t>
            </w:r>
          </w:p>
        </w:tc>
      </w:tr>
      <w:tr>
        <w:trPr>
          <w:trHeight w:val="480"/>
        </w:trPr>
        <w:tc>
          <w:tcPr>
            <w:tcW w:w="2860" w:type="dxa"/>
            <w:vAlign w:val="bottom"/>
          </w:tcPr>
          <w:p>
            <w:pPr>
              <w:spacing w:after="0"/>
              <w:rPr>
                <w:sz w:val="20"/>
                <w:szCs w:val="20"/>
                <w:color w:val="auto"/>
              </w:rPr>
            </w:pPr>
            <w:r>
              <w:rPr>
                <w:rFonts w:ascii="Arial" w:cs="Arial" w:eastAsia="Arial" w:hAnsi="Arial"/>
                <w:sz w:val="14"/>
                <w:szCs w:val="14"/>
                <w:b w:val="1"/>
                <w:bCs w:val="1"/>
                <w:color w:val="auto"/>
              </w:rPr>
              <w:t>International - All</w:t>
            </w:r>
            <w:r>
              <w:rPr>
                <w:rFonts w:ascii="Arial" w:cs="Arial" w:eastAsia="Arial" w:hAnsi="Arial"/>
                <w:sz w:val="18"/>
                <w:szCs w:val="18"/>
                <w:b w:val="1"/>
                <w:bCs w:val="1"/>
                <w:color w:val="auto"/>
                <w:vertAlign w:val="superscript"/>
              </w:rPr>
              <w:t>1</w:t>
            </w:r>
          </w:p>
        </w:tc>
        <w:tc>
          <w:tcPr>
            <w:tcW w:w="1480" w:type="dxa"/>
            <w:vAlign w:val="bottom"/>
            <w:gridSpan w:val="5"/>
          </w:tcPr>
          <w:p>
            <w:pPr>
              <w:jc w:val="right"/>
              <w:ind w:right="100"/>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jc w:val="right"/>
              <w:ind w:right="108"/>
              <w:spacing w:after="0"/>
              <w:rPr>
                <w:sz w:val="20"/>
                <w:szCs w:val="20"/>
                <w:color w:val="auto"/>
              </w:rPr>
            </w:pPr>
            <w:r>
              <w:rPr>
                <w:rFonts w:ascii="Arial" w:cs="Arial" w:eastAsia="Arial" w:hAnsi="Arial"/>
                <w:sz w:val="14"/>
                <w:szCs w:val="14"/>
                <w:b w:val="1"/>
                <w:bCs w:val="1"/>
                <w:color w:val="auto"/>
              </w:rPr>
              <w:t>126.47</w:t>
            </w:r>
          </w:p>
        </w:tc>
        <w:tc>
          <w:tcPr>
            <w:tcW w:w="1040" w:type="dxa"/>
            <w:vAlign w:val="bottom"/>
            <w:gridSpan w:val="2"/>
          </w:tcPr>
          <w:p>
            <w:pPr>
              <w:ind w:left="660"/>
              <w:spacing w:after="0"/>
              <w:rPr>
                <w:sz w:val="20"/>
                <w:szCs w:val="20"/>
                <w:color w:val="auto"/>
              </w:rPr>
            </w:pPr>
            <w:r>
              <w:rPr>
                <w:rFonts w:ascii="Arial" w:cs="Arial" w:eastAsia="Arial" w:hAnsi="Arial"/>
                <w:sz w:val="14"/>
                <w:szCs w:val="14"/>
                <w:b w:val="1"/>
                <w:bCs w:val="1"/>
                <w:color w:val="auto"/>
              </w:rPr>
              <w:t>4.1 %</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80" w:type="dxa"/>
            <w:vAlign w:val="bottom"/>
          </w:tcPr>
          <w:p>
            <w:pPr>
              <w:jc w:val="right"/>
              <w:ind w:right="208"/>
              <w:spacing w:after="0"/>
              <w:rPr>
                <w:sz w:val="20"/>
                <w:szCs w:val="20"/>
                <w:color w:val="auto"/>
              </w:rPr>
            </w:pPr>
            <w:r>
              <w:rPr>
                <w:rFonts w:ascii="Arial" w:cs="Arial" w:eastAsia="Arial" w:hAnsi="Arial"/>
                <w:sz w:val="14"/>
                <w:szCs w:val="14"/>
                <w:b w:val="1"/>
                <w:bCs w:val="1"/>
                <w:color w:val="auto"/>
              </w:rPr>
              <w:t>66.3 %</w:t>
            </w:r>
          </w:p>
        </w:tc>
        <w:tc>
          <w:tcPr>
            <w:tcW w:w="1460" w:type="dxa"/>
            <w:vAlign w:val="bottom"/>
            <w:gridSpan w:val="4"/>
          </w:tcPr>
          <w:p>
            <w:pPr>
              <w:ind w:left="480"/>
              <w:spacing w:after="0"/>
              <w:rPr>
                <w:sz w:val="20"/>
                <w:szCs w:val="20"/>
                <w:color w:val="auto"/>
              </w:rPr>
            </w:pPr>
            <w:r>
              <w:rPr>
                <w:rFonts w:ascii="Arial" w:cs="Arial" w:eastAsia="Arial" w:hAnsi="Arial"/>
                <w:sz w:val="14"/>
                <w:szCs w:val="14"/>
                <w:b w:val="1"/>
                <w:bCs w:val="1"/>
                <w:color w:val="auto"/>
              </w:rPr>
              <w:t>0.1 % pts.</w:t>
            </w:r>
          </w:p>
        </w:tc>
        <w:tc>
          <w:tcPr>
            <w:tcW w:w="180" w:type="dxa"/>
            <w:vAlign w:val="bottom"/>
          </w:tcPr>
          <w:p>
            <w:pPr>
              <w:jc w:val="right"/>
              <w:ind w:right="28"/>
              <w:spacing w:after="0"/>
              <w:rPr>
                <w:sz w:val="20"/>
                <w:szCs w:val="20"/>
                <w:color w:val="auto"/>
              </w:rPr>
            </w:pPr>
            <w:r>
              <w:rPr>
                <w:rFonts w:ascii="Arial" w:cs="Arial" w:eastAsia="Arial" w:hAnsi="Arial"/>
                <w:sz w:val="14"/>
                <w:szCs w:val="14"/>
                <w:b w:val="1"/>
                <w:bCs w:val="1"/>
                <w:color w:val="auto"/>
                <w:w w:val="76"/>
              </w:rPr>
              <w:t>$</w:t>
            </w:r>
          </w:p>
        </w:tc>
        <w:tc>
          <w:tcPr>
            <w:tcW w:w="880" w:type="dxa"/>
            <w:vAlign w:val="bottom"/>
          </w:tcPr>
          <w:p>
            <w:pPr>
              <w:jc w:val="right"/>
              <w:ind w:right="128"/>
              <w:spacing w:after="0"/>
              <w:rPr>
                <w:sz w:val="20"/>
                <w:szCs w:val="20"/>
                <w:color w:val="auto"/>
              </w:rPr>
            </w:pPr>
            <w:r>
              <w:rPr>
                <w:rFonts w:ascii="Arial" w:cs="Arial" w:eastAsia="Arial" w:hAnsi="Arial"/>
                <w:sz w:val="14"/>
                <w:szCs w:val="14"/>
                <w:b w:val="1"/>
                <w:bCs w:val="1"/>
                <w:color w:val="auto"/>
              </w:rPr>
              <w:t>190.69</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4.1 %</w:t>
            </w:r>
          </w:p>
        </w:tc>
      </w:tr>
      <w:tr>
        <w:trPr>
          <w:trHeight w:val="418"/>
        </w:trPr>
        <w:tc>
          <w:tcPr>
            <w:tcW w:w="2860" w:type="dxa"/>
            <w:vAlign w:val="bottom"/>
          </w:tcPr>
          <w:p>
            <w:pPr>
              <w:spacing w:after="0"/>
              <w:rPr>
                <w:sz w:val="20"/>
                <w:szCs w:val="20"/>
                <w:color w:val="auto"/>
              </w:rPr>
            </w:pPr>
            <w:r>
              <w:rPr>
                <w:rFonts w:ascii="Arial" w:cs="Arial" w:eastAsia="Arial" w:hAnsi="Arial"/>
                <w:sz w:val="14"/>
                <w:szCs w:val="14"/>
                <w:b w:val="1"/>
                <w:bCs w:val="1"/>
                <w:color w:val="auto"/>
              </w:rPr>
              <w:t>Worldwide</w:t>
            </w:r>
            <w:r>
              <w:rPr>
                <w:rFonts w:ascii="Arial" w:cs="Arial" w:eastAsia="Arial" w:hAnsi="Arial"/>
                <w:sz w:val="18"/>
                <w:szCs w:val="18"/>
                <w:b w:val="1"/>
                <w:bCs w:val="1"/>
                <w:color w:val="auto"/>
                <w:vertAlign w:val="superscript"/>
              </w:rPr>
              <w:t>2</w:t>
            </w:r>
          </w:p>
        </w:tc>
        <w:tc>
          <w:tcPr>
            <w:tcW w:w="1480" w:type="dxa"/>
            <w:vAlign w:val="bottom"/>
            <w:gridSpan w:val="5"/>
          </w:tcPr>
          <w:p>
            <w:pPr>
              <w:jc w:val="right"/>
              <w:ind w:right="100"/>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jc w:val="right"/>
              <w:ind w:right="108"/>
              <w:spacing w:after="0"/>
              <w:rPr>
                <w:sz w:val="20"/>
                <w:szCs w:val="20"/>
                <w:color w:val="auto"/>
              </w:rPr>
            </w:pPr>
            <w:r>
              <w:rPr>
                <w:rFonts w:ascii="Arial" w:cs="Arial" w:eastAsia="Arial" w:hAnsi="Arial"/>
                <w:sz w:val="14"/>
                <w:szCs w:val="14"/>
                <w:b w:val="1"/>
                <w:bCs w:val="1"/>
                <w:color w:val="auto"/>
              </w:rPr>
              <w:t>155.02</w:t>
            </w:r>
          </w:p>
        </w:tc>
        <w:tc>
          <w:tcPr>
            <w:tcW w:w="1040" w:type="dxa"/>
            <w:vAlign w:val="bottom"/>
            <w:gridSpan w:val="2"/>
          </w:tcPr>
          <w:p>
            <w:pPr>
              <w:ind w:left="660"/>
              <w:spacing w:after="0"/>
              <w:rPr>
                <w:sz w:val="20"/>
                <w:szCs w:val="20"/>
                <w:color w:val="auto"/>
              </w:rPr>
            </w:pPr>
            <w:r>
              <w:rPr>
                <w:rFonts w:ascii="Arial" w:cs="Arial" w:eastAsia="Arial" w:hAnsi="Arial"/>
                <w:sz w:val="14"/>
                <w:szCs w:val="14"/>
                <w:b w:val="1"/>
                <w:bCs w:val="1"/>
                <w:color w:val="auto"/>
              </w:rPr>
              <w:t>4.4 %</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80" w:type="dxa"/>
            <w:vAlign w:val="bottom"/>
          </w:tcPr>
          <w:p>
            <w:pPr>
              <w:jc w:val="right"/>
              <w:ind w:right="208"/>
              <w:spacing w:after="0"/>
              <w:rPr>
                <w:sz w:val="20"/>
                <w:szCs w:val="20"/>
                <w:color w:val="auto"/>
              </w:rPr>
            </w:pPr>
            <w:r>
              <w:rPr>
                <w:rFonts w:ascii="Arial" w:cs="Arial" w:eastAsia="Arial" w:hAnsi="Arial"/>
                <w:sz w:val="14"/>
                <w:szCs w:val="14"/>
                <w:b w:val="1"/>
                <w:bCs w:val="1"/>
                <w:color w:val="auto"/>
              </w:rPr>
              <w:t>66.8 %</w:t>
            </w:r>
          </w:p>
        </w:tc>
        <w:tc>
          <w:tcPr>
            <w:tcW w:w="1460" w:type="dxa"/>
            <w:vAlign w:val="bottom"/>
            <w:gridSpan w:val="4"/>
          </w:tcPr>
          <w:p>
            <w:pPr>
              <w:ind w:left="480"/>
              <w:spacing w:after="0"/>
              <w:rPr>
                <w:sz w:val="20"/>
                <w:szCs w:val="20"/>
                <w:color w:val="auto"/>
              </w:rPr>
            </w:pPr>
            <w:r>
              <w:rPr>
                <w:rFonts w:ascii="Arial" w:cs="Arial" w:eastAsia="Arial" w:hAnsi="Arial"/>
                <w:sz w:val="14"/>
                <w:szCs w:val="14"/>
                <w:b w:val="1"/>
                <w:bCs w:val="1"/>
                <w:color w:val="auto"/>
              </w:rPr>
              <w:t>0.2 % pts.</w:t>
            </w:r>
          </w:p>
        </w:tc>
        <w:tc>
          <w:tcPr>
            <w:tcW w:w="180" w:type="dxa"/>
            <w:vAlign w:val="bottom"/>
          </w:tcPr>
          <w:p>
            <w:pPr>
              <w:jc w:val="right"/>
              <w:ind w:right="28"/>
              <w:spacing w:after="0"/>
              <w:rPr>
                <w:sz w:val="20"/>
                <w:szCs w:val="20"/>
                <w:color w:val="auto"/>
              </w:rPr>
            </w:pPr>
            <w:r>
              <w:rPr>
                <w:rFonts w:ascii="Arial" w:cs="Arial" w:eastAsia="Arial" w:hAnsi="Arial"/>
                <w:sz w:val="14"/>
                <w:szCs w:val="14"/>
                <w:b w:val="1"/>
                <w:bCs w:val="1"/>
                <w:color w:val="auto"/>
                <w:w w:val="76"/>
              </w:rPr>
              <w:t>$</w:t>
            </w:r>
          </w:p>
        </w:tc>
        <w:tc>
          <w:tcPr>
            <w:tcW w:w="880" w:type="dxa"/>
            <w:vAlign w:val="bottom"/>
          </w:tcPr>
          <w:p>
            <w:pPr>
              <w:jc w:val="right"/>
              <w:ind w:right="128"/>
              <w:spacing w:after="0"/>
              <w:rPr>
                <w:sz w:val="20"/>
                <w:szCs w:val="20"/>
                <w:color w:val="auto"/>
              </w:rPr>
            </w:pPr>
            <w:r>
              <w:rPr>
                <w:rFonts w:ascii="Arial" w:cs="Arial" w:eastAsia="Arial" w:hAnsi="Arial"/>
                <w:sz w:val="14"/>
                <w:szCs w:val="14"/>
                <w:b w:val="1"/>
                <w:bCs w:val="1"/>
                <w:color w:val="auto"/>
              </w:rPr>
              <w:t>231.93</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4.0 %</w:t>
            </w:r>
          </w:p>
        </w:tc>
      </w:tr>
      <w:tr>
        <w:trPr>
          <w:trHeight w:val="513"/>
        </w:trPr>
        <w:tc>
          <w:tcPr>
            <w:tcW w:w="2860" w:type="dxa"/>
            <w:vAlign w:val="bottom"/>
            <w:tcBorders>
              <w:bottom w:val="single" w:sz="8" w:color="auto"/>
            </w:tcBorders>
          </w:tcPr>
          <w:p>
            <w:pPr>
              <w:spacing w:after="0"/>
              <w:rPr>
                <w:sz w:val="24"/>
                <w:szCs w:val="24"/>
                <w:color w:val="auto"/>
              </w:rPr>
            </w:pPr>
          </w:p>
        </w:tc>
        <w:tc>
          <w:tcPr>
            <w:tcW w:w="4780" w:type="dxa"/>
            <w:vAlign w:val="bottom"/>
            <w:tcBorders>
              <w:bottom w:val="single" w:sz="8" w:color="auto"/>
            </w:tcBorders>
            <w:gridSpan w:val="11"/>
          </w:tcPr>
          <w:p>
            <w:pPr>
              <w:jc w:val="right"/>
              <w:ind w:right="308"/>
              <w:spacing w:after="0"/>
              <w:rPr>
                <w:sz w:val="20"/>
                <w:szCs w:val="20"/>
                <w:color w:val="auto"/>
              </w:rPr>
            </w:pPr>
            <w:r>
              <w:rPr>
                <w:rFonts w:ascii="Arial" w:cs="Arial" w:eastAsia="Arial" w:hAnsi="Arial"/>
                <w:sz w:val="14"/>
                <w:szCs w:val="14"/>
                <w:b w:val="1"/>
                <w:bCs w:val="1"/>
                <w:color w:val="auto"/>
              </w:rPr>
              <w:t>Comparable Systemwide International Properties</w:t>
            </w:r>
          </w:p>
        </w:tc>
        <w:tc>
          <w:tcPr>
            <w:tcW w:w="1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r>
        <w:trPr>
          <w:trHeight w:val="196"/>
        </w:trPr>
        <w:tc>
          <w:tcPr>
            <w:tcW w:w="28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4960" w:type="dxa"/>
            <w:vAlign w:val="bottom"/>
            <w:tcBorders>
              <w:bottom w:val="single" w:sz="8" w:color="auto"/>
            </w:tcBorders>
            <w:gridSpan w:val="11"/>
          </w:tcPr>
          <w:p>
            <w:pPr>
              <w:ind w:left="520"/>
              <w:spacing w:after="0"/>
              <w:rPr>
                <w:sz w:val="20"/>
                <w:szCs w:val="20"/>
                <w:color w:val="auto"/>
              </w:rPr>
            </w:pPr>
            <w:r>
              <w:rPr>
                <w:rFonts w:ascii="Arial" w:cs="Arial" w:eastAsia="Arial" w:hAnsi="Arial"/>
                <w:sz w:val="14"/>
                <w:szCs w:val="14"/>
                <w:b w:val="1"/>
                <w:bCs w:val="1"/>
                <w:color w:val="auto"/>
              </w:rPr>
              <w:t>Three Months Ended March 31, 2026 and March 31, 2025</w:t>
            </w:r>
          </w:p>
        </w:tc>
        <w:tc>
          <w:tcPr>
            <w:tcW w:w="1020" w:type="dxa"/>
            <w:vAlign w:val="bottom"/>
            <w:tcBorders>
              <w:bottom w:val="single" w:sz="8" w:color="auto"/>
            </w:tcBorders>
          </w:tcPr>
          <w:p>
            <w:pPr>
              <w:spacing w:after="0"/>
              <w:rPr>
                <w:sz w:val="17"/>
                <w:szCs w:val="17"/>
                <w:color w:val="auto"/>
              </w:rPr>
            </w:pPr>
          </w:p>
        </w:tc>
      </w:tr>
      <w:tr>
        <w:trPr>
          <w:trHeight w:val="195"/>
        </w:trPr>
        <w:tc>
          <w:tcPr>
            <w:tcW w:w="28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2"/>
          </w:tcPr>
          <w:p>
            <w:pPr>
              <w:ind w:left="540"/>
              <w:spacing w:after="0"/>
              <w:rPr>
                <w:sz w:val="20"/>
                <w:szCs w:val="20"/>
                <w:color w:val="auto"/>
              </w:rPr>
            </w:pPr>
            <w:r>
              <w:rPr>
                <w:rFonts w:ascii="Arial" w:cs="Arial" w:eastAsia="Arial" w:hAnsi="Arial"/>
                <w:sz w:val="14"/>
                <w:szCs w:val="14"/>
                <w:b w:val="1"/>
                <w:bCs w:val="1"/>
                <w:color w:val="auto"/>
              </w:rPr>
              <w:t>RevPAR</w:t>
            </w:r>
          </w:p>
        </w:tc>
        <w:tc>
          <w:tcPr>
            <w:tcW w:w="100" w:type="dxa"/>
            <w:vAlign w:val="bottom"/>
            <w:gridSpan w:val="2"/>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2"/>
          </w:tcPr>
          <w:p>
            <w:pPr>
              <w:ind w:left="880"/>
              <w:spacing w:after="0"/>
              <w:rPr>
                <w:sz w:val="20"/>
                <w:szCs w:val="20"/>
                <w:color w:val="auto"/>
              </w:rPr>
            </w:pPr>
            <w:r>
              <w:rPr>
                <w:rFonts w:ascii="Arial" w:cs="Arial" w:eastAsia="Arial" w:hAnsi="Arial"/>
                <w:sz w:val="14"/>
                <w:szCs w:val="14"/>
                <w:b w:val="1"/>
                <w:bCs w:val="1"/>
                <w:color w:val="auto"/>
              </w:rPr>
              <w:t>Occupancy</w:t>
            </w:r>
          </w:p>
        </w:tc>
        <w:tc>
          <w:tcPr>
            <w:tcW w:w="100" w:type="dxa"/>
            <w:vAlign w:val="bottom"/>
            <w:gridSpan w:val="2"/>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2"/>
          </w:tcPr>
          <w:p>
            <w:pPr>
              <w:jc w:val="right"/>
              <w:ind w:right="328"/>
              <w:spacing w:after="0"/>
              <w:rPr>
                <w:sz w:val="20"/>
                <w:szCs w:val="20"/>
                <w:color w:val="auto"/>
              </w:rPr>
            </w:pPr>
            <w:r>
              <w:rPr>
                <w:rFonts w:ascii="Arial" w:cs="Arial" w:eastAsia="Arial" w:hAnsi="Arial"/>
                <w:sz w:val="14"/>
                <w:szCs w:val="14"/>
                <w:b w:val="1"/>
                <w:bCs w:val="1"/>
                <w:color w:val="auto"/>
              </w:rPr>
              <w:t>Average Daily Rate</w:t>
            </w:r>
          </w:p>
        </w:tc>
      </w:tr>
      <w:tr>
        <w:trPr>
          <w:trHeight w:val="197"/>
        </w:trPr>
        <w:tc>
          <w:tcPr>
            <w:tcW w:w="28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Region</w:t>
            </w:r>
          </w:p>
        </w:tc>
        <w:tc>
          <w:tcPr>
            <w:tcW w:w="116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2026</w:t>
            </w:r>
          </w:p>
        </w:tc>
        <w:tc>
          <w:tcPr>
            <w:tcW w:w="100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vs. 2025</w:t>
            </w:r>
          </w:p>
        </w:tc>
        <w:tc>
          <w:tcPr>
            <w:tcW w:w="100" w:type="dxa"/>
            <w:vAlign w:val="bottom"/>
            <w:gridSpan w:val="2"/>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2026</w:t>
            </w:r>
          </w:p>
        </w:tc>
        <w:tc>
          <w:tcPr>
            <w:tcW w:w="134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vs. 2025</w:t>
            </w:r>
          </w:p>
        </w:tc>
        <w:tc>
          <w:tcPr>
            <w:tcW w:w="100" w:type="dxa"/>
            <w:vAlign w:val="bottom"/>
            <w:gridSpan w:val="2"/>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2026</w:t>
            </w:r>
          </w:p>
        </w:tc>
        <w:tc>
          <w:tcPr>
            <w:tcW w:w="10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vs. 2025</w:t>
            </w:r>
          </w:p>
        </w:tc>
      </w:tr>
      <w:tr>
        <w:trPr>
          <w:trHeight w:val="189"/>
        </w:trPr>
        <w:tc>
          <w:tcPr>
            <w:tcW w:w="2860" w:type="dxa"/>
            <w:vAlign w:val="bottom"/>
          </w:tcPr>
          <w:p>
            <w:pPr>
              <w:ind w:left="20"/>
              <w:spacing w:after="0"/>
              <w:rPr>
                <w:sz w:val="20"/>
                <w:szCs w:val="20"/>
                <w:color w:val="auto"/>
              </w:rPr>
            </w:pPr>
            <w:r>
              <w:rPr>
                <w:rFonts w:ascii="Arial" w:cs="Arial" w:eastAsia="Arial" w:hAnsi="Arial"/>
                <w:sz w:val="14"/>
                <w:szCs w:val="14"/>
                <w:color w:val="auto"/>
              </w:rPr>
              <w:t>Europe</w:t>
            </w:r>
          </w:p>
        </w:tc>
        <w:tc>
          <w:tcPr>
            <w:tcW w:w="1480" w:type="dxa"/>
            <w:vAlign w:val="bottom"/>
            <w:gridSpan w:val="5"/>
          </w:tcPr>
          <w:p>
            <w:pPr>
              <w:jc w:val="right"/>
              <w:ind w:right="12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28"/>
              <w:spacing w:after="0"/>
              <w:rPr>
                <w:sz w:val="20"/>
                <w:szCs w:val="20"/>
                <w:color w:val="auto"/>
              </w:rPr>
            </w:pPr>
            <w:r>
              <w:rPr>
                <w:rFonts w:ascii="Arial" w:cs="Arial" w:eastAsia="Arial" w:hAnsi="Arial"/>
                <w:sz w:val="14"/>
                <w:szCs w:val="14"/>
                <w:color w:val="auto"/>
              </w:rPr>
              <w:t>118.31</w:t>
            </w:r>
          </w:p>
        </w:tc>
        <w:tc>
          <w:tcPr>
            <w:tcW w:w="1000" w:type="dxa"/>
            <w:vAlign w:val="bottom"/>
          </w:tcPr>
          <w:p>
            <w:pPr>
              <w:ind w:left="600"/>
              <w:spacing w:after="0"/>
              <w:rPr>
                <w:sz w:val="20"/>
                <w:szCs w:val="20"/>
                <w:color w:val="auto"/>
              </w:rPr>
            </w:pPr>
            <w:r>
              <w:rPr>
                <w:rFonts w:ascii="Arial" w:cs="Arial" w:eastAsia="Arial" w:hAnsi="Arial"/>
                <w:sz w:val="14"/>
                <w:szCs w:val="14"/>
                <w:color w:val="auto"/>
              </w:rPr>
              <w:t>6.6 %</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80" w:type="dxa"/>
            <w:vAlign w:val="bottom"/>
          </w:tcPr>
          <w:p>
            <w:pPr>
              <w:jc w:val="right"/>
              <w:ind w:right="228"/>
              <w:spacing w:after="0"/>
              <w:rPr>
                <w:sz w:val="20"/>
                <w:szCs w:val="20"/>
                <w:color w:val="auto"/>
              </w:rPr>
            </w:pPr>
            <w:r>
              <w:rPr>
                <w:rFonts w:ascii="Arial" w:cs="Arial" w:eastAsia="Arial" w:hAnsi="Arial"/>
                <w:sz w:val="14"/>
                <w:szCs w:val="14"/>
                <w:color w:val="auto"/>
              </w:rPr>
              <w:t>61.2 %</w:t>
            </w:r>
          </w:p>
        </w:tc>
        <w:tc>
          <w:tcPr>
            <w:tcW w:w="1460" w:type="dxa"/>
            <w:vAlign w:val="bottom"/>
            <w:gridSpan w:val="4"/>
          </w:tcPr>
          <w:p>
            <w:pPr>
              <w:ind w:left="460"/>
              <w:spacing w:after="0"/>
              <w:rPr>
                <w:sz w:val="20"/>
                <w:szCs w:val="20"/>
                <w:color w:val="auto"/>
              </w:rPr>
            </w:pPr>
            <w:r>
              <w:rPr>
                <w:rFonts w:ascii="Arial" w:cs="Arial" w:eastAsia="Arial" w:hAnsi="Arial"/>
                <w:sz w:val="14"/>
                <w:szCs w:val="14"/>
                <w:color w:val="auto"/>
              </w:rPr>
              <w:t>1.5 % pts.</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ind w:right="148"/>
              <w:spacing w:after="0"/>
              <w:rPr>
                <w:sz w:val="20"/>
                <w:szCs w:val="20"/>
                <w:color w:val="auto"/>
              </w:rPr>
            </w:pPr>
            <w:r>
              <w:rPr>
                <w:rFonts w:ascii="Arial" w:cs="Arial" w:eastAsia="Arial" w:hAnsi="Arial"/>
                <w:sz w:val="14"/>
                <w:szCs w:val="14"/>
                <w:color w:val="auto"/>
              </w:rPr>
              <w:t>193.41</w:t>
            </w:r>
          </w:p>
        </w:tc>
        <w:tc>
          <w:tcPr>
            <w:tcW w:w="1020" w:type="dxa"/>
            <w:vAlign w:val="bottom"/>
          </w:tcPr>
          <w:p>
            <w:pPr>
              <w:jc w:val="right"/>
              <w:spacing w:after="0"/>
              <w:rPr>
                <w:sz w:val="20"/>
                <w:szCs w:val="20"/>
                <w:color w:val="auto"/>
              </w:rPr>
            </w:pPr>
            <w:r>
              <w:rPr>
                <w:rFonts w:ascii="Arial" w:cs="Arial" w:eastAsia="Arial" w:hAnsi="Arial"/>
                <w:sz w:val="14"/>
                <w:szCs w:val="14"/>
                <w:color w:val="auto"/>
              </w:rPr>
              <w:t>4.0 %</w:t>
            </w:r>
          </w:p>
        </w:tc>
      </w:tr>
      <w:tr>
        <w:trPr>
          <w:trHeight w:val="203"/>
        </w:trPr>
        <w:tc>
          <w:tcPr>
            <w:tcW w:w="2860" w:type="dxa"/>
            <w:vAlign w:val="bottom"/>
          </w:tcPr>
          <w:p>
            <w:pPr>
              <w:ind w:left="20"/>
              <w:spacing w:after="0"/>
              <w:rPr>
                <w:sz w:val="20"/>
                <w:szCs w:val="20"/>
                <w:color w:val="auto"/>
              </w:rPr>
            </w:pPr>
            <w:r>
              <w:rPr>
                <w:rFonts w:ascii="Arial" w:cs="Arial" w:eastAsia="Arial" w:hAnsi="Arial"/>
                <w:sz w:val="14"/>
                <w:szCs w:val="14"/>
                <w:color w:val="auto"/>
              </w:rPr>
              <w:t>Middle East &amp; Africa</w:t>
            </w:r>
          </w:p>
        </w:tc>
        <w:tc>
          <w:tcPr>
            <w:tcW w:w="1480" w:type="dxa"/>
            <w:vAlign w:val="bottom"/>
            <w:gridSpan w:val="5"/>
          </w:tcPr>
          <w:p>
            <w:pPr>
              <w:jc w:val="right"/>
              <w:ind w:right="12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28"/>
              <w:spacing w:after="0"/>
              <w:rPr>
                <w:sz w:val="20"/>
                <w:szCs w:val="20"/>
                <w:color w:val="auto"/>
              </w:rPr>
            </w:pPr>
            <w:r>
              <w:rPr>
                <w:rFonts w:ascii="Arial" w:cs="Arial" w:eastAsia="Arial" w:hAnsi="Arial"/>
                <w:sz w:val="14"/>
                <w:szCs w:val="14"/>
                <w:color w:val="auto"/>
              </w:rPr>
              <w:t>128.54</w:t>
            </w:r>
          </w:p>
        </w:tc>
        <w:tc>
          <w:tcPr>
            <w:tcW w:w="1000" w:type="dxa"/>
            <w:vAlign w:val="bottom"/>
          </w:tcPr>
          <w:p>
            <w:pPr>
              <w:ind w:left="560"/>
              <w:spacing w:after="0"/>
              <w:rPr>
                <w:sz w:val="20"/>
                <w:szCs w:val="20"/>
                <w:color w:val="auto"/>
              </w:rPr>
            </w:pPr>
            <w:r>
              <w:rPr>
                <w:rFonts w:ascii="Arial" w:cs="Arial" w:eastAsia="Arial" w:hAnsi="Arial"/>
                <w:sz w:val="14"/>
                <w:szCs w:val="14"/>
                <w:color w:val="auto"/>
              </w:rPr>
              <w:t>-1.9 %</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80" w:type="dxa"/>
            <w:vAlign w:val="bottom"/>
          </w:tcPr>
          <w:p>
            <w:pPr>
              <w:jc w:val="right"/>
              <w:ind w:right="228"/>
              <w:spacing w:after="0"/>
              <w:rPr>
                <w:sz w:val="20"/>
                <w:szCs w:val="20"/>
                <w:color w:val="auto"/>
              </w:rPr>
            </w:pPr>
            <w:r>
              <w:rPr>
                <w:rFonts w:ascii="Arial" w:cs="Arial" w:eastAsia="Arial" w:hAnsi="Arial"/>
                <w:sz w:val="14"/>
                <w:szCs w:val="14"/>
                <w:color w:val="auto"/>
              </w:rPr>
              <w:t>61.6 %</w:t>
            </w:r>
          </w:p>
        </w:tc>
        <w:tc>
          <w:tcPr>
            <w:tcW w:w="1460" w:type="dxa"/>
            <w:vAlign w:val="bottom"/>
            <w:gridSpan w:val="4"/>
          </w:tcPr>
          <w:p>
            <w:pPr>
              <w:ind w:left="420"/>
              <w:spacing w:after="0"/>
              <w:rPr>
                <w:sz w:val="20"/>
                <w:szCs w:val="20"/>
                <w:color w:val="auto"/>
              </w:rPr>
            </w:pPr>
            <w:r>
              <w:rPr>
                <w:rFonts w:ascii="Arial" w:cs="Arial" w:eastAsia="Arial" w:hAnsi="Arial"/>
                <w:sz w:val="14"/>
                <w:szCs w:val="14"/>
                <w:color w:val="auto"/>
              </w:rPr>
              <w:t>-5.4 % pts.</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ind w:right="148"/>
              <w:spacing w:after="0"/>
              <w:rPr>
                <w:sz w:val="20"/>
                <w:szCs w:val="20"/>
                <w:color w:val="auto"/>
              </w:rPr>
            </w:pPr>
            <w:r>
              <w:rPr>
                <w:rFonts w:ascii="Arial" w:cs="Arial" w:eastAsia="Arial" w:hAnsi="Arial"/>
                <w:sz w:val="14"/>
                <w:szCs w:val="14"/>
                <w:color w:val="auto"/>
              </w:rPr>
              <w:t>208.78</w:t>
            </w:r>
          </w:p>
        </w:tc>
        <w:tc>
          <w:tcPr>
            <w:tcW w:w="1020" w:type="dxa"/>
            <w:vAlign w:val="bottom"/>
          </w:tcPr>
          <w:p>
            <w:pPr>
              <w:jc w:val="right"/>
              <w:spacing w:after="0"/>
              <w:rPr>
                <w:sz w:val="20"/>
                <w:szCs w:val="20"/>
                <w:color w:val="auto"/>
              </w:rPr>
            </w:pPr>
            <w:r>
              <w:rPr>
                <w:rFonts w:ascii="Arial" w:cs="Arial" w:eastAsia="Arial" w:hAnsi="Arial"/>
                <w:sz w:val="14"/>
                <w:szCs w:val="14"/>
                <w:color w:val="auto"/>
              </w:rPr>
              <w:t>6.7 %</w:t>
            </w:r>
          </w:p>
        </w:tc>
      </w:tr>
      <w:tr>
        <w:trPr>
          <w:trHeight w:val="202"/>
        </w:trPr>
        <w:tc>
          <w:tcPr>
            <w:tcW w:w="2860" w:type="dxa"/>
            <w:vAlign w:val="bottom"/>
          </w:tcPr>
          <w:p>
            <w:pPr>
              <w:ind w:left="20"/>
              <w:spacing w:after="0"/>
              <w:rPr>
                <w:sz w:val="20"/>
                <w:szCs w:val="20"/>
                <w:color w:val="auto"/>
              </w:rPr>
            </w:pPr>
            <w:r>
              <w:rPr>
                <w:rFonts w:ascii="Arial" w:cs="Arial" w:eastAsia="Arial" w:hAnsi="Arial"/>
                <w:sz w:val="14"/>
                <w:szCs w:val="14"/>
                <w:color w:val="auto"/>
              </w:rPr>
              <w:t>Greater China</w:t>
            </w:r>
          </w:p>
        </w:tc>
        <w:tc>
          <w:tcPr>
            <w:tcW w:w="1480" w:type="dxa"/>
            <w:vAlign w:val="bottom"/>
            <w:gridSpan w:val="5"/>
          </w:tcPr>
          <w:p>
            <w:pPr>
              <w:jc w:val="right"/>
              <w:ind w:right="12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28"/>
              <w:spacing w:after="0"/>
              <w:rPr>
                <w:sz w:val="20"/>
                <w:szCs w:val="20"/>
                <w:color w:val="auto"/>
              </w:rPr>
            </w:pPr>
            <w:r>
              <w:rPr>
                <w:rFonts w:ascii="Arial" w:cs="Arial" w:eastAsia="Arial" w:hAnsi="Arial"/>
                <w:sz w:val="14"/>
                <w:szCs w:val="14"/>
                <w:color w:val="auto"/>
              </w:rPr>
              <w:t>70.68</w:t>
            </w:r>
          </w:p>
        </w:tc>
        <w:tc>
          <w:tcPr>
            <w:tcW w:w="1000" w:type="dxa"/>
            <w:vAlign w:val="bottom"/>
          </w:tcPr>
          <w:p>
            <w:pPr>
              <w:ind w:left="600"/>
              <w:spacing w:after="0"/>
              <w:rPr>
                <w:sz w:val="20"/>
                <w:szCs w:val="20"/>
                <w:color w:val="auto"/>
              </w:rPr>
            </w:pPr>
            <w:r>
              <w:rPr>
                <w:rFonts w:ascii="Arial" w:cs="Arial" w:eastAsia="Arial" w:hAnsi="Arial"/>
                <w:sz w:val="14"/>
                <w:szCs w:val="14"/>
                <w:color w:val="auto"/>
              </w:rPr>
              <w:t>5.7 %</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80" w:type="dxa"/>
            <w:vAlign w:val="bottom"/>
          </w:tcPr>
          <w:p>
            <w:pPr>
              <w:jc w:val="right"/>
              <w:ind w:right="228"/>
              <w:spacing w:after="0"/>
              <w:rPr>
                <w:sz w:val="20"/>
                <w:szCs w:val="20"/>
                <w:color w:val="auto"/>
              </w:rPr>
            </w:pPr>
            <w:r>
              <w:rPr>
                <w:rFonts w:ascii="Arial" w:cs="Arial" w:eastAsia="Arial" w:hAnsi="Arial"/>
                <w:sz w:val="14"/>
                <w:szCs w:val="14"/>
                <w:color w:val="auto"/>
              </w:rPr>
              <w:t>63.1 %</w:t>
            </w:r>
          </w:p>
        </w:tc>
        <w:tc>
          <w:tcPr>
            <w:tcW w:w="1460" w:type="dxa"/>
            <w:vAlign w:val="bottom"/>
            <w:gridSpan w:val="4"/>
          </w:tcPr>
          <w:p>
            <w:pPr>
              <w:ind w:left="460"/>
              <w:spacing w:after="0"/>
              <w:rPr>
                <w:sz w:val="20"/>
                <w:szCs w:val="20"/>
                <w:color w:val="auto"/>
              </w:rPr>
            </w:pPr>
            <w:r>
              <w:rPr>
                <w:rFonts w:ascii="Arial" w:cs="Arial" w:eastAsia="Arial" w:hAnsi="Arial"/>
                <w:sz w:val="14"/>
                <w:szCs w:val="14"/>
                <w:color w:val="auto"/>
              </w:rPr>
              <w:t>1.1 % pts.</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ind w:right="148"/>
              <w:spacing w:after="0"/>
              <w:rPr>
                <w:sz w:val="20"/>
                <w:szCs w:val="20"/>
                <w:color w:val="auto"/>
              </w:rPr>
            </w:pPr>
            <w:r>
              <w:rPr>
                <w:rFonts w:ascii="Arial" w:cs="Arial" w:eastAsia="Arial" w:hAnsi="Arial"/>
                <w:sz w:val="14"/>
                <w:szCs w:val="14"/>
                <w:color w:val="auto"/>
              </w:rPr>
              <w:t>111.99</w:t>
            </w:r>
          </w:p>
        </w:tc>
        <w:tc>
          <w:tcPr>
            <w:tcW w:w="1020" w:type="dxa"/>
            <w:vAlign w:val="bottom"/>
          </w:tcPr>
          <w:p>
            <w:pPr>
              <w:jc w:val="right"/>
              <w:spacing w:after="0"/>
              <w:rPr>
                <w:sz w:val="20"/>
                <w:szCs w:val="20"/>
                <w:color w:val="auto"/>
              </w:rPr>
            </w:pPr>
            <w:r>
              <w:rPr>
                <w:rFonts w:ascii="Arial" w:cs="Arial" w:eastAsia="Arial" w:hAnsi="Arial"/>
                <w:sz w:val="14"/>
                <w:szCs w:val="14"/>
                <w:color w:val="auto"/>
              </w:rPr>
              <w:t>3.9 %</w:t>
            </w:r>
          </w:p>
        </w:tc>
      </w:tr>
      <w:tr>
        <w:trPr>
          <w:trHeight w:val="203"/>
        </w:trPr>
        <w:tc>
          <w:tcPr>
            <w:tcW w:w="2860" w:type="dxa"/>
            <w:vAlign w:val="bottom"/>
          </w:tcPr>
          <w:p>
            <w:pPr>
              <w:ind w:left="20"/>
              <w:spacing w:after="0"/>
              <w:rPr>
                <w:sz w:val="20"/>
                <w:szCs w:val="20"/>
                <w:color w:val="auto"/>
              </w:rPr>
            </w:pPr>
            <w:r>
              <w:rPr>
                <w:rFonts w:ascii="Arial" w:cs="Arial" w:eastAsia="Arial" w:hAnsi="Arial"/>
                <w:sz w:val="14"/>
                <w:szCs w:val="14"/>
                <w:color w:val="auto"/>
              </w:rPr>
              <w:t>Asia Pacific excluding China</w:t>
            </w:r>
          </w:p>
        </w:tc>
        <w:tc>
          <w:tcPr>
            <w:tcW w:w="1480" w:type="dxa"/>
            <w:vAlign w:val="bottom"/>
            <w:gridSpan w:val="5"/>
          </w:tcPr>
          <w:p>
            <w:pPr>
              <w:jc w:val="right"/>
              <w:ind w:right="12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28"/>
              <w:spacing w:after="0"/>
              <w:rPr>
                <w:sz w:val="20"/>
                <w:szCs w:val="20"/>
                <w:color w:val="auto"/>
              </w:rPr>
            </w:pPr>
            <w:r>
              <w:rPr>
                <w:rFonts w:ascii="Arial" w:cs="Arial" w:eastAsia="Arial" w:hAnsi="Arial"/>
                <w:sz w:val="14"/>
                <w:szCs w:val="14"/>
                <w:color w:val="auto"/>
              </w:rPr>
              <w:t>130.93</w:t>
            </w:r>
          </w:p>
        </w:tc>
        <w:tc>
          <w:tcPr>
            <w:tcW w:w="1000" w:type="dxa"/>
            <w:vAlign w:val="bottom"/>
          </w:tcPr>
          <w:p>
            <w:pPr>
              <w:ind w:left="600"/>
              <w:spacing w:after="0"/>
              <w:rPr>
                <w:sz w:val="20"/>
                <w:szCs w:val="20"/>
                <w:color w:val="auto"/>
              </w:rPr>
            </w:pPr>
            <w:r>
              <w:rPr>
                <w:rFonts w:ascii="Arial" w:cs="Arial" w:eastAsia="Arial" w:hAnsi="Arial"/>
                <w:sz w:val="14"/>
                <w:szCs w:val="14"/>
                <w:color w:val="auto"/>
              </w:rPr>
              <w:t>7.3 %</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80" w:type="dxa"/>
            <w:vAlign w:val="bottom"/>
          </w:tcPr>
          <w:p>
            <w:pPr>
              <w:jc w:val="right"/>
              <w:ind w:right="228"/>
              <w:spacing w:after="0"/>
              <w:rPr>
                <w:sz w:val="20"/>
                <w:szCs w:val="20"/>
                <w:color w:val="auto"/>
              </w:rPr>
            </w:pPr>
            <w:r>
              <w:rPr>
                <w:rFonts w:ascii="Arial" w:cs="Arial" w:eastAsia="Arial" w:hAnsi="Arial"/>
                <w:sz w:val="14"/>
                <w:szCs w:val="14"/>
                <w:color w:val="auto"/>
              </w:rPr>
              <w:t>70.2 %</w:t>
            </w:r>
          </w:p>
        </w:tc>
        <w:tc>
          <w:tcPr>
            <w:tcW w:w="1460" w:type="dxa"/>
            <w:vAlign w:val="bottom"/>
            <w:gridSpan w:val="4"/>
          </w:tcPr>
          <w:p>
            <w:pPr>
              <w:ind w:left="460"/>
              <w:spacing w:after="0"/>
              <w:rPr>
                <w:sz w:val="20"/>
                <w:szCs w:val="20"/>
                <w:color w:val="auto"/>
              </w:rPr>
            </w:pPr>
            <w:r>
              <w:rPr>
                <w:rFonts w:ascii="Arial" w:cs="Arial" w:eastAsia="Arial" w:hAnsi="Arial"/>
                <w:sz w:val="14"/>
                <w:szCs w:val="14"/>
                <w:color w:val="auto"/>
              </w:rPr>
              <w:t>2.2 % pts.</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ind w:right="148"/>
              <w:spacing w:after="0"/>
              <w:rPr>
                <w:sz w:val="20"/>
                <w:szCs w:val="20"/>
                <w:color w:val="auto"/>
              </w:rPr>
            </w:pPr>
            <w:r>
              <w:rPr>
                <w:rFonts w:ascii="Arial" w:cs="Arial" w:eastAsia="Arial" w:hAnsi="Arial"/>
                <w:sz w:val="14"/>
                <w:szCs w:val="14"/>
                <w:color w:val="auto"/>
              </w:rPr>
              <w:t>186.60</w:t>
            </w:r>
          </w:p>
        </w:tc>
        <w:tc>
          <w:tcPr>
            <w:tcW w:w="1020" w:type="dxa"/>
            <w:vAlign w:val="bottom"/>
          </w:tcPr>
          <w:p>
            <w:pPr>
              <w:jc w:val="right"/>
              <w:spacing w:after="0"/>
              <w:rPr>
                <w:sz w:val="20"/>
                <w:szCs w:val="20"/>
                <w:color w:val="auto"/>
              </w:rPr>
            </w:pPr>
            <w:r>
              <w:rPr>
                <w:rFonts w:ascii="Arial" w:cs="Arial" w:eastAsia="Arial" w:hAnsi="Arial"/>
                <w:sz w:val="14"/>
                <w:szCs w:val="14"/>
                <w:color w:val="auto"/>
              </w:rPr>
              <w:t>3.9 %</w:t>
            </w:r>
          </w:p>
        </w:tc>
      </w:tr>
      <w:tr>
        <w:trPr>
          <w:trHeight w:val="203"/>
        </w:trPr>
        <w:tc>
          <w:tcPr>
            <w:tcW w:w="2860" w:type="dxa"/>
            <w:vAlign w:val="bottom"/>
          </w:tcPr>
          <w:p>
            <w:pPr>
              <w:ind w:left="20"/>
              <w:spacing w:after="0"/>
              <w:rPr>
                <w:sz w:val="20"/>
                <w:szCs w:val="20"/>
                <w:color w:val="auto"/>
              </w:rPr>
            </w:pPr>
            <w:r>
              <w:rPr>
                <w:rFonts w:ascii="Arial" w:cs="Arial" w:eastAsia="Arial" w:hAnsi="Arial"/>
                <w:sz w:val="14"/>
                <w:szCs w:val="14"/>
                <w:color w:val="auto"/>
              </w:rPr>
              <w:t>Caribbean &amp; Latin America</w:t>
            </w:r>
          </w:p>
        </w:tc>
        <w:tc>
          <w:tcPr>
            <w:tcW w:w="1480" w:type="dxa"/>
            <w:vAlign w:val="bottom"/>
            <w:gridSpan w:val="5"/>
          </w:tcPr>
          <w:p>
            <w:pPr>
              <w:jc w:val="right"/>
              <w:ind w:right="12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28"/>
              <w:spacing w:after="0"/>
              <w:rPr>
                <w:sz w:val="20"/>
                <w:szCs w:val="20"/>
                <w:color w:val="auto"/>
              </w:rPr>
            </w:pPr>
            <w:r>
              <w:rPr>
                <w:rFonts w:ascii="Arial" w:cs="Arial" w:eastAsia="Arial" w:hAnsi="Arial"/>
                <w:sz w:val="14"/>
                <w:szCs w:val="14"/>
                <w:color w:val="auto"/>
              </w:rPr>
              <w:t>139.29</w:t>
            </w:r>
          </w:p>
        </w:tc>
        <w:tc>
          <w:tcPr>
            <w:tcW w:w="1000" w:type="dxa"/>
            <w:vAlign w:val="bottom"/>
          </w:tcPr>
          <w:p>
            <w:pPr>
              <w:ind w:left="600"/>
              <w:spacing w:after="0"/>
              <w:rPr>
                <w:sz w:val="20"/>
                <w:szCs w:val="20"/>
                <w:color w:val="auto"/>
              </w:rPr>
            </w:pPr>
            <w:r>
              <w:rPr>
                <w:rFonts w:ascii="Arial" w:cs="Arial" w:eastAsia="Arial" w:hAnsi="Arial"/>
                <w:sz w:val="14"/>
                <w:szCs w:val="14"/>
                <w:color w:val="auto"/>
              </w:rPr>
              <w:t>2.0 %</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80" w:type="dxa"/>
            <w:vAlign w:val="bottom"/>
          </w:tcPr>
          <w:p>
            <w:pPr>
              <w:jc w:val="right"/>
              <w:ind w:right="228"/>
              <w:spacing w:after="0"/>
              <w:rPr>
                <w:sz w:val="20"/>
                <w:szCs w:val="20"/>
                <w:color w:val="auto"/>
              </w:rPr>
            </w:pPr>
            <w:r>
              <w:rPr>
                <w:rFonts w:ascii="Arial" w:cs="Arial" w:eastAsia="Arial" w:hAnsi="Arial"/>
                <w:sz w:val="14"/>
                <w:szCs w:val="14"/>
                <w:color w:val="auto"/>
              </w:rPr>
              <w:t>63.0 %</w:t>
            </w:r>
          </w:p>
        </w:tc>
        <w:tc>
          <w:tcPr>
            <w:tcW w:w="1460" w:type="dxa"/>
            <w:vAlign w:val="bottom"/>
            <w:gridSpan w:val="4"/>
          </w:tcPr>
          <w:p>
            <w:pPr>
              <w:ind w:left="460"/>
              <w:spacing w:after="0"/>
              <w:rPr>
                <w:sz w:val="20"/>
                <w:szCs w:val="20"/>
                <w:color w:val="auto"/>
              </w:rPr>
            </w:pPr>
            <w:r>
              <w:rPr>
                <w:rFonts w:ascii="Arial" w:cs="Arial" w:eastAsia="Arial" w:hAnsi="Arial"/>
                <w:sz w:val="14"/>
                <w:szCs w:val="14"/>
                <w:color w:val="auto"/>
              </w:rPr>
              <w:t>1.4 % pts.</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ind w:right="148"/>
              <w:spacing w:after="0"/>
              <w:rPr>
                <w:sz w:val="20"/>
                <w:szCs w:val="20"/>
                <w:color w:val="auto"/>
              </w:rPr>
            </w:pPr>
            <w:r>
              <w:rPr>
                <w:rFonts w:ascii="Arial" w:cs="Arial" w:eastAsia="Arial" w:hAnsi="Arial"/>
                <w:sz w:val="14"/>
                <w:szCs w:val="14"/>
                <w:color w:val="auto"/>
              </w:rPr>
              <w:t>221.24</w:t>
            </w:r>
          </w:p>
        </w:tc>
        <w:tc>
          <w:tcPr>
            <w:tcW w:w="1020" w:type="dxa"/>
            <w:vAlign w:val="bottom"/>
          </w:tcPr>
          <w:p>
            <w:pPr>
              <w:jc w:val="right"/>
              <w:spacing w:after="0"/>
              <w:rPr>
                <w:sz w:val="20"/>
                <w:szCs w:val="20"/>
                <w:color w:val="auto"/>
              </w:rPr>
            </w:pPr>
            <w:r>
              <w:rPr>
                <w:rFonts w:ascii="Arial" w:cs="Arial" w:eastAsia="Arial" w:hAnsi="Arial"/>
                <w:sz w:val="14"/>
                <w:szCs w:val="14"/>
                <w:color w:val="auto"/>
              </w:rPr>
              <w:t>-0.3 %</w:t>
            </w:r>
          </w:p>
        </w:tc>
      </w:tr>
      <w:tr>
        <w:trPr>
          <w:trHeight w:val="480"/>
        </w:trPr>
        <w:tc>
          <w:tcPr>
            <w:tcW w:w="2860" w:type="dxa"/>
            <w:vAlign w:val="bottom"/>
          </w:tcPr>
          <w:p>
            <w:pPr>
              <w:ind w:left="20"/>
              <w:spacing w:after="0"/>
              <w:rPr>
                <w:sz w:val="20"/>
                <w:szCs w:val="20"/>
                <w:color w:val="auto"/>
              </w:rPr>
            </w:pPr>
            <w:r>
              <w:rPr>
                <w:rFonts w:ascii="Arial" w:cs="Arial" w:eastAsia="Arial" w:hAnsi="Arial"/>
                <w:sz w:val="14"/>
                <w:szCs w:val="14"/>
                <w:b w:val="1"/>
                <w:bCs w:val="1"/>
                <w:color w:val="auto"/>
              </w:rPr>
              <w:t>International - All</w:t>
            </w:r>
            <w:r>
              <w:rPr>
                <w:rFonts w:ascii="Arial" w:cs="Arial" w:eastAsia="Arial" w:hAnsi="Arial"/>
                <w:sz w:val="18"/>
                <w:szCs w:val="18"/>
                <w:b w:val="1"/>
                <w:bCs w:val="1"/>
                <w:color w:val="auto"/>
                <w:vertAlign w:val="superscript"/>
              </w:rPr>
              <w:t>1</w:t>
            </w:r>
          </w:p>
        </w:tc>
        <w:tc>
          <w:tcPr>
            <w:tcW w:w="1480" w:type="dxa"/>
            <w:vAlign w:val="bottom"/>
            <w:gridSpan w:val="5"/>
          </w:tcPr>
          <w:p>
            <w:pPr>
              <w:jc w:val="right"/>
              <w:ind w:right="120"/>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jc w:val="right"/>
              <w:ind w:right="128"/>
              <w:spacing w:after="0"/>
              <w:rPr>
                <w:sz w:val="20"/>
                <w:szCs w:val="20"/>
                <w:color w:val="auto"/>
              </w:rPr>
            </w:pPr>
            <w:r>
              <w:rPr>
                <w:rFonts w:ascii="Arial" w:cs="Arial" w:eastAsia="Arial" w:hAnsi="Arial"/>
                <w:sz w:val="14"/>
                <w:szCs w:val="14"/>
                <w:b w:val="1"/>
                <w:bCs w:val="1"/>
                <w:color w:val="auto"/>
              </w:rPr>
              <w:t>112.01</w:t>
            </w:r>
          </w:p>
        </w:tc>
        <w:tc>
          <w:tcPr>
            <w:tcW w:w="1000" w:type="dxa"/>
            <w:vAlign w:val="bottom"/>
          </w:tcPr>
          <w:p>
            <w:pPr>
              <w:ind w:left="600"/>
              <w:spacing w:after="0"/>
              <w:rPr>
                <w:sz w:val="20"/>
                <w:szCs w:val="20"/>
                <w:color w:val="auto"/>
              </w:rPr>
            </w:pPr>
            <w:r>
              <w:rPr>
                <w:rFonts w:ascii="Arial" w:cs="Arial" w:eastAsia="Arial" w:hAnsi="Arial"/>
                <w:sz w:val="14"/>
                <w:szCs w:val="14"/>
                <w:b w:val="1"/>
                <w:bCs w:val="1"/>
                <w:color w:val="auto"/>
              </w:rPr>
              <w:t>4.6 %</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80" w:type="dxa"/>
            <w:vAlign w:val="bottom"/>
          </w:tcPr>
          <w:p>
            <w:pPr>
              <w:jc w:val="right"/>
              <w:ind w:right="228"/>
              <w:spacing w:after="0"/>
              <w:rPr>
                <w:sz w:val="20"/>
                <w:szCs w:val="20"/>
                <w:color w:val="auto"/>
              </w:rPr>
            </w:pPr>
            <w:r>
              <w:rPr>
                <w:rFonts w:ascii="Arial" w:cs="Arial" w:eastAsia="Arial" w:hAnsi="Arial"/>
                <w:sz w:val="14"/>
                <w:szCs w:val="14"/>
                <w:b w:val="1"/>
                <w:bCs w:val="1"/>
                <w:color w:val="auto"/>
              </w:rPr>
              <w:t>64.1 %</w:t>
            </w:r>
          </w:p>
        </w:tc>
        <w:tc>
          <w:tcPr>
            <w:tcW w:w="1460" w:type="dxa"/>
            <w:vAlign w:val="bottom"/>
            <w:gridSpan w:val="4"/>
          </w:tcPr>
          <w:p>
            <w:pPr>
              <w:ind w:left="460"/>
              <w:spacing w:after="0"/>
              <w:rPr>
                <w:sz w:val="20"/>
                <w:szCs w:val="20"/>
                <w:color w:val="auto"/>
              </w:rPr>
            </w:pPr>
            <w:r>
              <w:rPr>
                <w:rFonts w:ascii="Arial" w:cs="Arial" w:eastAsia="Arial" w:hAnsi="Arial"/>
                <w:sz w:val="14"/>
                <w:szCs w:val="14"/>
                <w:b w:val="1"/>
                <w:bCs w:val="1"/>
                <w:color w:val="auto"/>
              </w:rPr>
              <w:t>0.7 % pts.</w:t>
            </w:r>
          </w:p>
        </w:tc>
        <w:tc>
          <w:tcPr>
            <w:tcW w:w="180" w:type="dxa"/>
            <w:vAlign w:val="bottom"/>
          </w:tcPr>
          <w:p>
            <w:pPr>
              <w:jc w:val="right"/>
              <w:ind w:right="28"/>
              <w:spacing w:after="0"/>
              <w:rPr>
                <w:sz w:val="20"/>
                <w:szCs w:val="20"/>
                <w:color w:val="auto"/>
              </w:rPr>
            </w:pPr>
            <w:r>
              <w:rPr>
                <w:rFonts w:ascii="Arial" w:cs="Arial" w:eastAsia="Arial" w:hAnsi="Arial"/>
                <w:sz w:val="14"/>
                <w:szCs w:val="14"/>
                <w:b w:val="1"/>
                <w:bCs w:val="1"/>
                <w:color w:val="auto"/>
                <w:w w:val="76"/>
              </w:rPr>
              <w:t>$</w:t>
            </w:r>
          </w:p>
        </w:tc>
        <w:tc>
          <w:tcPr>
            <w:tcW w:w="880" w:type="dxa"/>
            <w:vAlign w:val="bottom"/>
          </w:tcPr>
          <w:p>
            <w:pPr>
              <w:jc w:val="right"/>
              <w:ind w:right="148"/>
              <w:spacing w:after="0"/>
              <w:rPr>
                <w:sz w:val="20"/>
                <w:szCs w:val="20"/>
                <w:color w:val="auto"/>
              </w:rPr>
            </w:pPr>
            <w:r>
              <w:rPr>
                <w:rFonts w:ascii="Arial" w:cs="Arial" w:eastAsia="Arial" w:hAnsi="Arial"/>
                <w:sz w:val="14"/>
                <w:szCs w:val="14"/>
                <w:b w:val="1"/>
                <w:bCs w:val="1"/>
                <w:color w:val="auto"/>
              </w:rPr>
              <w:t>174.73</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3.5 %</w:t>
            </w:r>
          </w:p>
        </w:tc>
      </w:tr>
      <w:tr>
        <w:trPr>
          <w:trHeight w:val="418"/>
        </w:trPr>
        <w:tc>
          <w:tcPr>
            <w:tcW w:w="2860" w:type="dxa"/>
            <w:vAlign w:val="bottom"/>
          </w:tcPr>
          <w:p>
            <w:pPr>
              <w:ind w:left="20"/>
              <w:spacing w:after="0"/>
              <w:rPr>
                <w:sz w:val="20"/>
                <w:szCs w:val="20"/>
                <w:color w:val="auto"/>
              </w:rPr>
            </w:pPr>
            <w:r>
              <w:rPr>
                <w:rFonts w:ascii="Arial" w:cs="Arial" w:eastAsia="Arial" w:hAnsi="Arial"/>
                <w:sz w:val="14"/>
                <w:szCs w:val="14"/>
                <w:b w:val="1"/>
                <w:bCs w:val="1"/>
                <w:color w:val="auto"/>
              </w:rPr>
              <w:t>Worldwide</w:t>
            </w:r>
            <w:r>
              <w:rPr>
                <w:rFonts w:ascii="Arial" w:cs="Arial" w:eastAsia="Arial" w:hAnsi="Arial"/>
                <w:sz w:val="18"/>
                <w:szCs w:val="18"/>
                <w:b w:val="1"/>
                <w:bCs w:val="1"/>
                <w:color w:val="auto"/>
                <w:vertAlign w:val="superscript"/>
              </w:rPr>
              <w:t>2</w:t>
            </w:r>
          </w:p>
        </w:tc>
        <w:tc>
          <w:tcPr>
            <w:tcW w:w="1480" w:type="dxa"/>
            <w:vAlign w:val="bottom"/>
            <w:gridSpan w:val="5"/>
          </w:tcPr>
          <w:p>
            <w:pPr>
              <w:jc w:val="right"/>
              <w:ind w:right="120"/>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jc w:val="right"/>
              <w:ind w:right="128"/>
              <w:spacing w:after="0"/>
              <w:rPr>
                <w:sz w:val="20"/>
                <w:szCs w:val="20"/>
                <w:color w:val="auto"/>
              </w:rPr>
            </w:pPr>
            <w:r>
              <w:rPr>
                <w:rFonts w:ascii="Arial" w:cs="Arial" w:eastAsia="Arial" w:hAnsi="Arial"/>
                <w:sz w:val="14"/>
                <w:szCs w:val="14"/>
                <w:b w:val="1"/>
                <w:bCs w:val="1"/>
                <w:color w:val="auto"/>
              </w:rPr>
              <w:t>123.09</w:t>
            </w:r>
          </w:p>
        </w:tc>
        <w:tc>
          <w:tcPr>
            <w:tcW w:w="1000" w:type="dxa"/>
            <w:vAlign w:val="bottom"/>
          </w:tcPr>
          <w:p>
            <w:pPr>
              <w:ind w:left="600"/>
              <w:spacing w:after="0"/>
              <w:rPr>
                <w:sz w:val="20"/>
                <w:szCs w:val="20"/>
                <w:color w:val="auto"/>
              </w:rPr>
            </w:pPr>
            <w:r>
              <w:rPr>
                <w:rFonts w:ascii="Arial" w:cs="Arial" w:eastAsia="Arial" w:hAnsi="Arial"/>
                <w:sz w:val="14"/>
                <w:szCs w:val="14"/>
                <w:b w:val="1"/>
                <w:bCs w:val="1"/>
                <w:color w:val="auto"/>
              </w:rPr>
              <w:t>4.2 %</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80" w:type="dxa"/>
            <w:vAlign w:val="bottom"/>
          </w:tcPr>
          <w:p>
            <w:pPr>
              <w:jc w:val="right"/>
              <w:ind w:right="228"/>
              <w:spacing w:after="0"/>
              <w:rPr>
                <w:sz w:val="20"/>
                <w:szCs w:val="20"/>
                <w:color w:val="auto"/>
              </w:rPr>
            </w:pPr>
            <w:r>
              <w:rPr>
                <w:rFonts w:ascii="Arial" w:cs="Arial" w:eastAsia="Arial" w:hAnsi="Arial"/>
                <w:sz w:val="14"/>
                <w:szCs w:val="14"/>
                <w:b w:val="1"/>
                <w:bCs w:val="1"/>
                <w:color w:val="auto"/>
              </w:rPr>
              <w:t>65.6 %</w:t>
            </w:r>
          </w:p>
        </w:tc>
        <w:tc>
          <w:tcPr>
            <w:tcW w:w="1460" w:type="dxa"/>
            <w:vAlign w:val="bottom"/>
            <w:gridSpan w:val="4"/>
          </w:tcPr>
          <w:p>
            <w:pPr>
              <w:ind w:left="460"/>
              <w:spacing w:after="0"/>
              <w:rPr>
                <w:sz w:val="20"/>
                <w:szCs w:val="20"/>
                <w:color w:val="auto"/>
              </w:rPr>
            </w:pPr>
            <w:r>
              <w:rPr>
                <w:rFonts w:ascii="Arial" w:cs="Arial" w:eastAsia="Arial" w:hAnsi="Arial"/>
                <w:sz w:val="14"/>
                <w:szCs w:val="14"/>
                <w:b w:val="1"/>
                <w:bCs w:val="1"/>
                <w:color w:val="auto"/>
              </w:rPr>
              <w:t>0.7 % pts.</w:t>
            </w:r>
          </w:p>
        </w:tc>
        <w:tc>
          <w:tcPr>
            <w:tcW w:w="180" w:type="dxa"/>
            <w:vAlign w:val="bottom"/>
          </w:tcPr>
          <w:p>
            <w:pPr>
              <w:jc w:val="right"/>
              <w:ind w:right="28"/>
              <w:spacing w:after="0"/>
              <w:rPr>
                <w:sz w:val="20"/>
                <w:szCs w:val="20"/>
                <w:color w:val="auto"/>
              </w:rPr>
            </w:pPr>
            <w:r>
              <w:rPr>
                <w:rFonts w:ascii="Arial" w:cs="Arial" w:eastAsia="Arial" w:hAnsi="Arial"/>
                <w:sz w:val="14"/>
                <w:szCs w:val="14"/>
                <w:b w:val="1"/>
                <w:bCs w:val="1"/>
                <w:color w:val="auto"/>
                <w:w w:val="76"/>
              </w:rPr>
              <w:t>$</w:t>
            </w:r>
          </w:p>
        </w:tc>
        <w:tc>
          <w:tcPr>
            <w:tcW w:w="880" w:type="dxa"/>
            <w:vAlign w:val="bottom"/>
          </w:tcPr>
          <w:p>
            <w:pPr>
              <w:jc w:val="right"/>
              <w:ind w:right="148"/>
              <w:spacing w:after="0"/>
              <w:rPr>
                <w:sz w:val="20"/>
                <w:szCs w:val="20"/>
                <w:color w:val="auto"/>
              </w:rPr>
            </w:pPr>
            <w:r>
              <w:rPr>
                <w:rFonts w:ascii="Arial" w:cs="Arial" w:eastAsia="Arial" w:hAnsi="Arial"/>
                <w:sz w:val="14"/>
                <w:szCs w:val="14"/>
                <w:b w:val="1"/>
                <w:bCs w:val="1"/>
                <w:color w:val="auto"/>
              </w:rPr>
              <w:t>187.70</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3.1 %</w:t>
            </w:r>
          </w:p>
        </w:tc>
      </w:tr>
    </w:tbl>
    <w:p>
      <w:pPr>
        <w:spacing w:after="0" w:line="139" w:lineRule="exact"/>
        <w:rPr>
          <w:sz w:val="20"/>
          <w:szCs w:val="20"/>
          <w:color w:val="auto"/>
        </w:rPr>
      </w:pPr>
    </w:p>
    <w:p>
      <w:pPr>
        <w:ind w:left="100" w:hanging="87"/>
        <w:spacing w:after="0"/>
        <w:tabs>
          <w:tab w:leader="none" w:pos="100" w:val="left"/>
        </w:tabs>
        <w:numPr>
          <w:ilvl w:val="0"/>
          <w:numId w:val="25"/>
        </w:numPr>
        <w:rPr>
          <w:rFonts w:ascii="Arial" w:cs="Arial" w:eastAsia="Arial" w:hAnsi="Arial"/>
          <w:sz w:val="19"/>
          <w:szCs w:val="19"/>
          <w:color w:val="auto"/>
          <w:vertAlign w:val="superscript"/>
        </w:rPr>
      </w:pPr>
      <w:r>
        <w:rPr>
          <w:rFonts w:ascii="Arial" w:cs="Arial" w:eastAsia="Arial" w:hAnsi="Arial"/>
          <w:sz w:val="14"/>
          <w:szCs w:val="14"/>
          <w:color w:val="auto"/>
        </w:rPr>
        <w:t>Includes Europe, Middle East &amp; Africa, Greater China, Asia Pacific excluding China, and Caribbean &amp; Latin America.</w:t>
      </w:r>
    </w:p>
    <w:p>
      <w:pPr>
        <w:spacing w:after="0" w:line="26" w:lineRule="exact"/>
        <w:rPr>
          <w:rFonts w:ascii="Arial" w:cs="Arial" w:eastAsia="Arial" w:hAnsi="Arial"/>
          <w:sz w:val="19"/>
          <w:szCs w:val="19"/>
          <w:color w:val="auto"/>
          <w:vertAlign w:val="superscript"/>
        </w:rPr>
      </w:pPr>
    </w:p>
    <w:p>
      <w:pPr>
        <w:ind w:left="20"/>
        <w:spacing w:after="0"/>
        <w:rPr>
          <w:rFonts w:ascii="Arial" w:cs="Arial" w:eastAsia="Arial" w:hAnsi="Arial"/>
          <w:sz w:val="19"/>
          <w:szCs w:val="19"/>
          <w:color w:val="auto"/>
          <w:vertAlign w:val="superscript"/>
        </w:rPr>
      </w:pPr>
      <w:r>
        <w:rPr>
          <w:rFonts w:ascii="Arial" w:cs="Arial" w:eastAsia="Arial" w:hAnsi="Arial"/>
          <w:sz w:val="18"/>
          <w:szCs w:val="18"/>
          <w:color w:val="auto"/>
          <w:vertAlign w:val="superscript"/>
        </w:rPr>
        <w:t>2</w:t>
      </w:r>
      <w:r>
        <w:rPr>
          <w:rFonts w:ascii="Arial" w:cs="Arial" w:eastAsia="Arial" w:hAnsi="Arial"/>
          <w:sz w:val="14"/>
          <w:szCs w:val="14"/>
          <w:color w:val="auto"/>
        </w:rPr>
        <w:t xml:space="preserve"> Includes US &amp; Canada - All and International - All.</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A-10</w:t>
      </w:r>
    </w:p>
    <w:p>
      <w:pPr>
        <w:sectPr>
          <w:pgSz w:w="11900" w:h="16838" w:orient="portrait"/>
          <w:cols w:equalWidth="0" w:num="1">
            <w:col w:w="11180"/>
          </w:cols>
          <w:pgMar w:left="360" w:top="940" w:right="35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16"/>
        </w:trPr>
        <w:tc>
          <w:tcPr>
            <w:tcW w:w="7000" w:type="dxa"/>
            <w:vAlign w:val="bottom"/>
            <w:gridSpan w:val="5"/>
          </w:tcPr>
          <w:p>
            <w:pPr>
              <w:jc w:val="center"/>
              <w:ind w:left="4147"/>
              <w:spacing w:after="0"/>
              <w:rPr>
                <w:sz w:val="20"/>
                <w:szCs w:val="20"/>
                <w:color w:val="auto"/>
              </w:rPr>
            </w:pPr>
            <w:r>
              <w:rPr>
                <w:rFonts w:ascii="Arial" w:cs="Arial" w:eastAsia="Arial" w:hAnsi="Arial"/>
                <w:sz w:val="16"/>
                <w:szCs w:val="16"/>
                <w:b w:val="1"/>
                <w:bCs w:val="1"/>
                <w:color w:val="auto"/>
              </w:rPr>
              <w:t>MARRIOTT INTERNATIONAL, INC.</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gridSpan w:val="5"/>
          </w:tcPr>
          <w:p>
            <w:pPr>
              <w:jc w:val="center"/>
              <w:ind w:left="4127"/>
              <w:spacing w:after="0"/>
              <w:rPr>
                <w:sz w:val="20"/>
                <w:szCs w:val="20"/>
                <w:color w:val="auto"/>
              </w:rPr>
            </w:pPr>
            <w:r>
              <w:rPr>
                <w:rFonts w:ascii="Arial" w:cs="Arial" w:eastAsia="Arial" w:hAnsi="Arial"/>
                <w:sz w:val="16"/>
                <w:szCs w:val="16"/>
                <w:b w:val="1"/>
                <w:bCs w:val="1"/>
                <w:color w:val="auto"/>
              </w:rPr>
              <w:t>NON-GAAP FINANCIAL MEASURES</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000" w:type="dxa"/>
            <w:vAlign w:val="bottom"/>
            <w:gridSpan w:val="5"/>
          </w:tcPr>
          <w:p>
            <w:pPr>
              <w:jc w:val="center"/>
              <w:ind w:left="4127"/>
              <w:spacing w:after="0"/>
              <w:rPr>
                <w:sz w:val="20"/>
                <w:szCs w:val="20"/>
                <w:color w:val="auto"/>
              </w:rPr>
            </w:pPr>
            <w:r>
              <w:rPr>
                <w:rFonts w:ascii="Arial" w:cs="Arial" w:eastAsia="Arial" w:hAnsi="Arial"/>
                <w:sz w:val="16"/>
                <w:szCs w:val="16"/>
                <w:b w:val="1"/>
                <w:bCs w:val="1"/>
                <w:color w:val="auto"/>
              </w:rPr>
              <w:t>ADJUSTED EBITDA</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5120" w:type="dxa"/>
            <w:vAlign w:val="bottom"/>
          </w:tcPr>
          <w:p>
            <w:pPr>
              <w:spacing w:after="0"/>
              <w:rPr>
                <w:sz w:val="16"/>
                <w:szCs w:val="16"/>
                <w:color w:val="auto"/>
              </w:rPr>
            </w:pPr>
          </w:p>
        </w:tc>
        <w:tc>
          <w:tcPr>
            <w:tcW w:w="940" w:type="dxa"/>
            <w:vAlign w:val="bottom"/>
            <w:gridSpan w:val="2"/>
          </w:tcPr>
          <w:p>
            <w:pPr>
              <w:jc w:val="center"/>
              <w:spacing w:after="0"/>
              <w:rPr>
                <w:sz w:val="20"/>
                <w:szCs w:val="20"/>
                <w:color w:val="auto"/>
              </w:rPr>
            </w:pPr>
            <w:r>
              <w:rPr>
                <w:rFonts w:ascii="Arial" w:cs="Arial" w:eastAsia="Arial" w:hAnsi="Arial"/>
                <w:sz w:val="14"/>
                <w:szCs w:val="14"/>
                <w:color w:val="auto"/>
              </w:rPr>
              <w:t>($ in millions)</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8"/>
        </w:trPr>
        <w:tc>
          <w:tcPr>
            <w:tcW w:w="5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Fiscal Year</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5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5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center"/>
              <w:ind w:right="140"/>
              <w:spacing w:after="0" w:line="142" w:lineRule="exact"/>
              <w:rPr>
                <w:sz w:val="20"/>
                <w:szCs w:val="20"/>
                <w:color w:val="auto"/>
              </w:rPr>
            </w:pPr>
            <w:r>
              <w:rPr>
                <w:rFonts w:ascii="Arial" w:cs="Arial" w:eastAsia="Arial" w:hAnsi="Arial"/>
                <w:sz w:val="14"/>
                <w:szCs w:val="14"/>
                <w:b w:val="1"/>
                <w:bCs w:val="1"/>
                <w:color w:val="auto"/>
              </w:rPr>
              <w:t>First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5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rPr>
              <w:t>Quarter</w:t>
            </w:r>
          </w:p>
        </w:tc>
        <w:tc>
          <w:tcPr>
            <w:tcW w:w="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120" w:type="dxa"/>
            <w:vAlign w:val="bottom"/>
          </w:tcPr>
          <w:p>
            <w:pPr>
              <w:spacing w:after="0"/>
              <w:rPr>
                <w:sz w:val="20"/>
                <w:szCs w:val="20"/>
                <w:color w:val="auto"/>
              </w:rPr>
            </w:pPr>
            <w:r>
              <w:rPr>
                <w:rFonts w:ascii="Arial" w:cs="Arial" w:eastAsia="Arial" w:hAnsi="Arial"/>
                <w:sz w:val="14"/>
                <w:szCs w:val="14"/>
                <w:color w:val="auto"/>
              </w:rPr>
              <w:t>Net income, as reported</w:t>
            </w:r>
          </w:p>
        </w:tc>
        <w:tc>
          <w:tcPr>
            <w:tcW w:w="9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648</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120" w:type="dxa"/>
            <w:vAlign w:val="bottom"/>
          </w:tcPr>
          <w:p>
            <w:pPr>
              <w:spacing w:after="0"/>
              <w:rPr>
                <w:sz w:val="20"/>
                <w:szCs w:val="20"/>
                <w:color w:val="auto"/>
              </w:rPr>
            </w:pPr>
            <w:r>
              <w:rPr>
                <w:rFonts w:ascii="Arial" w:cs="Arial" w:eastAsia="Arial" w:hAnsi="Arial"/>
                <w:sz w:val="14"/>
                <w:szCs w:val="14"/>
                <w:color w:val="auto"/>
              </w:rPr>
              <w:t>Cost reimbursement revenue</w:t>
            </w: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(4,844)</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tcPr>
          <w:p>
            <w:pPr>
              <w:spacing w:after="0"/>
              <w:rPr>
                <w:sz w:val="20"/>
                <w:szCs w:val="20"/>
                <w:color w:val="auto"/>
              </w:rPr>
            </w:pPr>
            <w:r>
              <w:rPr>
                <w:rFonts w:ascii="Arial" w:cs="Arial" w:eastAsia="Arial" w:hAnsi="Arial"/>
                <w:sz w:val="14"/>
                <w:szCs w:val="14"/>
                <w:color w:val="auto"/>
              </w:rPr>
              <w:t>Reimbursed expenses</w:t>
            </w: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4,936</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tcPr>
          <w:p>
            <w:pPr>
              <w:spacing w:after="0"/>
              <w:rPr>
                <w:sz w:val="20"/>
                <w:szCs w:val="20"/>
                <w:color w:val="auto"/>
              </w:rPr>
            </w:pPr>
            <w:r>
              <w:rPr>
                <w:rFonts w:ascii="Arial" w:cs="Arial" w:eastAsia="Arial" w:hAnsi="Arial"/>
                <w:sz w:val="14"/>
                <w:szCs w:val="14"/>
                <w:color w:val="auto"/>
              </w:rPr>
              <w:t>Interest expense</w:t>
            </w: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214</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tcPr>
          <w:p>
            <w:pPr>
              <w:spacing w:after="0"/>
              <w:rPr>
                <w:sz w:val="20"/>
                <w:szCs w:val="20"/>
                <w:color w:val="auto"/>
              </w:rPr>
            </w:pPr>
            <w:r>
              <w:rPr>
                <w:rFonts w:ascii="Arial" w:cs="Arial" w:eastAsia="Arial" w:hAnsi="Arial"/>
                <w:sz w:val="14"/>
                <w:szCs w:val="14"/>
                <w:color w:val="auto"/>
              </w:rPr>
              <w:t>Interest expense from unconsolidated joint ventures</w:t>
            </w: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tcPr>
          <w:p>
            <w:pPr>
              <w:spacing w:after="0"/>
              <w:rPr>
                <w:sz w:val="20"/>
                <w:szCs w:val="20"/>
                <w:color w:val="auto"/>
              </w:rPr>
            </w:pPr>
            <w:r>
              <w:rPr>
                <w:rFonts w:ascii="Arial" w:cs="Arial" w:eastAsia="Arial" w:hAnsi="Arial"/>
                <w:sz w:val="14"/>
                <w:szCs w:val="14"/>
                <w:color w:val="auto"/>
              </w:rPr>
              <w:t>Provision for income taxes</w:t>
            </w: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210</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tcPr>
          <w:p>
            <w:pPr>
              <w:spacing w:after="0"/>
              <w:rPr>
                <w:sz w:val="20"/>
                <w:szCs w:val="20"/>
                <w:color w:val="auto"/>
              </w:rPr>
            </w:pPr>
            <w:r>
              <w:rPr>
                <w:rFonts w:ascii="Arial" w:cs="Arial" w:eastAsia="Arial" w:hAnsi="Arial"/>
                <w:sz w:val="14"/>
                <w:szCs w:val="14"/>
                <w:color w:val="auto"/>
              </w:rPr>
              <w:t>Depreciation and amortization</w:t>
            </w: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54</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tcPr>
          <w:p>
            <w:pPr>
              <w:spacing w:after="0"/>
              <w:rPr>
                <w:sz w:val="20"/>
                <w:szCs w:val="20"/>
                <w:color w:val="auto"/>
              </w:rPr>
            </w:pPr>
            <w:r>
              <w:rPr>
                <w:rFonts w:ascii="Arial" w:cs="Arial" w:eastAsia="Arial" w:hAnsi="Arial"/>
                <w:sz w:val="14"/>
                <w:szCs w:val="14"/>
                <w:color w:val="auto"/>
              </w:rPr>
              <w:t>Contract investment amortization</w:t>
            </w: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tcPr>
          <w:p>
            <w:pPr>
              <w:spacing w:after="0"/>
              <w:rPr>
                <w:sz w:val="20"/>
                <w:szCs w:val="20"/>
                <w:color w:val="auto"/>
              </w:rPr>
            </w:pPr>
            <w:r>
              <w:rPr>
                <w:rFonts w:ascii="Arial" w:cs="Arial" w:eastAsia="Arial" w:hAnsi="Arial"/>
                <w:sz w:val="14"/>
                <w:szCs w:val="14"/>
                <w:color w:val="auto"/>
              </w:rPr>
              <w:t>Depreciation and amortization classified in reimbursed expenses</w:t>
            </w: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73</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tcPr>
          <w:p>
            <w:pPr>
              <w:spacing w:after="0"/>
              <w:rPr>
                <w:sz w:val="20"/>
                <w:szCs w:val="20"/>
                <w:color w:val="auto"/>
              </w:rPr>
            </w:pPr>
            <w:r>
              <w:rPr>
                <w:rFonts w:ascii="Arial" w:cs="Arial" w:eastAsia="Arial" w:hAnsi="Arial"/>
                <w:sz w:val="14"/>
                <w:szCs w:val="14"/>
                <w:color w:val="auto"/>
              </w:rPr>
              <w:t>Depreciation, amortization, and impairments from unconsolidated joint ventures</w:t>
            </w: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tcPr>
          <w:p>
            <w:pPr>
              <w:spacing w:after="0"/>
              <w:rPr>
                <w:sz w:val="20"/>
                <w:szCs w:val="20"/>
                <w:color w:val="auto"/>
              </w:rPr>
            </w:pPr>
            <w:r>
              <w:rPr>
                <w:rFonts w:ascii="Arial" w:cs="Arial" w:eastAsia="Arial" w:hAnsi="Arial"/>
                <w:sz w:val="14"/>
                <w:szCs w:val="14"/>
                <w:color w:val="auto"/>
              </w:rPr>
              <w:t>Stock-based compensation</w:t>
            </w: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57</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tcPr>
          <w:p>
            <w:pPr>
              <w:spacing w:after="0"/>
              <w:rPr>
                <w:sz w:val="20"/>
                <w:szCs w:val="20"/>
                <w:color w:val="auto"/>
              </w:rPr>
            </w:pPr>
            <w:r>
              <w:rPr>
                <w:rFonts w:ascii="Arial" w:cs="Arial" w:eastAsia="Arial" w:hAnsi="Arial"/>
                <w:sz w:val="14"/>
                <w:szCs w:val="14"/>
                <w:color w:val="auto"/>
              </w:rPr>
              <w:t>Restructuring and merger-related charges, and other</w:t>
            </w: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tcPr>
          <w:p>
            <w:pPr>
              <w:spacing w:after="0"/>
              <w:rPr>
                <w:sz w:val="20"/>
                <w:szCs w:val="20"/>
                <w:color w:val="auto"/>
              </w:rPr>
            </w:pPr>
            <w:r>
              <w:rPr>
                <w:rFonts w:ascii="Arial" w:cs="Arial" w:eastAsia="Arial" w:hAnsi="Arial"/>
                <w:sz w:val="14"/>
                <w:szCs w:val="14"/>
                <w:color w:val="auto"/>
              </w:rPr>
              <w:t>Adjustments related to Sonder Termination</w:t>
            </w: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(2)</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120" w:type="dxa"/>
            <w:vAlign w:val="bottom"/>
          </w:tcPr>
          <w:p>
            <w:pPr>
              <w:spacing w:after="0"/>
              <w:rPr>
                <w:sz w:val="20"/>
                <w:szCs w:val="20"/>
                <w:color w:val="auto"/>
              </w:rPr>
            </w:pPr>
            <w:r>
              <w:rPr>
                <w:rFonts w:ascii="Arial" w:cs="Arial" w:eastAsia="Arial" w:hAnsi="Arial"/>
                <w:sz w:val="14"/>
                <w:szCs w:val="14"/>
                <w:color w:val="auto"/>
              </w:rPr>
              <w:t>Adjustment to gain on investee’s asset disposition</w:t>
            </w:r>
          </w:p>
        </w:tc>
        <w:tc>
          <w:tcPr>
            <w:tcW w:w="8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w:t>
            </w:r>
          </w:p>
        </w:tc>
        <w:tc>
          <w:tcPr>
            <w:tcW w:w="1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120" w:type="dxa"/>
            <w:vAlign w:val="bottom"/>
          </w:tcPr>
          <w:p>
            <w:pPr>
              <w:spacing w:after="0" w:line="200" w:lineRule="exact"/>
              <w:rPr>
                <w:sz w:val="20"/>
                <w:szCs w:val="20"/>
                <w:color w:val="auto"/>
              </w:rPr>
            </w:pPr>
            <w:r>
              <w:rPr>
                <w:rFonts w:ascii="Arial" w:cs="Arial" w:eastAsia="Arial" w:hAnsi="Arial"/>
                <w:sz w:val="14"/>
                <w:szCs w:val="14"/>
                <w:b w:val="1"/>
                <w:bCs w:val="1"/>
                <w:color w:val="auto"/>
              </w:rPr>
              <w:t>Adjusted EBITDA</w:t>
            </w:r>
            <w:r>
              <w:rPr>
                <w:rFonts w:ascii="Arial" w:cs="Arial" w:eastAsia="Arial" w:hAnsi="Arial"/>
                <w:sz w:val="18"/>
                <w:szCs w:val="18"/>
                <w:b w:val="1"/>
                <w:bCs w:val="1"/>
                <w:color w:val="auto"/>
                <w:vertAlign w:val="superscript"/>
              </w:rPr>
              <w:t>†</w:t>
            </w:r>
          </w:p>
        </w:tc>
        <w:tc>
          <w:tcPr>
            <w:tcW w:w="94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1,398</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5120" w:type="dxa"/>
            <w:vAlign w:val="bottom"/>
            <w:vMerge w:val="restart"/>
          </w:tcPr>
          <w:p>
            <w:pPr>
              <w:spacing w:after="0"/>
              <w:rPr>
                <w:sz w:val="20"/>
                <w:szCs w:val="20"/>
                <w:color w:val="auto"/>
              </w:rPr>
            </w:pPr>
            <w:r>
              <w:rPr>
                <w:rFonts w:ascii="Arial" w:cs="Arial" w:eastAsia="Arial" w:hAnsi="Arial"/>
                <w:sz w:val="14"/>
                <w:szCs w:val="14"/>
                <w:b w:val="1"/>
                <w:bCs w:val="1"/>
                <w:color w:val="auto"/>
              </w:rPr>
              <w:t>Change from 2025 Adjusted EBITDA</w:t>
            </w:r>
            <w:r>
              <w:rPr>
                <w:rFonts w:ascii="Arial" w:cs="Arial" w:eastAsia="Arial" w:hAnsi="Arial"/>
                <w:sz w:val="18"/>
                <w:szCs w:val="18"/>
                <w:b w:val="1"/>
                <w:bCs w:val="1"/>
                <w:color w:val="auto"/>
                <w:vertAlign w:val="superscript"/>
              </w:rPr>
              <w:t>†</w:t>
            </w:r>
          </w:p>
        </w:tc>
        <w:tc>
          <w:tcPr>
            <w:tcW w:w="8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7"/>
        </w:trPr>
        <w:tc>
          <w:tcPr>
            <w:tcW w:w="5120" w:type="dxa"/>
            <w:vAlign w:val="bottom"/>
            <w:vMerge w:val="continue"/>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3"/>
          </w:tcPr>
          <w:p>
            <w:pPr>
              <w:jc w:val="right"/>
              <w:spacing w:after="0"/>
              <w:rPr>
                <w:sz w:val="20"/>
                <w:szCs w:val="20"/>
                <w:color w:val="auto"/>
              </w:rPr>
            </w:pPr>
            <w:r>
              <w:rPr>
                <w:rFonts w:ascii="Arial" w:cs="Arial" w:eastAsia="Arial" w:hAnsi="Arial"/>
                <w:sz w:val="14"/>
                <w:szCs w:val="14"/>
                <w:b w:val="1"/>
                <w:bCs w:val="1"/>
                <w:color w:val="auto"/>
              </w:rPr>
              <w:t>15 %</w:t>
            </w: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Fiscal Year 2025</w:t>
            </w:r>
          </w:p>
        </w:tc>
        <w:tc>
          <w:tcPr>
            <w:tcW w:w="1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47"/>
        </w:trPr>
        <w:tc>
          <w:tcPr>
            <w:tcW w:w="5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right"/>
              <w:ind w:right="460"/>
              <w:spacing w:after="0" w:line="147" w:lineRule="exact"/>
              <w:rPr>
                <w:sz w:val="20"/>
                <w:szCs w:val="20"/>
                <w:color w:val="auto"/>
              </w:rPr>
            </w:pPr>
            <w:r>
              <w:rPr>
                <w:rFonts w:ascii="Arial" w:cs="Arial" w:eastAsia="Arial" w:hAnsi="Arial"/>
                <w:sz w:val="14"/>
                <w:szCs w:val="14"/>
                <w:b w:val="1"/>
                <w:bCs w:val="1"/>
                <w:color w:val="auto"/>
              </w:rPr>
              <w:t>First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ind w:right="188"/>
              <w:spacing w:after="0" w:line="147" w:lineRule="exact"/>
              <w:rPr>
                <w:sz w:val="20"/>
                <w:szCs w:val="20"/>
                <w:color w:val="auto"/>
              </w:rPr>
            </w:pPr>
            <w:r>
              <w:rPr>
                <w:rFonts w:ascii="Arial" w:cs="Arial" w:eastAsia="Arial" w:hAnsi="Arial"/>
                <w:sz w:val="14"/>
                <w:szCs w:val="14"/>
                <w:b w:val="1"/>
                <w:bCs w:val="1"/>
                <w:color w:val="auto"/>
              </w:rPr>
              <w:t>Second</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rPr>
              <w:t>Third</w:t>
            </w:r>
          </w:p>
        </w:tc>
        <w:tc>
          <w:tcPr>
            <w:tcW w:w="160" w:type="dxa"/>
            <w:vAlign w:val="bottom"/>
          </w:tcPr>
          <w:p>
            <w:pPr>
              <w:spacing w:after="0"/>
              <w:rPr>
                <w:sz w:val="12"/>
                <w:szCs w:val="12"/>
                <w:color w:val="auto"/>
              </w:rPr>
            </w:pPr>
          </w:p>
        </w:tc>
        <w:tc>
          <w:tcPr>
            <w:tcW w:w="920" w:type="dxa"/>
            <w:vAlign w:val="bottom"/>
            <w:gridSpan w:val="2"/>
          </w:tcPr>
          <w:p>
            <w:pPr>
              <w:ind w:left="80"/>
              <w:spacing w:after="0" w:line="147" w:lineRule="exact"/>
              <w:rPr>
                <w:sz w:val="20"/>
                <w:szCs w:val="20"/>
                <w:color w:val="auto"/>
              </w:rPr>
            </w:pPr>
            <w:r>
              <w:rPr>
                <w:rFonts w:ascii="Arial" w:cs="Arial" w:eastAsia="Arial" w:hAnsi="Arial"/>
                <w:sz w:val="14"/>
                <w:szCs w:val="14"/>
                <w:b w:val="1"/>
                <w:bCs w:val="1"/>
                <w:color w:val="auto"/>
              </w:rPr>
              <w:t>Fourth</w:t>
            </w:r>
          </w:p>
        </w:tc>
        <w:tc>
          <w:tcPr>
            <w:tcW w:w="200" w:type="dxa"/>
            <w:vAlign w:val="bottom"/>
          </w:tcPr>
          <w:p>
            <w:pPr>
              <w:spacing w:after="0"/>
              <w:rPr>
                <w:sz w:val="12"/>
                <w:szCs w:val="12"/>
                <w:color w:val="auto"/>
              </w:rPr>
            </w:pPr>
          </w:p>
        </w:tc>
        <w:tc>
          <w:tcPr>
            <w:tcW w:w="78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5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Quarter</w:t>
            </w:r>
          </w:p>
        </w:tc>
        <w:tc>
          <w:tcPr>
            <w:tcW w:w="10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Quarter</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Quarter</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Quarter</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120" w:type="dxa"/>
            <w:vAlign w:val="bottom"/>
          </w:tcPr>
          <w:p>
            <w:pPr>
              <w:spacing w:after="0"/>
              <w:rPr>
                <w:sz w:val="20"/>
                <w:szCs w:val="20"/>
                <w:color w:val="auto"/>
              </w:rPr>
            </w:pPr>
            <w:r>
              <w:rPr>
                <w:rFonts w:ascii="Arial" w:cs="Arial" w:eastAsia="Arial" w:hAnsi="Arial"/>
                <w:sz w:val="14"/>
                <w:szCs w:val="14"/>
                <w:color w:val="auto"/>
              </w:rPr>
              <w:t>Net income, as reported</w:t>
            </w:r>
          </w:p>
        </w:tc>
        <w:tc>
          <w:tcPr>
            <w:tcW w:w="9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665</w:t>
            </w:r>
          </w:p>
        </w:tc>
        <w:tc>
          <w:tcPr>
            <w:tcW w:w="100" w:type="dxa"/>
            <w:vAlign w:val="bottom"/>
          </w:tcPr>
          <w:p>
            <w:pPr>
              <w:spacing w:after="0"/>
              <w:rPr>
                <w:sz w:val="16"/>
                <w:szCs w:val="16"/>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763</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728</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445</w:t>
            </w:r>
          </w:p>
        </w:tc>
        <w:tc>
          <w:tcPr>
            <w:tcW w:w="10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2,601</w:t>
            </w:r>
          </w:p>
        </w:tc>
        <w:tc>
          <w:tcPr>
            <w:tcW w:w="0" w:type="dxa"/>
            <w:vAlign w:val="bottom"/>
          </w:tcPr>
          <w:p>
            <w:pPr>
              <w:spacing w:after="0"/>
              <w:rPr>
                <w:sz w:val="1"/>
                <w:szCs w:val="1"/>
                <w:color w:val="auto"/>
              </w:rPr>
            </w:pPr>
          </w:p>
        </w:tc>
      </w:tr>
      <w:tr>
        <w:trPr>
          <w:trHeight w:val="203"/>
        </w:trPr>
        <w:tc>
          <w:tcPr>
            <w:tcW w:w="5120" w:type="dxa"/>
            <w:vAlign w:val="bottom"/>
          </w:tcPr>
          <w:p>
            <w:pPr>
              <w:spacing w:after="0"/>
              <w:rPr>
                <w:sz w:val="20"/>
                <w:szCs w:val="20"/>
                <w:color w:val="auto"/>
              </w:rPr>
            </w:pPr>
            <w:r>
              <w:rPr>
                <w:rFonts w:ascii="Arial" w:cs="Arial" w:eastAsia="Arial" w:hAnsi="Arial"/>
                <w:sz w:val="14"/>
                <w:szCs w:val="14"/>
                <w:color w:val="auto"/>
              </w:rPr>
              <w:t>Cost reimbursement revenue</w:t>
            </w: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(4,655)</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(4,932)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(4,760)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(4,857)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(19,204)</w:t>
            </w:r>
          </w:p>
        </w:tc>
        <w:tc>
          <w:tcPr>
            <w:tcW w:w="0" w:type="dxa"/>
            <w:vAlign w:val="bottom"/>
          </w:tcPr>
          <w:p>
            <w:pPr>
              <w:spacing w:after="0"/>
              <w:rPr>
                <w:sz w:val="1"/>
                <w:szCs w:val="1"/>
                <w:color w:val="auto"/>
              </w:rPr>
            </w:pPr>
          </w:p>
        </w:tc>
      </w:tr>
      <w:tr>
        <w:trPr>
          <w:trHeight w:val="203"/>
        </w:trPr>
        <w:tc>
          <w:tcPr>
            <w:tcW w:w="5120" w:type="dxa"/>
            <w:vAlign w:val="bottom"/>
          </w:tcPr>
          <w:p>
            <w:pPr>
              <w:spacing w:after="0"/>
              <w:rPr>
                <w:sz w:val="20"/>
                <w:szCs w:val="20"/>
                <w:color w:val="auto"/>
              </w:rPr>
            </w:pPr>
            <w:r>
              <w:rPr>
                <w:rFonts w:ascii="Arial" w:cs="Arial" w:eastAsia="Arial" w:hAnsi="Arial"/>
                <w:sz w:val="14"/>
                <w:szCs w:val="14"/>
                <w:color w:val="auto"/>
              </w:rPr>
              <w:t>Reimbursed expenses</w:t>
            </w: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4,722</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4,874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4,739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5,168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19,503</w:t>
            </w:r>
          </w:p>
        </w:tc>
        <w:tc>
          <w:tcPr>
            <w:tcW w:w="0" w:type="dxa"/>
            <w:vAlign w:val="bottom"/>
          </w:tcPr>
          <w:p>
            <w:pPr>
              <w:spacing w:after="0"/>
              <w:rPr>
                <w:sz w:val="1"/>
                <w:szCs w:val="1"/>
                <w:color w:val="auto"/>
              </w:rPr>
            </w:pPr>
          </w:p>
        </w:tc>
      </w:tr>
      <w:tr>
        <w:trPr>
          <w:trHeight w:val="203"/>
        </w:trPr>
        <w:tc>
          <w:tcPr>
            <w:tcW w:w="5120" w:type="dxa"/>
            <w:vAlign w:val="bottom"/>
          </w:tcPr>
          <w:p>
            <w:pPr>
              <w:spacing w:after="0"/>
              <w:rPr>
                <w:sz w:val="20"/>
                <w:szCs w:val="20"/>
                <w:color w:val="auto"/>
              </w:rPr>
            </w:pPr>
            <w:r>
              <w:rPr>
                <w:rFonts w:ascii="Arial" w:cs="Arial" w:eastAsia="Arial" w:hAnsi="Arial"/>
                <w:sz w:val="14"/>
                <w:szCs w:val="14"/>
                <w:color w:val="auto"/>
              </w:rPr>
              <w:t>Interest expense</w:t>
            </w: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192</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203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206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208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809</w:t>
            </w:r>
          </w:p>
        </w:tc>
        <w:tc>
          <w:tcPr>
            <w:tcW w:w="0" w:type="dxa"/>
            <w:vAlign w:val="bottom"/>
          </w:tcPr>
          <w:p>
            <w:pPr>
              <w:spacing w:after="0"/>
              <w:rPr>
                <w:sz w:val="1"/>
                <w:szCs w:val="1"/>
                <w:color w:val="auto"/>
              </w:rPr>
            </w:pPr>
          </w:p>
        </w:tc>
      </w:tr>
      <w:tr>
        <w:trPr>
          <w:trHeight w:val="203"/>
        </w:trPr>
        <w:tc>
          <w:tcPr>
            <w:tcW w:w="5120" w:type="dxa"/>
            <w:vAlign w:val="bottom"/>
          </w:tcPr>
          <w:p>
            <w:pPr>
              <w:spacing w:after="0"/>
              <w:rPr>
                <w:sz w:val="20"/>
                <w:szCs w:val="20"/>
                <w:color w:val="auto"/>
              </w:rPr>
            </w:pPr>
            <w:r>
              <w:rPr>
                <w:rFonts w:ascii="Arial" w:cs="Arial" w:eastAsia="Arial" w:hAnsi="Arial"/>
                <w:sz w:val="14"/>
                <w:szCs w:val="14"/>
                <w:color w:val="auto"/>
              </w:rPr>
              <w:t>Interest expense from unconsolidated joint ventures</w:t>
            </w: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203"/>
        </w:trPr>
        <w:tc>
          <w:tcPr>
            <w:tcW w:w="5120" w:type="dxa"/>
            <w:vAlign w:val="bottom"/>
          </w:tcPr>
          <w:p>
            <w:pPr>
              <w:spacing w:after="0"/>
              <w:rPr>
                <w:sz w:val="20"/>
                <w:szCs w:val="20"/>
                <w:color w:val="auto"/>
              </w:rPr>
            </w:pPr>
            <w:r>
              <w:rPr>
                <w:rFonts w:ascii="Arial" w:cs="Arial" w:eastAsia="Arial" w:hAnsi="Arial"/>
                <w:sz w:val="14"/>
                <w:szCs w:val="14"/>
                <w:color w:val="auto"/>
              </w:rPr>
              <w:t>Provision for income taxes</w:t>
            </w: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99</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291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266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137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793</w:t>
            </w:r>
          </w:p>
        </w:tc>
        <w:tc>
          <w:tcPr>
            <w:tcW w:w="0" w:type="dxa"/>
            <w:vAlign w:val="bottom"/>
          </w:tcPr>
          <w:p>
            <w:pPr>
              <w:spacing w:after="0"/>
              <w:rPr>
                <w:sz w:val="1"/>
                <w:szCs w:val="1"/>
                <w:color w:val="auto"/>
              </w:rPr>
            </w:pPr>
          </w:p>
        </w:tc>
      </w:tr>
      <w:tr>
        <w:trPr>
          <w:trHeight w:val="203"/>
        </w:trPr>
        <w:tc>
          <w:tcPr>
            <w:tcW w:w="5120" w:type="dxa"/>
            <w:vAlign w:val="bottom"/>
          </w:tcPr>
          <w:p>
            <w:pPr>
              <w:spacing w:after="0"/>
              <w:rPr>
                <w:sz w:val="20"/>
                <w:szCs w:val="20"/>
                <w:color w:val="auto"/>
              </w:rPr>
            </w:pPr>
            <w:r>
              <w:rPr>
                <w:rFonts w:ascii="Arial" w:cs="Arial" w:eastAsia="Arial" w:hAnsi="Arial"/>
                <w:sz w:val="14"/>
                <w:szCs w:val="14"/>
                <w:color w:val="auto"/>
              </w:rPr>
              <w:t>Depreciation and amortization</w:t>
            </w: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51</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213</w:t>
            </w:r>
          </w:p>
        </w:tc>
        <w:tc>
          <w:tcPr>
            <w:tcW w:w="0" w:type="dxa"/>
            <w:vAlign w:val="bottom"/>
          </w:tcPr>
          <w:p>
            <w:pPr>
              <w:spacing w:after="0"/>
              <w:rPr>
                <w:sz w:val="1"/>
                <w:szCs w:val="1"/>
                <w:color w:val="auto"/>
              </w:rPr>
            </w:pPr>
          </w:p>
        </w:tc>
      </w:tr>
      <w:tr>
        <w:trPr>
          <w:trHeight w:val="203"/>
        </w:trPr>
        <w:tc>
          <w:tcPr>
            <w:tcW w:w="5120" w:type="dxa"/>
            <w:vAlign w:val="bottom"/>
          </w:tcPr>
          <w:p>
            <w:pPr>
              <w:spacing w:after="0"/>
              <w:rPr>
                <w:sz w:val="20"/>
                <w:szCs w:val="20"/>
                <w:color w:val="auto"/>
              </w:rPr>
            </w:pPr>
            <w:r>
              <w:rPr>
                <w:rFonts w:ascii="Arial" w:cs="Arial" w:eastAsia="Arial" w:hAnsi="Arial"/>
                <w:sz w:val="14"/>
                <w:szCs w:val="14"/>
                <w:color w:val="auto"/>
              </w:rPr>
              <w:t>Contract investment amortization</w:t>
            </w: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135</w:t>
            </w:r>
          </w:p>
        </w:tc>
        <w:tc>
          <w:tcPr>
            <w:tcW w:w="0" w:type="dxa"/>
            <w:vAlign w:val="bottom"/>
          </w:tcPr>
          <w:p>
            <w:pPr>
              <w:spacing w:after="0"/>
              <w:rPr>
                <w:sz w:val="1"/>
                <w:szCs w:val="1"/>
                <w:color w:val="auto"/>
              </w:rPr>
            </w:pPr>
          </w:p>
        </w:tc>
      </w:tr>
      <w:tr>
        <w:trPr>
          <w:trHeight w:val="203"/>
        </w:trPr>
        <w:tc>
          <w:tcPr>
            <w:tcW w:w="5120" w:type="dxa"/>
            <w:vAlign w:val="bottom"/>
          </w:tcPr>
          <w:p>
            <w:pPr>
              <w:spacing w:after="0"/>
              <w:rPr>
                <w:sz w:val="20"/>
                <w:szCs w:val="20"/>
                <w:color w:val="auto"/>
              </w:rPr>
            </w:pPr>
            <w:r>
              <w:rPr>
                <w:rFonts w:ascii="Arial" w:cs="Arial" w:eastAsia="Arial" w:hAnsi="Arial"/>
                <w:sz w:val="14"/>
                <w:szCs w:val="14"/>
                <w:color w:val="auto"/>
              </w:rPr>
              <w:t>Depreciation and amortization classified in reimbursed expenses</w:t>
            </w: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57</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251</w:t>
            </w:r>
          </w:p>
        </w:tc>
        <w:tc>
          <w:tcPr>
            <w:tcW w:w="0" w:type="dxa"/>
            <w:vAlign w:val="bottom"/>
          </w:tcPr>
          <w:p>
            <w:pPr>
              <w:spacing w:after="0"/>
              <w:rPr>
                <w:sz w:val="1"/>
                <w:szCs w:val="1"/>
                <w:color w:val="auto"/>
              </w:rPr>
            </w:pPr>
          </w:p>
        </w:tc>
      </w:tr>
      <w:tr>
        <w:trPr>
          <w:trHeight w:val="203"/>
        </w:trPr>
        <w:tc>
          <w:tcPr>
            <w:tcW w:w="5120" w:type="dxa"/>
            <w:vAlign w:val="bottom"/>
          </w:tcPr>
          <w:p>
            <w:pPr>
              <w:spacing w:after="0"/>
              <w:rPr>
                <w:sz w:val="20"/>
                <w:szCs w:val="20"/>
                <w:color w:val="auto"/>
              </w:rPr>
            </w:pPr>
            <w:r>
              <w:rPr>
                <w:rFonts w:ascii="Arial" w:cs="Arial" w:eastAsia="Arial" w:hAnsi="Arial"/>
                <w:sz w:val="14"/>
                <w:szCs w:val="14"/>
                <w:color w:val="auto"/>
              </w:rPr>
              <w:t>Depreciation, amortization, and impairments from unconsolidated joint ventures</w:t>
            </w: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203"/>
        </w:trPr>
        <w:tc>
          <w:tcPr>
            <w:tcW w:w="5120" w:type="dxa"/>
            <w:vAlign w:val="bottom"/>
          </w:tcPr>
          <w:p>
            <w:pPr>
              <w:spacing w:after="0"/>
              <w:rPr>
                <w:sz w:val="20"/>
                <w:szCs w:val="20"/>
                <w:color w:val="auto"/>
              </w:rPr>
            </w:pPr>
            <w:r>
              <w:rPr>
                <w:rFonts w:ascii="Arial" w:cs="Arial" w:eastAsia="Arial" w:hAnsi="Arial"/>
                <w:sz w:val="14"/>
                <w:szCs w:val="14"/>
                <w:color w:val="auto"/>
              </w:rPr>
              <w:t>Stock-based compensation</w:t>
            </w: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52</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236</w:t>
            </w:r>
          </w:p>
        </w:tc>
        <w:tc>
          <w:tcPr>
            <w:tcW w:w="0" w:type="dxa"/>
            <w:vAlign w:val="bottom"/>
          </w:tcPr>
          <w:p>
            <w:pPr>
              <w:spacing w:after="0"/>
              <w:rPr>
                <w:sz w:val="1"/>
                <w:szCs w:val="1"/>
                <w:color w:val="auto"/>
              </w:rPr>
            </w:pPr>
          </w:p>
        </w:tc>
      </w:tr>
      <w:tr>
        <w:trPr>
          <w:trHeight w:val="203"/>
        </w:trPr>
        <w:tc>
          <w:tcPr>
            <w:tcW w:w="5120" w:type="dxa"/>
            <w:vAlign w:val="bottom"/>
          </w:tcPr>
          <w:p>
            <w:pPr>
              <w:spacing w:after="0"/>
              <w:rPr>
                <w:sz w:val="20"/>
                <w:szCs w:val="20"/>
                <w:color w:val="auto"/>
              </w:rPr>
            </w:pPr>
            <w:r>
              <w:rPr>
                <w:rFonts w:ascii="Arial" w:cs="Arial" w:eastAsia="Arial" w:hAnsi="Arial"/>
                <w:sz w:val="14"/>
                <w:szCs w:val="14"/>
                <w:color w:val="auto"/>
              </w:rPr>
              <w:t>Restructuring and merger-related charges (recoveries), and other</w:t>
            </w: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07"/>
        </w:trPr>
        <w:tc>
          <w:tcPr>
            <w:tcW w:w="5120" w:type="dxa"/>
            <w:vAlign w:val="bottom"/>
          </w:tcPr>
          <w:p>
            <w:pPr>
              <w:spacing w:after="0"/>
              <w:rPr>
                <w:sz w:val="20"/>
                <w:szCs w:val="20"/>
                <w:color w:val="auto"/>
              </w:rPr>
            </w:pPr>
            <w:r>
              <w:rPr>
                <w:rFonts w:ascii="Arial" w:cs="Arial" w:eastAsia="Arial" w:hAnsi="Arial"/>
                <w:sz w:val="14"/>
                <w:szCs w:val="14"/>
                <w:color w:val="auto"/>
              </w:rPr>
              <w:t>Expenses related to Sonder Termination</w:t>
            </w:r>
          </w:p>
        </w:tc>
        <w:tc>
          <w:tcPr>
            <w:tcW w:w="8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200"/>
        </w:trPr>
        <w:tc>
          <w:tcPr>
            <w:tcW w:w="5120" w:type="dxa"/>
            <w:vAlign w:val="bottom"/>
          </w:tcPr>
          <w:p>
            <w:pPr>
              <w:spacing w:after="0"/>
              <w:rPr>
                <w:sz w:val="20"/>
                <w:szCs w:val="20"/>
                <w:color w:val="auto"/>
              </w:rPr>
            </w:pPr>
            <w:r>
              <w:rPr>
                <w:rFonts w:ascii="Arial" w:cs="Arial" w:eastAsia="Arial" w:hAnsi="Arial"/>
                <w:sz w:val="14"/>
                <w:szCs w:val="14"/>
                <w:b w:val="1"/>
                <w:bCs w:val="1"/>
                <w:color w:val="auto"/>
              </w:rPr>
              <w:t>Adjusted EBITDA</w:t>
            </w:r>
            <w:r>
              <w:rPr>
                <w:rFonts w:ascii="Arial" w:cs="Arial" w:eastAsia="Arial" w:hAnsi="Arial"/>
                <w:sz w:val="9"/>
                <w:szCs w:val="9"/>
                <w:b w:val="1"/>
                <w:bCs w:val="1"/>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1,217</w:t>
            </w:r>
          </w:p>
        </w:tc>
        <w:tc>
          <w:tcPr>
            <w:tcW w:w="100" w:type="dxa"/>
            <w:vAlign w:val="bottom"/>
          </w:tcPr>
          <w:p>
            <w:pPr>
              <w:spacing w:after="0"/>
              <w:rPr>
                <w:sz w:val="17"/>
                <w:szCs w:val="17"/>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1,415</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1,349</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1,402</w:t>
            </w:r>
          </w:p>
        </w:tc>
        <w:tc>
          <w:tcPr>
            <w:tcW w:w="10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5,383</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ind w:right="20" w:firstLine="6"/>
        <w:spacing w:after="0" w:line="214" w:lineRule="auto"/>
        <w:tabs>
          <w:tab w:leader="none" w:pos="132" w:val="left"/>
        </w:tabs>
        <w:numPr>
          <w:ilvl w:val="0"/>
          <w:numId w:val="26"/>
        </w:numPr>
        <w:rPr>
          <w:rFonts w:ascii="Arial" w:cs="Arial" w:eastAsia="Arial" w:hAnsi="Arial"/>
          <w:sz w:val="19"/>
          <w:szCs w:val="19"/>
          <w:color w:val="auto"/>
          <w:vertAlign w:val="superscript"/>
        </w:rPr>
      </w:pPr>
      <w:r>
        <w:rPr>
          <w:rFonts w:ascii="Arial" w:cs="Arial" w:eastAsia="Arial" w:hAnsi="Arial"/>
          <w:sz w:val="14"/>
          <w:szCs w:val="14"/>
          <w:color w:val="auto"/>
        </w:rPr>
        <w:t>Denotes non-GAAP financial measures. Please see the Explanation of Non-GAAP Financial and Performance Measures section in these press release schedules for information about our reasons for providing these alternative financial measures and the limitations on their 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A-11</w:t>
      </w:r>
    </w:p>
    <w:p>
      <w:pPr>
        <w:sectPr>
          <w:pgSz w:w="11900" w:h="16838" w:orient="portrait"/>
          <w:cols w:equalWidth="0" w:num="1">
            <w:col w:w="11220"/>
          </w:cols>
          <w:pgMar w:left="340" w:top="1219" w:right="339" w:bottom="1440" w:gutter="0" w:footer="0" w:header="0"/>
        </w:sectPr>
      </w:pPr>
    </w:p>
    <w:bookmarkStart w:id="21" w:name="page22"/>
    <w:bookmarkEnd w:id="21"/>
    <w:p>
      <w:pPr>
        <w:jc w:val="center"/>
        <w:ind w:right="19"/>
        <w:spacing w:after="0"/>
        <w:rPr>
          <w:sz w:val="20"/>
          <w:szCs w:val="20"/>
          <w:color w:val="auto"/>
        </w:rPr>
      </w:pPr>
      <w:r>
        <w:rPr>
          <w:rFonts w:ascii="Arial" w:cs="Arial" w:eastAsia="Arial" w:hAnsi="Arial"/>
          <w:sz w:val="16"/>
          <w:szCs w:val="16"/>
          <w:b w:val="1"/>
          <w:bCs w:val="1"/>
          <w:color w:val="auto"/>
        </w:rPr>
        <w:t>MARRIOTT INTERNATIONAL, INC.</w:t>
      </w:r>
    </w:p>
    <w:p>
      <w:pPr>
        <w:spacing w:after="0" w:line="3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NON-GAAP FINANCIAL MEASURES</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ADJUSTED EBITDA FORECAST</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SECOND QUARTER 2026</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 in millions)</w:t>
      </w:r>
    </w:p>
    <w:p>
      <w:pPr>
        <w:spacing w:after="0" w:line="251" w:lineRule="exact"/>
        <w:rPr>
          <w:sz w:val="20"/>
          <w:szCs w:val="20"/>
          <w:color w:val="auto"/>
        </w:rPr>
      </w:pPr>
    </w:p>
    <w:tbl>
      <w:tblPr>
        <w:tblLayout w:type="fixed"/>
        <w:tblInd w:w="1" w:type="dxa"/>
        <w:tblCellMar>
          <w:top w:w="0" w:type="dxa"/>
          <w:left w:w="0" w:type="dxa"/>
          <w:bottom w:w="0" w:type="dxa"/>
          <w:right w:w="0" w:type="dxa"/>
        </w:tblCellMar>
      </w:tblPr>
      <w:tr>
        <w:trPr>
          <w:trHeight w:val="217"/>
        </w:trPr>
        <w:tc>
          <w:tcPr>
            <w:tcW w:w="64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3"/>
          </w:tcPr>
          <w:p>
            <w:pPr>
              <w:jc w:val="center"/>
              <w:ind w:right="219"/>
              <w:spacing w:after="0"/>
              <w:rPr>
                <w:sz w:val="20"/>
                <w:szCs w:val="20"/>
                <w:color w:val="auto"/>
              </w:rPr>
            </w:pPr>
            <w:r>
              <w:rPr>
                <w:rFonts w:ascii="Arial" w:cs="Arial" w:eastAsia="Arial" w:hAnsi="Arial"/>
                <w:sz w:val="16"/>
                <w:szCs w:val="16"/>
                <w:b w:val="1"/>
                <w:bCs w:val="1"/>
                <w:color w:val="auto"/>
                <w:w w:val="98"/>
              </w:rPr>
              <w:t>Range</w:t>
            </w:r>
          </w:p>
        </w:tc>
        <w:tc>
          <w:tcPr>
            <w:tcW w:w="8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6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0" w:type="dxa"/>
            <w:vAlign w:val="bottom"/>
            <w:gridSpan w:val="4"/>
          </w:tcPr>
          <w:p>
            <w:pPr>
              <w:jc w:val="center"/>
              <w:ind w:left="339"/>
              <w:spacing w:after="0" w:line="155" w:lineRule="exact"/>
              <w:rPr>
                <w:sz w:val="20"/>
                <w:szCs w:val="20"/>
                <w:color w:val="auto"/>
              </w:rPr>
            </w:pPr>
            <w:r>
              <w:rPr>
                <w:rFonts w:ascii="Arial" w:cs="Arial" w:eastAsia="Arial" w:hAnsi="Arial"/>
                <w:sz w:val="16"/>
                <w:szCs w:val="16"/>
                <w:b w:val="1"/>
                <w:bCs w:val="1"/>
                <w:color w:val="auto"/>
              </w:rPr>
              <w:t>Estimated</w:t>
            </w: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8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Second Quarter 2025</w:t>
            </w:r>
          </w:p>
        </w:tc>
        <w:tc>
          <w:tcPr>
            <w:tcW w:w="0" w:type="dxa"/>
            <w:vAlign w:val="bottom"/>
          </w:tcPr>
          <w:p>
            <w:pPr>
              <w:spacing w:after="0"/>
              <w:rPr>
                <w:sz w:val="1"/>
                <w:szCs w:val="1"/>
                <w:color w:val="auto"/>
              </w:rPr>
            </w:pPr>
          </w:p>
        </w:tc>
      </w:tr>
      <w:tr>
        <w:trPr>
          <w:trHeight w:val="216"/>
        </w:trPr>
        <w:tc>
          <w:tcPr>
            <w:tcW w:w="6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20" w:type="dxa"/>
            <w:vAlign w:val="bottom"/>
            <w:gridSpan w:val="6"/>
          </w:tcPr>
          <w:p>
            <w:pPr>
              <w:jc w:val="center"/>
              <w:ind w:right="460"/>
              <w:spacing w:after="0"/>
              <w:rPr>
                <w:sz w:val="20"/>
                <w:szCs w:val="20"/>
                <w:color w:val="auto"/>
              </w:rPr>
            </w:pPr>
            <w:r>
              <w:rPr>
                <w:rFonts w:ascii="Arial" w:cs="Arial" w:eastAsia="Arial" w:hAnsi="Arial"/>
                <w:sz w:val="16"/>
                <w:szCs w:val="16"/>
                <w:b w:val="1"/>
                <w:bCs w:val="1"/>
                <w:color w:val="auto"/>
              </w:rPr>
              <w:t>Second Quarter 2026</w:t>
            </w:r>
          </w:p>
        </w:tc>
        <w:tc>
          <w:tcPr>
            <w:tcW w:w="120" w:type="dxa"/>
            <w:vAlign w:val="bottom"/>
          </w:tcPr>
          <w:p>
            <w:pPr>
              <w:spacing w:after="0"/>
              <w:rPr>
                <w:sz w:val="18"/>
                <w:szCs w:val="18"/>
                <w:color w:val="auto"/>
              </w:rPr>
            </w:pPr>
          </w:p>
        </w:tc>
        <w:tc>
          <w:tcPr>
            <w:tcW w:w="1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420" w:type="dxa"/>
            <w:vAlign w:val="bottom"/>
          </w:tcPr>
          <w:p>
            <w:pPr>
              <w:spacing w:after="0" w:line="209" w:lineRule="exact"/>
              <w:rPr>
                <w:sz w:val="20"/>
                <w:szCs w:val="20"/>
                <w:color w:val="auto"/>
              </w:rPr>
            </w:pPr>
            <w:r>
              <w:rPr>
                <w:rFonts w:ascii="Arial" w:cs="Arial" w:eastAsia="Arial" w:hAnsi="Arial"/>
                <w:sz w:val="16"/>
                <w:szCs w:val="16"/>
                <w:color w:val="auto"/>
              </w:rPr>
              <w:t>Net income excluding certain items</w:t>
            </w:r>
            <w:r>
              <w:rPr>
                <w:rFonts w:ascii="Arial" w:cs="Arial" w:eastAsia="Arial" w:hAnsi="Arial"/>
                <w:sz w:val="21"/>
                <w:szCs w:val="21"/>
                <w:color w:val="auto"/>
                <w:vertAlign w:val="superscript"/>
              </w:rPr>
              <w:t>1, 2</w:t>
            </w: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744</w:t>
            </w:r>
          </w:p>
        </w:tc>
        <w:tc>
          <w:tcPr>
            <w:tcW w:w="820" w:type="dxa"/>
            <w:vAlign w:val="bottom"/>
            <w:tcBorders>
              <w:top w:val="single" w:sz="8" w:color="auto"/>
            </w:tcBorders>
            <w:gridSpan w:val="3"/>
          </w:tcPr>
          <w:p>
            <w:pPr>
              <w:jc w:val="right"/>
              <w:ind w:right="319"/>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762</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420" w:type="dxa"/>
            <w:vAlign w:val="bottom"/>
          </w:tcPr>
          <w:p>
            <w:pPr>
              <w:spacing w:after="0"/>
              <w:rPr>
                <w:sz w:val="20"/>
                <w:szCs w:val="20"/>
                <w:color w:val="auto"/>
              </w:rPr>
            </w:pPr>
            <w:r>
              <w:rPr>
                <w:rFonts w:ascii="Arial" w:cs="Arial" w:eastAsia="Arial" w:hAnsi="Arial"/>
                <w:sz w:val="16"/>
                <w:szCs w:val="16"/>
                <w:color w:val="auto"/>
              </w:rPr>
              <w:t>Interest expense</w:t>
            </w: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223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tcPr>
          <w:p>
            <w:pPr>
              <w:jc w:val="right"/>
              <w:ind w:right="139"/>
              <w:spacing w:after="0"/>
              <w:rPr>
                <w:sz w:val="20"/>
                <w:szCs w:val="20"/>
                <w:color w:val="auto"/>
              </w:rPr>
            </w:pPr>
            <w:r>
              <w:rPr>
                <w:rFonts w:ascii="Arial" w:cs="Arial" w:eastAsia="Arial" w:hAnsi="Arial"/>
                <w:sz w:val="16"/>
                <w:szCs w:val="16"/>
                <w:color w:val="auto"/>
              </w:rPr>
              <w:t>223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6"/>
                <w:szCs w:val="16"/>
                <w:color w:val="auto"/>
              </w:rPr>
              <w:t>Interest expense from unconsolidated joint ventures</w:t>
            </w: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tcPr>
          <w:p>
            <w:pPr>
              <w:jc w:val="right"/>
              <w:ind w:right="13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6"/>
                <w:szCs w:val="16"/>
                <w:color w:val="auto"/>
              </w:rPr>
              <w:t>Provision for income taxes</w:t>
            </w: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267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tcPr>
          <w:p>
            <w:pPr>
              <w:jc w:val="right"/>
              <w:ind w:right="139"/>
              <w:spacing w:after="0"/>
              <w:rPr>
                <w:sz w:val="20"/>
                <w:szCs w:val="20"/>
                <w:color w:val="auto"/>
              </w:rPr>
            </w:pPr>
            <w:r>
              <w:rPr>
                <w:rFonts w:ascii="Arial" w:cs="Arial" w:eastAsia="Arial" w:hAnsi="Arial"/>
                <w:sz w:val="16"/>
                <w:szCs w:val="16"/>
                <w:color w:val="auto"/>
              </w:rPr>
              <w:t>274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420" w:type="dxa"/>
            <w:vAlign w:val="bottom"/>
          </w:tcPr>
          <w:p>
            <w:pPr>
              <w:spacing w:after="0" w:line="218" w:lineRule="exact"/>
              <w:rPr>
                <w:sz w:val="20"/>
                <w:szCs w:val="20"/>
                <w:color w:val="auto"/>
              </w:rPr>
            </w:pPr>
            <w:r>
              <w:rPr>
                <w:rFonts w:ascii="Arial" w:cs="Arial" w:eastAsia="Arial" w:hAnsi="Arial"/>
                <w:sz w:val="16"/>
                <w:szCs w:val="16"/>
                <w:color w:val="auto"/>
              </w:rPr>
              <w:t>Depreciation and amortization</w:t>
            </w:r>
            <w:r>
              <w:rPr>
                <w:rFonts w:ascii="Arial" w:cs="Arial" w:eastAsia="Arial" w:hAnsi="Arial"/>
                <w:sz w:val="21"/>
                <w:szCs w:val="21"/>
                <w:color w:val="auto"/>
                <w:vertAlign w:val="superscript"/>
              </w:rPr>
              <w:t>2</w:t>
            </w: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tcPr>
          <w:p>
            <w:pPr>
              <w:jc w:val="right"/>
              <w:ind w:right="139"/>
              <w:spacing w:after="0"/>
              <w:rPr>
                <w:sz w:val="20"/>
                <w:szCs w:val="20"/>
                <w:color w:val="auto"/>
              </w:rPr>
            </w:pPr>
            <w:r>
              <w:rPr>
                <w:rFonts w:ascii="Arial" w:cs="Arial" w:eastAsia="Arial" w:hAnsi="Arial"/>
                <w:sz w:val="16"/>
                <w:szCs w:val="16"/>
                <w:color w:val="auto"/>
              </w:rPr>
              <w:t>117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420" w:type="dxa"/>
            <w:vAlign w:val="bottom"/>
          </w:tcPr>
          <w:p>
            <w:pPr>
              <w:spacing w:after="0"/>
              <w:rPr>
                <w:sz w:val="20"/>
                <w:szCs w:val="20"/>
                <w:color w:val="auto"/>
              </w:rPr>
            </w:pPr>
            <w:r>
              <w:rPr>
                <w:rFonts w:ascii="Arial" w:cs="Arial" w:eastAsia="Arial" w:hAnsi="Arial"/>
                <w:sz w:val="16"/>
                <w:szCs w:val="16"/>
                <w:color w:val="auto"/>
              </w:rPr>
              <w:t>Contract investment amortization</w:t>
            </w: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tcPr>
          <w:p>
            <w:pPr>
              <w:jc w:val="right"/>
              <w:ind w:right="139"/>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6"/>
                <w:szCs w:val="16"/>
                <w:color w:val="auto"/>
              </w:rPr>
              <w:t>Depreciation and amortization classified in reimbursed expenses</w:t>
            </w: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tcPr>
          <w:p>
            <w:pPr>
              <w:jc w:val="right"/>
              <w:ind w:right="139"/>
              <w:spacing w:after="0"/>
              <w:rPr>
                <w:sz w:val="20"/>
                <w:szCs w:val="20"/>
                <w:color w:val="auto"/>
              </w:rPr>
            </w:pPr>
            <w:r>
              <w:rPr>
                <w:rFonts w:ascii="Arial" w:cs="Arial" w:eastAsia="Arial" w:hAnsi="Arial"/>
                <w:sz w:val="16"/>
                <w:szCs w:val="16"/>
                <w:color w:val="auto"/>
              </w:rPr>
              <w:t>75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6"/>
                <w:szCs w:val="16"/>
                <w:color w:val="auto"/>
              </w:rPr>
              <w:t>Depreciation, amortization, and impairments from unconsolidated joint ventures</w:t>
            </w: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tcPr>
          <w:p>
            <w:pPr>
              <w:jc w:val="right"/>
              <w:ind w:right="139"/>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420" w:type="dxa"/>
            <w:vAlign w:val="bottom"/>
          </w:tcPr>
          <w:p>
            <w:pPr>
              <w:spacing w:after="0"/>
              <w:rPr>
                <w:sz w:val="20"/>
                <w:szCs w:val="20"/>
                <w:color w:val="auto"/>
              </w:rPr>
            </w:pPr>
            <w:r>
              <w:rPr>
                <w:rFonts w:ascii="Arial" w:cs="Arial" w:eastAsia="Arial" w:hAnsi="Arial"/>
                <w:sz w:val="16"/>
                <w:szCs w:val="16"/>
                <w:color w:val="auto"/>
              </w:rPr>
              <w:t>Stock-based compensation</w:t>
            </w: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w:t>
            </w:r>
          </w:p>
        </w:tc>
        <w:tc>
          <w:tcPr>
            <w:tcW w:w="2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61</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420" w:type="dxa"/>
            <w:vAlign w:val="bottom"/>
          </w:tcPr>
          <w:p>
            <w:pPr>
              <w:spacing w:after="0" w:line="211" w:lineRule="exact"/>
              <w:rPr>
                <w:sz w:val="20"/>
                <w:szCs w:val="20"/>
                <w:color w:val="auto"/>
              </w:rPr>
            </w:pPr>
            <w:r>
              <w:rPr>
                <w:rFonts w:ascii="Arial" w:cs="Arial" w:eastAsia="Arial" w:hAnsi="Arial"/>
                <w:sz w:val="16"/>
                <w:szCs w:val="16"/>
                <w:b w:val="1"/>
                <w:bCs w:val="1"/>
                <w:color w:val="auto"/>
              </w:rPr>
              <w:t>Adjusted EBITDA</w:t>
            </w:r>
            <w:r>
              <w:rPr>
                <w:rFonts w:ascii="Arial" w:cs="Arial" w:eastAsia="Arial" w:hAnsi="Arial"/>
                <w:sz w:val="21"/>
                <w:szCs w:val="21"/>
                <w:b w:val="1"/>
                <w:bCs w:val="1"/>
                <w:color w:val="auto"/>
                <w:vertAlign w:val="superscript"/>
              </w:rPr>
              <w:t>†</w:t>
            </w: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1,525</w:t>
            </w:r>
          </w:p>
        </w:tc>
        <w:tc>
          <w:tcPr>
            <w:tcW w:w="2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1,550</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1,415</w:t>
            </w: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5"/>
        </w:trPr>
        <w:tc>
          <w:tcPr>
            <w:tcW w:w="6420" w:type="dxa"/>
            <w:vAlign w:val="bottom"/>
          </w:tcPr>
          <w:p>
            <w:pPr>
              <w:spacing w:after="0"/>
              <w:rPr>
                <w:sz w:val="20"/>
                <w:szCs w:val="20"/>
                <w:color w:val="auto"/>
              </w:rPr>
            </w:pPr>
            <w:r>
              <w:rPr>
                <w:rFonts w:ascii="Arial" w:cs="Arial" w:eastAsia="Arial" w:hAnsi="Arial"/>
                <w:sz w:val="16"/>
                <w:szCs w:val="16"/>
                <w:b w:val="1"/>
                <w:bCs w:val="1"/>
                <w:color w:val="auto"/>
              </w:rPr>
              <w:t>Increase over 2025 Adjusted EBITDA</w:t>
            </w:r>
            <w:r>
              <w:rPr>
                <w:rFonts w:ascii="Arial" w:cs="Arial" w:eastAsia="Arial" w:hAnsi="Arial"/>
                <w:sz w:val="21"/>
                <w:szCs w:val="21"/>
                <w:b w:val="1"/>
                <w:bCs w:val="1"/>
                <w:color w:val="auto"/>
                <w:vertAlign w:val="superscript"/>
              </w:rPr>
              <w:t>†</w:t>
            </w:r>
          </w:p>
        </w:tc>
        <w:tc>
          <w:tcPr>
            <w:tcW w:w="340" w:type="dxa"/>
            <w:vAlign w:val="bottom"/>
          </w:tcPr>
          <w:p>
            <w:pPr>
              <w:spacing w:after="0"/>
              <w:rPr>
                <w:sz w:val="24"/>
                <w:szCs w:val="24"/>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b w:val="1"/>
                <w:bCs w:val="1"/>
                <w:color w:val="auto"/>
              </w:rPr>
              <w:t>8 %</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10 %</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1" w:right="600" w:hanging="1"/>
        <w:spacing w:after="0" w:line="214" w:lineRule="auto"/>
        <w:tabs>
          <w:tab w:leader="none" w:pos="78" w:val="left"/>
        </w:tabs>
        <w:numPr>
          <w:ilvl w:val="0"/>
          <w:numId w:val="27"/>
        </w:numPr>
        <w:rPr>
          <w:rFonts w:ascii="Arial" w:cs="Arial" w:eastAsia="Arial" w:hAnsi="Arial"/>
          <w:sz w:val="19"/>
          <w:szCs w:val="19"/>
          <w:color w:val="auto"/>
          <w:vertAlign w:val="superscript"/>
        </w:rPr>
      </w:pPr>
      <w:r>
        <w:rPr>
          <w:rFonts w:ascii="Arial" w:cs="Arial" w:eastAsia="Arial" w:hAnsi="Arial"/>
          <w:sz w:val="14"/>
          <w:szCs w:val="14"/>
          <w:color w:val="auto"/>
        </w:rPr>
        <w:t>Denotes non-GAAP financial measures. Please see the Explanation of Non-GAAP Financial and Performance Measures section in these press release schedules for information about our reasons for providing these alternative financial measures and the limitations on their use.</w:t>
      </w:r>
    </w:p>
    <w:p>
      <w:pPr>
        <w:spacing w:after="0" w:line="283" w:lineRule="exact"/>
        <w:rPr>
          <w:sz w:val="20"/>
          <w:szCs w:val="20"/>
          <w:color w:val="auto"/>
        </w:rPr>
      </w:pPr>
    </w:p>
    <w:p>
      <w:pPr>
        <w:ind w:left="1" w:right="40" w:hanging="1"/>
        <w:spacing w:after="0" w:line="215" w:lineRule="auto"/>
        <w:tabs>
          <w:tab w:leader="none" w:pos="92" w:val="left"/>
        </w:tabs>
        <w:numPr>
          <w:ilvl w:val="0"/>
          <w:numId w:val="28"/>
        </w:numPr>
        <w:rPr>
          <w:rFonts w:ascii="Arial" w:cs="Arial" w:eastAsia="Arial" w:hAnsi="Arial"/>
          <w:sz w:val="19"/>
          <w:szCs w:val="19"/>
          <w:color w:val="auto"/>
          <w:vertAlign w:val="superscript"/>
        </w:rPr>
      </w:pPr>
      <w:r>
        <w:rPr>
          <w:rFonts w:ascii="Arial" w:cs="Arial" w:eastAsia="Arial" w:hAnsi="Arial"/>
          <w:sz w:val="14"/>
          <w:szCs w:val="14"/>
          <w:color w:val="auto"/>
        </w:rPr>
        <w:t>Forecast excludes cost reimbursement revenue, reimbursed expenses, and restructuring and merger-related charges, and other expenses, each of which the company cannot forecast with sufficient accuracy and without unreasonable efforts, and which may be significant, except for depreciation and amortization classified in reimbursed expenses, which is included in the caption "Depreciation and amortization classified in reimbursed expenses" above. Forecast includes the impact of our planned sale of a U.S. &amp; Canada hotel, which we assume will occur later in the 2026 second quarter, and our planned investment in Lefay, which we assume will occur later this year. Forecast does not reflect any other potential asset sales or property or brand acquisitions that may occur during the year, each of which the company cannot forecast with sufficient accuracy and without unreasonable efforts, and which may be significant.</w:t>
      </w:r>
    </w:p>
    <w:p>
      <w:pPr>
        <w:spacing w:after="0" w:line="2" w:lineRule="exact"/>
        <w:rPr>
          <w:sz w:val="20"/>
          <w:szCs w:val="20"/>
          <w:color w:val="auto"/>
        </w:rPr>
      </w:pPr>
    </w:p>
    <w:p>
      <w:pPr>
        <w:ind w:left="1" w:right="100" w:hanging="1"/>
        <w:spacing w:after="0" w:line="213" w:lineRule="auto"/>
        <w:tabs>
          <w:tab w:leader="none" w:pos="92" w:val="left"/>
        </w:tabs>
        <w:numPr>
          <w:ilvl w:val="0"/>
          <w:numId w:val="29"/>
        </w:numPr>
        <w:rPr>
          <w:rFonts w:ascii="Arial" w:cs="Arial" w:eastAsia="Arial" w:hAnsi="Arial"/>
          <w:sz w:val="19"/>
          <w:szCs w:val="19"/>
          <w:color w:val="auto"/>
          <w:vertAlign w:val="superscript"/>
        </w:rPr>
      </w:pPr>
      <w:r>
        <w:rPr>
          <w:rFonts w:ascii="Arial" w:cs="Arial" w:eastAsia="Arial" w:hAnsi="Arial"/>
          <w:sz w:val="14"/>
          <w:szCs w:val="14"/>
          <w:color w:val="auto"/>
        </w:rPr>
        <w:t>Includes the midpoint of the range of our expected 2026 second quarter impairment charge of approximately $65 million to $70 million related to our planned sale of a U.S. &amp; Canada hotel.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A-12</w:t>
      </w:r>
    </w:p>
    <w:p>
      <w:pPr>
        <w:sectPr>
          <w:pgSz w:w="11900" w:h="16838" w:orient="portrait"/>
          <w:cols w:equalWidth="0" w:num="1">
            <w:col w:w="11181"/>
          </w:cols>
          <w:pgMar w:left="359" w:top="1219" w:right="359" w:bottom="1440" w:gutter="0" w:footer="0" w:header="0"/>
        </w:sectPr>
      </w:pPr>
    </w:p>
    <w:bookmarkStart w:id="22" w:name="page23"/>
    <w:bookmarkEnd w:id="22"/>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MARRIOTT INTERNATIONAL, INC.</w:t>
      </w:r>
    </w:p>
    <w:p>
      <w:pPr>
        <w:spacing w:after="0" w:line="3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NON-GAAP FINANCIAL MEASURES</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ADJUSTED EBITDA FORECAST</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FULL YEAR 2026</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 in millions)</w:t>
      </w:r>
    </w:p>
    <w:p>
      <w:pPr>
        <w:spacing w:after="0" w:line="251" w:lineRule="exact"/>
        <w:rPr>
          <w:sz w:val="20"/>
          <w:szCs w:val="20"/>
          <w:color w:val="auto"/>
        </w:rPr>
      </w:pPr>
    </w:p>
    <w:tbl>
      <w:tblPr>
        <w:tblLayout w:type="fixed"/>
        <w:tblInd w:w="1" w:type="dxa"/>
        <w:tblCellMar>
          <w:top w:w="0" w:type="dxa"/>
          <w:left w:w="0" w:type="dxa"/>
          <w:bottom w:w="0" w:type="dxa"/>
          <w:right w:w="0" w:type="dxa"/>
        </w:tblCellMar>
      </w:tblPr>
      <w:tr>
        <w:trPr>
          <w:trHeight w:val="217"/>
        </w:trPr>
        <w:tc>
          <w:tcPr>
            <w:tcW w:w="64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center"/>
              <w:ind w:left="219"/>
              <w:spacing w:after="0"/>
              <w:rPr>
                <w:sz w:val="20"/>
                <w:szCs w:val="20"/>
                <w:color w:val="auto"/>
              </w:rPr>
            </w:pPr>
            <w:r>
              <w:rPr>
                <w:rFonts w:ascii="Arial" w:cs="Arial" w:eastAsia="Arial" w:hAnsi="Arial"/>
                <w:sz w:val="16"/>
                <w:szCs w:val="16"/>
                <w:b w:val="1"/>
                <w:bCs w:val="1"/>
                <w:color w:val="auto"/>
                <w:w w:val="98"/>
              </w:rPr>
              <w:t>Range</w:t>
            </w:r>
          </w:p>
        </w:tc>
        <w:tc>
          <w:tcPr>
            <w:tcW w:w="7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6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20" w:type="dxa"/>
            <w:vAlign w:val="bottom"/>
            <w:gridSpan w:val="3"/>
          </w:tcPr>
          <w:p>
            <w:pPr>
              <w:jc w:val="center"/>
              <w:ind w:left="159"/>
              <w:spacing w:after="0" w:line="155" w:lineRule="exact"/>
              <w:rPr>
                <w:sz w:val="20"/>
                <w:szCs w:val="20"/>
                <w:color w:val="auto"/>
              </w:rPr>
            </w:pPr>
            <w:r>
              <w:rPr>
                <w:rFonts w:ascii="Arial" w:cs="Arial" w:eastAsia="Arial" w:hAnsi="Arial"/>
                <w:sz w:val="16"/>
                <w:szCs w:val="16"/>
                <w:b w:val="1"/>
                <w:bCs w:val="1"/>
                <w:color w:val="auto"/>
              </w:rPr>
              <w:t>Estimated</w:t>
            </w: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40" w:type="dxa"/>
            <w:vAlign w:val="bottom"/>
            <w:vMerge w:val="restart"/>
          </w:tcPr>
          <w:p>
            <w:pPr>
              <w:jc w:val="right"/>
              <w:ind w:right="319"/>
              <w:spacing w:after="0"/>
              <w:rPr>
                <w:sz w:val="20"/>
                <w:szCs w:val="20"/>
                <w:color w:val="auto"/>
              </w:rPr>
            </w:pPr>
            <w:r>
              <w:rPr>
                <w:rFonts w:ascii="Arial" w:cs="Arial" w:eastAsia="Arial" w:hAnsi="Arial"/>
                <w:sz w:val="16"/>
                <w:szCs w:val="16"/>
                <w:b w:val="1"/>
                <w:bCs w:val="1"/>
                <w:color w:val="auto"/>
              </w:rPr>
              <w:t>Full Year 2025</w:t>
            </w:r>
          </w:p>
        </w:tc>
        <w:tc>
          <w:tcPr>
            <w:tcW w:w="0" w:type="dxa"/>
            <w:vAlign w:val="bottom"/>
          </w:tcPr>
          <w:p>
            <w:pPr>
              <w:spacing w:after="0"/>
              <w:rPr>
                <w:sz w:val="1"/>
                <w:szCs w:val="1"/>
                <w:color w:val="auto"/>
              </w:rPr>
            </w:pPr>
          </w:p>
        </w:tc>
      </w:tr>
      <w:tr>
        <w:trPr>
          <w:trHeight w:val="216"/>
        </w:trPr>
        <w:tc>
          <w:tcPr>
            <w:tcW w:w="64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center"/>
              <w:ind w:left="219"/>
              <w:spacing w:after="0"/>
              <w:rPr>
                <w:sz w:val="20"/>
                <w:szCs w:val="20"/>
                <w:color w:val="auto"/>
              </w:rPr>
            </w:pPr>
            <w:r>
              <w:rPr>
                <w:rFonts w:ascii="Arial" w:cs="Arial" w:eastAsia="Arial" w:hAnsi="Arial"/>
                <w:sz w:val="16"/>
                <w:szCs w:val="16"/>
                <w:b w:val="1"/>
                <w:bCs w:val="1"/>
                <w:color w:val="auto"/>
              </w:rPr>
              <w:t>Full Year 2026</w:t>
            </w:r>
          </w:p>
        </w:tc>
        <w:tc>
          <w:tcPr>
            <w:tcW w:w="7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420" w:type="dxa"/>
            <w:vAlign w:val="bottom"/>
          </w:tcPr>
          <w:p>
            <w:pPr>
              <w:spacing w:after="0" w:line="209" w:lineRule="exact"/>
              <w:rPr>
                <w:sz w:val="20"/>
                <w:szCs w:val="20"/>
                <w:color w:val="auto"/>
              </w:rPr>
            </w:pPr>
            <w:r>
              <w:rPr>
                <w:rFonts w:ascii="Arial" w:cs="Arial" w:eastAsia="Arial" w:hAnsi="Arial"/>
                <w:sz w:val="16"/>
                <w:szCs w:val="16"/>
                <w:color w:val="auto"/>
              </w:rPr>
              <w:t>Net income excluding certain items</w:t>
            </w:r>
            <w:r>
              <w:rPr>
                <w:rFonts w:ascii="Arial" w:cs="Arial" w:eastAsia="Arial" w:hAnsi="Arial"/>
                <w:sz w:val="21"/>
                <w:szCs w:val="21"/>
                <w:color w:val="auto"/>
                <w:vertAlign w:val="superscript"/>
              </w:rPr>
              <w:t>1, 2</w:t>
            </w: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119"/>
              <w:spacing w:after="0"/>
              <w:rPr>
                <w:sz w:val="20"/>
                <w:szCs w:val="20"/>
                <w:color w:val="auto"/>
              </w:rPr>
            </w:pPr>
            <w:r>
              <w:rPr>
                <w:rFonts w:ascii="Arial" w:cs="Arial" w:eastAsia="Arial" w:hAnsi="Arial"/>
                <w:sz w:val="16"/>
                <w:szCs w:val="16"/>
                <w:color w:val="auto"/>
              </w:rPr>
              <w:t>2,942</w:t>
            </w:r>
          </w:p>
        </w:tc>
        <w:tc>
          <w:tcPr>
            <w:tcW w:w="120" w:type="dxa"/>
            <w:vAlign w:val="bottom"/>
          </w:tcPr>
          <w:p>
            <w:pPr>
              <w:spacing w:after="0"/>
              <w:rPr>
                <w:sz w:val="18"/>
                <w:szCs w:val="18"/>
                <w:color w:val="auto"/>
              </w:rPr>
            </w:pPr>
          </w:p>
        </w:tc>
        <w:tc>
          <w:tcPr>
            <w:tcW w:w="600" w:type="dxa"/>
            <w:vAlign w:val="bottom"/>
          </w:tcPr>
          <w:p>
            <w:pPr>
              <w:jc w:val="right"/>
              <w:ind w:right="41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ind w:right="139"/>
              <w:spacing w:after="0"/>
              <w:rPr>
                <w:sz w:val="20"/>
                <w:szCs w:val="20"/>
                <w:color w:val="auto"/>
              </w:rPr>
            </w:pPr>
            <w:r>
              <w:rPr>
                <w:rFonts w:ascii="Arial" w:cs="Arial" w:eastAsia="Arial" w:hAnsi="Arial"/>
                <w:sz w:val="16"/>
                <w:szCs w:val="16"/>
                <w:color w:val="auto"/>
              </w:rPr>
              <w:t>3,008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420" w:type="dxa"/>
            <w:vAlign w:val="bottom"/>
          </w:tcPr>
          <w:p>
            <w:pPr>
              <w:spacing w:after="0"/>
              <w:rPr>
                <w:sz w:val="20"/>
                <w:szCs w:val="20"/>
                <w:color w:val="auto"/>
              </w:rPr>
            </w:pPr>
            <w:r>
              <w:rPr>
                <w:rFonts w:ascii="Arial" w:cs="Arial" w:eastAsia="Arial" w:hAnsi="Arial"/>
                <w:sz w:val="16"/>
                <w:szCs w:val="16"/>
                <w:color w:val="auto"/>
              </w:rPr>
              <w:t>Interest expense</w:t>
            </w:r>
          </w:p>
        </w:tc>
        <w:tc>
          <w:tcPr>
            <w:tcW w:w="420" w:type="dxa"/>
            <w:vAlign w:val="bottom"/>
          </w:tcPr>
          <w:p>
            <w:pPr>
              <w:spacing w:after="0"/>
              <w:rPr>
                <w:sz w:val="18"/>
                <w:szCs w:val="18"/>
                <w:color w:val="auto"/>
              </w:rPr>
            </w:pPr>
          </w:p>
        </w:tc>
        <w:tc>
          <w:tcPr>
            <w:tcW w:w="900" w:type="dxa"/>
            <w:vAlign w:val="bottom"/>
          </w:tcPr>
          <w:p>
            <w:pPr>
              <w:jc w:val="right"/>
              <w:ind w:right="119"/>
              <w:spacing w:after="0"/>
              <w:rPr>
                <w:sz w:val="20"/>
                <w:szCs w:val="20"/>
                <w:color w:val="auto"/>
              </w:rPr>
            </w:pPr>
            <w:r>
              <w:rPr>
                <w:rFonts w:ascii="Arial" w:cs="Arial" w:eastAsia="Arial" w:hAnsi="Arial"/>
                <w:sz w:val="16"/>
                <w:szCs w:val="16"/>
                <w:color w:val="auto"/>
              </w:rPr>
              <w:t>901</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0" w:type="dxa"/>
            <w:vAlign w:val="bottom"/>
          </w:tcPr>
          <w:p>
            <w:pPr>
              <w:jc w:val="right"/>
              <w:ind w:right="139"/>
              <w:spacing w:after="0"/>
              <w:rPr>
                <w:sz w:val="20"/>
                <w:szCs w:val="20"/>
                <w:color w:val="auto"/>
              </w:rPr>
            </w:pPr>
            <w:r>
              <w:rPr>
                <w:rFonts w:ascii="Arial" w:cs="Arial" w:eastAsia="Arial" w:hAnsi="Arial"/>
                <w:sz w:val="16"/>
                <w:szCs w:val="16"/>
                <w:color w:val="auto"/>
              </w:rPr>
              <w:t>901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6"/>
                <w:szCs w:val="16"/>
                <w:color w:val="auto"/>
              </w:rPr>
              <w:t>Interest expense from unconsolidated joint ventures</w:t>
            </w:r>
          </w:p>
        </w:tc>
        <w:tc>
          <w:tcPr>
            <w:tcW w:w="420" w:type="dxa"/>
            <w:vAlign w:val="bottom"/>
          </w:tcPr>
          <w:p>
            <w:pPr>
              <w:spacing w:after="0"/>
              <w:rPr>
                <w:sz w:val="18"/>
                <w:szCs w:val="18"/>
                <w:color w:val="auto"/>
              </w:rPr>
            </w:pPr>
          </w:p>
        </w:tc>
        <w:tc>
          <w:tcPr>
            <w:tcW w:w="900" w:type="dxa"/>
            <w:vAlign w:val="bottom"/>
          </w:tcPr>
          <w:p>
            <w:pPr>
              <w:jc w:val="right"/>
              <w:ind w:right="119"/>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0" w:type="dxa"/>
            <w:vAlign w:val="bottom"/>
          </w:tcPr>
          <w:p>
            <w:pPr>
              <w:jc w:val="right"/>
              <w:ind w:right="139"/>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6"/>
                <w:szCs w:val="16"/>
                <w:color w:val="auto"/>
              </w:rPr>
              <w:t>Provision for income taxes</w:t>
            </w:r>
          </w:p>
        </w:tc>
        <w:tc>
          <w:tcPr>
            <w:tcW w:w="420" w:type="dxa"/>
            <w:vAlign w:val="bottom"/>
          </w:tcPr>
          <w:p>
            <w:pPr>
              <w:spacing w:after="0"/>
              <w:rPr>
                <w:sz w:val="18"/>
                <w:szCs w:val="18"/>
                <w:color w:val="auto"/>
              </w:rPr>
            </w:pPr>
          </w:p>
        </w:tc>
        <w:tc>
          <w:tcPr>
            <w:tcW w:w="900" w:type="dxa"/>
            <w:vAlign w:val="bottom"/>
          </w:tcPr>
          <w:p>
            <w:pPr>
              <w:jc w:val="right"/>
              <w:ind w:right="119"/>
              <w:spacing w:after="0"/>
              <w:rPr>
                <w:sz w:val="20"/>
                <w:szCs w:val="20"/>
                <w:color w:val="auto"/>
              </w:rPr>
            </w:pPr>
            <w:r>
              <w:rPr>
                <w:rFonts w:ascii="Arial" w:cs="Arial" w:eastAsia="Arial" w:hAnsi="Arial"/>
                <w:sz w:val="16"/>
                <w:szCs w:val="16"/>
                <w:color w:val="auto"/>
              </w:rPr>
              <w:t>1,036</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0" w:type="dxa"/>
            <w:vAlign w:val="bottom"/>
          </w:tcPr>
          <w:p>
            <w:pPr>
              <w:jc w:val="right"/>
              <w:ind w:right="139"/>
              <w:spacing w:after="0"/>
              <w:rPr>
                <w:sz w:val="20"/>
                <w:szCs w:val="20"/>
                <w:color w:val="auto"/>
              </w:rPr>
            </w:pPr>
            <w:r>
              <w:rPr>
                <w:rFonts w:ascii="Arial" w:cs="Arial" w:eastAsia="Arial" w:hAnsi="Arial"/>
                <w:sz w:val="16"/>
                <w:szCs w:val="16"/>
                <w:color w:val="auto"/>
              </w:rPr>
              <w:t>1,060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420" w:type="dxa"/>
            <w:vAlign w:val="bottom"/>
          </w:tcPr>
          <w:p>
            <w:pPr>
              <w:spacing w:after="0" w:line="218" w:lineRule="exact"/>
              <w:rPr>
                <w:sz w:val="20"/>
                <w:szCs w:val="20"/>
                <w:color w:val="auto"/>
              </w:rPr>
            </w:pPr>
            <w:r>
              <w:rPr>
                <w:rFonts w:ascii="Arial" w:cs="Arial" w:eastAsia="Arial" w:hAnsi="Arial"/>
                <w:sz w:val="16"/>
                <w:szCs w:val="16"/>
                <w:color w:val="auto"/>
              </w:rPr>
              <w:t>Depreciation and amortization</w:t>
            </w:r>
            <w:r>
              <w:rPr>
                <w:rFonts w:ascii="Arial" w:cs="Arial" w:eastAsia="Arial" w:hAnsi="Arial"/>
                <w:sz w:val="21"/>
                <w:szCs w:val="21"/>
                <w:color w:val="auto"/>
                <w:vertAlign w:val="superscript"/>
              </w:rPr>
              <w:t>2</w:t>
            </w:r>
          </w:p>
        </w:tc>
        <w:tc>
          <w:tcPr>
            <w:tcW w:w="420" w:type="dxa"/>
            <w:vAlign w:val="bottom"/>
          </w:tcPr>
          <w:p>
            <w:pPr>
              <w:spacing w:after="0"/>
              <w:rPr>
                <w:sz w:val="18"/>
                <w:szCs w:val="18"/>
                <w:color w:val="auto"/>
              </w:rPr>
            </w:pPr>
          </w:p>
        </w:tc>
        <w:tc>
          <w:tcPr>
            <w:tcW w:w="900" w:type="dxa"/>
            <w:vAlign w:val="bottom"/>
          </w:tcPr>
          <w:p>
            <w:pPr>
              <w:jc w:val="right"/>
              <w:ind w:right="119"/>
              <w:spacing w:after="0"/>
              <w:rPr>
                <w:sz w:val="20"/>
                <w:szCs w:val="20"/>
                <w:color w:val="auto"/>
              </w:rPr>
            </w:pPr>
            <w:r>
              <w:rPr>
                <w:rFonts w:ascii="Arial" w:cs="Arial" w:eastAsia="Arial" w:hAnsi="Arial"/>
                <w:sz w:val="16"/>
                <w:szCs w:val="16"/>
                <w:color w:val="auto"/>
              </w:rPr>
              <w:t>277</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0" w:type="dxa"/>
            <w:vAlign w:val="bottom"/>
          </w:tcPr>
          <w:p>
            <w:pPr>
              <w:jc w:val="right"/>
              <w:ind w:right="139"/>
              <w:spacing w:after="0"/>
              <w:rPr>
                <w:sz w:val="20"/>
                <w:szCs w:val="20"/>
                <w:color w:val="auto"/>
              </w:rPr>
            </w:pPr>
            <w:r>
              <w:rPr>
                <w:rFonts w:ascii="Arial" w:cs="Arial" w:eastAsia="Arial" w:hAnsi="Arial"/>
                <w:sz w:val="16"/>
                <w:szCs w:val="16"/>
                <w:color w:val="auto"/>
              </w:rPr>
              <w:t>277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420" w:type="dxa"/>
            <w:vAlign w:val="bottom"/>
          </w:tcPr>
          <w:p>
            <w:pPr>
              <w:spacing w:after="0"/>
              <w:rPr>
                <w:sz w:val="20"/>
                <w:szCs w:val="20"/>
                <w:color w:val="auto"/>
              </w:rPr>
            </w:pPr>
            <w:r>
              <w:rPr>
                <w:rFonts w:ascii="Arial" w:cs="Arial" w:eastAsia="Arial" w:hAnsi="Arial"/>
                <w:sz w:val="16"/>
                <w:szCs w:val="16"/>
                <w:color w:val="auto"/>
              </w:rPr>
              <w:t>Contract investment amortization</w:t>
            </w:r>
          </w:p>
        </w:tc>
        <w:tc>
          <w:tcPr>
            <w:tcW w:w="420" w:type="dxa"/>
            <w:vAlign w:val="bottom"/>
          </w:tcPr>
          <w:p>
            <w:pPr>
              <w:spacing w:after="0"/>
              <w:rPr>
                <w:sz w:val="18"/>
                <w:szCs w:val="18"/>
                <w:color w:val="auto"/>
              </w:rPr>
            </w:pPr>
          </w:p>
        </w:tc>
        <w:tc>
          <w:tcPr>
            <w:tcW w:w="900" w:type="dxa"/>
            <w:vAlign w:val="bottom"/>
          </w:tcPr>
          <w:p>
            <w:pPr>
              <w:jc w:val="right"/>
              <w:ind w:right="119"/>
              <w:spacing w:after="0"/>
              <w:rPr>
                <w:sz w:val="20"/>
                <w:szCs w:val="20"/>
                <w:color w:val="auto"/>
              </w:rPr>
            </w:pPr>
            <w:r>
              <w:rPr>
                <w:rFonts w:ascii="Arial" w:cs="Arial" w:eastAsia="Arial" w:hAnsi="Arial"/>
                <w:sz w:val="16"/>
                <w:szCs w:val="16"/>
                <w:color w:val="auto"/>
              </w:rPr>
              <w:t>138</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0" w:type="dxa"/>
            <w:vAlign w:val="bottom"/>
          </w:tcPr>
          <w:p>
            <w:pPr>
              <w:jc w:val="right"/>
              <w:ind w:right="139"/>
              <w:spacing w:after="0"/>
              <w:rPr>
                <w:sz w:val="20"/>
                <w:szCs w:val="20"/>
                <w:color w:val="auto"/>
              </w:rPr>
            </w:pPr>
            <w:r>
              <w:rPr>
                <w:rFonts w:ascii="Arial" w:cs="Arial" w:eastAsia="Arial" w:hAnsi="Arial"/>
                <w:sz w:val="16"/>
                <w:szCs w:val="16"/>
                <w:color w:val="auto"/>
              </w:rPr>
              <w:t>138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6"/>
                <w:szCs w:val="16"/>
                <w:color w:val="auto"/>
              </w:rPr>
              <w:t>Depreciation and amortization classified in reimbursed expenses</w:t>
            </w:r>
          </w:p>
        </w:tc>
        <w:tc>
          <w:tcPr>
            <w:tcW w:w="420" w:type="dxa"/>
            <w:vAlign w:val="bottom"/>
          </w:tcPr>
          <w:p>
            <w:pPr>
              <w:spacing w:after="0"/>
              <w:rPr>
                <w:sz w:val="18"/>
                <w:szCs w:val="18"/>
                <w:color w:val="auto"/>
              </w:rPr>
            </w:pPr>
          </w:p>
        </w:tc>
        <w:tc>
          <w:tcPr>
            <w:tcW w:w="900" w:type="dxa"/>
            <w:vAlign w:val="bottom"/>
          </w:tcPr>
          <w:p>
            <w:pPr>
              <w:jc w:val="right"/>
              <w:ind w:right="119"/>
              <w:spacing w:after="0"/>
              <w:rPr>
                <w:sz w:val="20"/>
                <w:szCs w:val="20"/>
                <w:color w:val="auto"/>
              </w:rPr>
            </w:pPr>
            <w:r>
              <w:rPr>
                <w:rFonts w:ascii="Arial" w:cs="Arial" w:eastAsia="Arial" w:hAnsi="Arial"/>
                <w:sz w:val="16"/>
                <w:szCs w:val="16"/>
                <w:color w:val="auto"/>
              </w:rPr>
              <w:t>305</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0" w:type="dxa"/>
            <w:vAlign w:val="bottom"/>
          </w:tcPr>
          <w:p>
            <w:pPr>
              <w:jc w:val="right"/>
              <w:ind w:right="139"/>
              <w:spacing w:after="0"/>
              <w:rPr>
                <w:sz w:val="20"/>
                <w:szCs w:val="20"/>
                <w:color w:val="auto"/>
              </w:rPr>
            </w:pPr>
            <w:r>
              <w:rPr>
                <w:rFonts w:ascii="Arial" w:cs="Arial" w:eastAsia="Arial" w:hAnsi="Arial"/>
                <w:sz w:val="16"/>
                <w:szCs w:val="16"/>
                <w:color w:val="auto"/>
              </w:rPr>
              <w:t>305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6"/>
                <w:szCs w:val="16"/>
                <w:color w:val="auto"/>
              </w:rPr>
              <w:t>Depreciation, amortization, and impairments from unconsolidated joint ventures</w:t>
            </w:r>
          </w:p>
        </w:tc>
        <w:tc>
          <w:tcPr>
            <w:tcW w:w="420" w:type="dxa"/>
            <w:vAlign w:val="bottom"/>
          </w:tcPr>
          <w:p>
            <w:pPr>
              <w:spacing w:after="0"/>
              <w:rPr>
                <w:sz w:val="18"/>
                <w:szCs w:val="18"/>
                <w:color w:val="auto"/>
              </w:rPr>
            </w:pPr>
          </w:p>
        </w:tc>
        <w:tc>
          <w:tcPr>
            <w:tcW w:w="900" w:type="dxa"/>
            <w:vAlign w:val="bottom"/>
          </w:tcPr>
          <w:p>
            <w:pPr>
              <w:jc w:val="right"/>
              <w:ind w:right="119"/>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0" w:type="dxa"/>
            <w:vAlign w:val="bottom"/>
          </w:tcPr>
          <w:p>
            <w:pPr>
              <w:jc w:val="right"/>
              <w:ind w:right="139"/>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6"/>
                <w:szCs w:val="16"/>
                <w:color w:val="auto"/>
              </w:rPr>
              <w:t>Stock-based compensation</w:t>
            </w:r>
          </w:p>
        </w:tc>
        <w:tc>
          <w:tcPr>
            <w:tcW w:w="420" w:type="dxa"/>
            <w:vAlign w:val="bottom"/>
          </w:tcPr>
          <w:p>
            <w:pPr>
              <w:spacing w:after="0"/>
              <w:rPr>
                <w:sz w:val="18"/>
                <w:szCs w:val="18"/>
                <w:color w:val="auto"/>
              </w:rPr>
            </w:pPr>
          </w:p>
        </w:tc>
        <w:tc>
          <w:tcPr>
            <w:tcW w:w="900" w:type="dxa"/>
            <w:vAlign w:val="bottom"/>
          </w:tcPr>
          <w:p>
            <w:pPr>
              <w:jc w:val="right"/>
              <w:ind w:right="119"/>
              <w:spacing w:after="0"/>
              <w:rPr>
                <w:sz w:val="20"/>
                <w:szCs w:val="20"/>
                <w:color w:val="auto"/>
              </w:rPr>
            </w:pPr>
            <w:r>
              <w:rPr>
                <w:rFonts w:ascii="Arial" w:cs="Arial" w:eastAsia="Arial" w:hAnsi="Arial"/>
                <w:sz w:val="16"/>
                <w:szCs w:val="16"/>
                <w:color w:val="auto"/>
              </w:rPr>
              <w:t>250</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0" w:type="dxa"/>
            <w:vAlign w:val="bottom"/>
          </w:tcPr>
          <w:p>
            <w:pPr>
              <w:jc w:val="right"/>
              <w:ind w:right="139"/>
              <w:spacing w:after="0"/>
              <w:rPr>
                <w:sz w:val="20"/>
                <w:szCs w:val="20"/>
                <w:color w:val="auto"/>
              </w:rPr>
            </w:pPr>
            <w:r>
              <w:rPr>
                <w:rFonts w:ascii="Arial" w:cs="Arial" w:eastAsia="Arial" w:hAnsi="Arial"/>
                <w:sz w:val="16"/>
                <w:szCs w:val="16"/>
                <w:color w:val="auto"/>
              </w:rPr>
              <w:t>250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6"/>
                <w:szCs w:val="16"/>
                <w:color w:val="auto"/>
              </w:rPr>
              <w:t>Adjustments related to Sonder Termination</w:t>
            </w:r>
          </w:p>
        </w:tc>
        <w:tc>
          <w:tcPr>
            <w:tcW w:w="420" w:type="dxa"/>
            <w:vAlign w:val="bottom"/>
          </w:tcPr>
          <w:p>
            <w:pPr>
              <w:spacing w:after="0"/>
              <w:rPr>
                <w:sz w:val="18"/>
                <w:szCs w:val="18"/>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0" w:type="dxa"/>
            <w:vAlign w:val="bottom"/>
          </w:tcPr>
          <w:p>
            <w:pPr>
              <w:jc w:val="right"/>
              <w:ind w:right="7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420" w:type="dxa"/>
            <w:vAlign w:val="bottom"/>
          </w:tcPr>
          <w:p>
            <w:pPr>
              <w:spacing w:after="0"/>
              <w:rPr>
                <w:sz w:val="20"/>
                <w:szCs w:val="20"/>
                <w:color w:val="auto"/>
              </w:rPr>
            </w:pPr>
            <w:r>
              <w:rPr>
                <w:rFonts w:ascii="Arial" w:cs="Arial" w:eastAsia="Arial" w:hAnsi="Arial"/>
                <w:sz w:val="16"/>
                <w:szCs w:val="16"/>
                <w:color w:val="auto"/>
              </w:rPr>
              <w:t>Adjustment to gain on investee’s asset disposition</w:t>
            </w: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420" w:type="dxa"/>
            <w:vAlign w:val="bottom"/>
          </w:tcPr>
          <w:p>
            <w:pPr>
              <w:spacing w:after="0" w:line="211" w:lineRule="exact"/>
              <w:rPr>
                <w:sz w:val="20"/>
                <w:szCs w:val="20"/>
                <w:color w:val="auto"/>
              </w:rPr>
            </w:pPr>
            <w:r>
              <w:rPr>
                <w:rFonts w:ascii="Arial" w:cs="Arial" w:eastAsia="Arial" w:hAnsi="Arial"/>
                <w:sz w:val="16"/>
                <w:szCs w:val="16"/>
                <w:b w:val="1"/>
                <w:bCs w:val="1"/>
                <w:color w:val="auto"/>
              </w:rPr>
              <w:t>Adjusted EBITDA</w:t>
            </w:r>
            <w:r>
              <w:rPr>
                <w:rFonts w:ascii="Arial" w:cs="Arial" w:eastAsia="Arial" w:hAnsi="Arial"/>
                <w:sz w:val="21"/>
                <w:szCs w:val="21"/>
                <w:b w:val="1"/>
                <w:bCs w:val="1"/>
                <w:color w:val="auto"/>
                <w:vertAlign w:val="superscript"/>
              </w:rPr>
              <w:t>†</w:t>
            </w:r>
          </w:p>
        </w:tc>
        <w:tc>
          <w:tcPr>
            <w:tcW w:w="4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5,880</w:t>
            </w:r>
          </w:p>
        </w:tc>
        <w:tc>
          <w:tcPr>
            <w:tcW w:w="120" w:type="dxa"/>
            <w:vAlign w:val="bottom"/>
          </w:tcPr>
          <w:p>
            <w:pPr>
              <w:spacing w:after="0"/>
              <w:rPr>
                <w:sz w:val="18"/>
                <w:szCs w:val="18"/>
                <w:color w:val="auto"/>
              </w:rPr>
            </w:pPr>
          </w:p>
        </w:tc>
        <w:tc>
          <w:tcPr>
            <w:tcW w:w="6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w w:val="89"/>
              </w:rPr>
              <w:t>$</w:t>
            </w:r>
          </w:p>
        </w:tc>
        <w:tc>
          <w:tcPr>
            <w:tcW w:w="7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5,970</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5,383</w:t>
            </w: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5"/>
        </w:trPr>
        <w:tc>
          <w:tcPr>
            <w:tcW w:w="6420" w:type="dxa"/>
            <w:vAlign w:val="bottom"/>
          </w:tcPr>
          <w:p>
            <w:pPr>
              <w:spacing w:after="0"/>
              <w:rPr>
                <w:sz w:val="20"/>
                <w:szCs w:val="20"/>
                <w:color w:val="auto"/>
              </w:rPr>
            </w:pPr>
            <w:r>
              <w:rPr>
                <w:rFonts w:ascii="Arial" w:cs="Arial" w:eastAsia="Arial" w:hAnsi="Arial"/>
                <w:sz w:val="16"/>
                <w:szCs w:val="16"/>
                <w:b w:val="1"/>
                <w:bCs w:val="1"/>
                <w:color w:val="auto"/>
              </w:rPr>
              <w:t>Increase over 2025 Adjusted EBITDA</w:t>
            </w:r>
            <w:r>
              <w:rPr>
                <w:rFonts w:ascii="Arial" w:cs="Arial" w:eastAsia="Arial" w:hAnsi="Arial"/>
                <w:sz w:val="21"/>
                <w:szCs w:val="21"/>
                <w:b w:val="1"/>
                <w:bCs w:val="1"/>
                <w:color w:val="auto"/>
                <w:vertAlign w:val="superscript"/>
              </w:rPr>
              <w:t>†</w:t>
            </w:r>
          </w:p>
        </w:tc>
        <w:tc>
          <w:tcPr>
            <w:tcW w:w="4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9 %</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11 %</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1" w:right="600" w:hanging="1"/>
        <w:spacing w:after="0" w:line="214" w:lineRule="auto"/>
        <w:tabs>
          <w:tab w:leader="none" w:pos="78" w:val="left"/>
        </w:tabs>
        <w:numPr>
          <w:ilvl w:val="0"/>
          <w:numId w:val="30"/>
        </w:numPr>
        <w:rPr>
          <w:rFonts w:ascii="Arial" w:cs="Arial" w:eastAsia="Arial" w:hAnsi="Arial"/>
          <w:sz w:val="19"/>
          <w:szCs w:val="19"/>
          <w:color w:val="auto"/>
          <w:vertAlign w:val="superscript"/>
        </w:rPr>
      </w:pPr>
      <w:r>
        <w:rPr>
          <w:rFonts w:ascii="Arial" w:cs="Arial" w:eastAsia="Arial" w:hAnsi="Arial"/>
          <w:sz w:val="14"/>
          <w:szCs w:val="14"/>
          <w:color w:val="auto"/>
        </w:rPr>
        <w:t>Denotes non-GAAP financial measures. Please see the Explanation of Non-GAAP Financial and Performance Measures section in these press release schedules for information about our reasons for providing these alternative financial measures and the limitations on their use.</w:t>
      </w:r>
    </w:p>
    <w:p>
      <w:pPr>
        <w:spacing w:after="0" w:line="283" w:lineRule="exact"/>
        <w:rPr>
          <w:sz w:val="20"/>
          <w:szCs w:val="20"/>
          <w:color w:val="auto"/>
        </w:rPr>
      </w:pPr>
    </w:p>
    <w:p>
      <w:pPr>
        <w:ind w:left="1" w:right="40" w:hanging="1"/>
        <w:spacing w:after="0" w:line="215" w:lineRule="auto"/>
        <w:tabs>
          <w:tab w:leader="none" w:pos="92" w:val="left"/>
        </w:tabs>
        <w:numPr>
          <w:ilvl w:val="0"/>
          <w:numId w:val="31"/>
        </w:numPr>
        <w:rPr>
          <w:rFonts w:ascii="Arial" w:cs="Arial" w:eastAsia="Arial" w:hAnsi="Arial"/>
          <w:sz w:val="19"/>
          <w:szCs w:val="19"/>
          <w:color w:val="auto"/>
          <w:vertAlign w:val="superscript"/>
        </w:rPr>
      </w:pPr>
      <w:r>
        <w:rPr>
          <w:rFonts w:ascii="Arial" w:cs="Arial" w:eastAsia="Arial" w:hAnsi="Arial"/>
          <w:sz w:val="14"/>
          <w:szCs w:val="14"/>
          <w:color w:val="auto"/>
        </w:rPr>
        <w:t>Forecast excludes cost reimbursement revenue, reimbursed expenses, and restructuring and merger-related charges, and other expenses, each of which the company cannot forecast with sufficient accuracy and without unreasonable efforts, and which may be significant, except for depreciation and amortization classified in reimbursed expenses, which is included in the caption "Depreciation and amortization classified in reimbursed expenses" above. Forecast includes the impact of our planned sale of a U.S. &amp; Canada hotel, which we assume will occur later in the 2026 second quarter, and our planned investment in Lefay, which we assume will occur later this year. Forecast does not reflect any other potential asset sales or property or brand acquisitions that may occur during the year, each of which the company cannot forecast with sufficient accuracy and without unreasonable efforts, and which may be significant.</w:t>
      </w:r>
    </w:p>
    <w:p>
      <w:pPr>
        <w:spacing w:after="0" w:line="2" w:lineRule="exact"/>
        <w:rPr>
          <w:sz w:val="20"/>
          <w:szCs w:val="20"/>
          <w:color w:val="auto"/>
        </w:rPr>
      </w:pPr>
    </w:p>
    <w:p>
      <w:pPr>
        <w:ind w:left="1" w:right="100" w:hanging="1"/>
        <w:spacing w:after="0" w:line="213" w:lineRule="auto"/>
        <w:tabs>
          <w:tab w:leader="none" w:pos="92" w:val="left"/>
        </w:tabs>
        <w:numPr>
          <w:ilvl w:val="0"/>
          <w:numId w:val="32"/>
        </w:numPr>
        <w:rPr>
          <w:rFonts w:ascii="Arial" w:cs="Arial" w:eastAsia="Arial" w:hAnsi="Arial"/>
          <w:sz w:val="19"/>
          <w:szCs w:val="19"/>
          <w:color w:val="auto"/>
          <w:vertAlign w:val="superscript"/>
        </w:rPr>
      </w:pPr>
      <w:r>
        <w:rPr>
          <w:rFonts w:ascii="Arial" w:cs="Arial" w:eastAsia="Arial" w:hAnsi="Arial"/>
          <w:sz w:val="14"/>
          <w:szCs w:val="14"/>
          <w:color w:val="auto"/>
        </w:rPr>
        <w:t>Includes the midpoint of the range of our expected 2026 second quarter impairment charge of approximately $65 million to $70 million related to our planned sale of a U.S. &amp; Canada hotel.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A-13</w:t>
      </w:r>
    </w:p>
    <w:p>
      <w:pPr>
        <w:sectPr>
          <w:pgSz w:w="11900" w:h="16838" w:orient="portrait"/>
          <w:cols w:equalWidth="0" w:num="1">
            <w:col w:w="11181"/>
          </w:cols>
          <w:pgMar w:left="359" w:top="1440" w:right="359" w:bottom="1440" w:gutter="0" w:footer="0" w:header="0"/>
        </w:sectPr>
      </w:pPr>
    </w:p>
    <w:bookmarkStart w:id="23" w:name="page24"/>
    <w:bookmarkEnd w:id="23"/>
    <w:p>
      <w:pPr>
        <w:jc w:val="center"/>
        <w:ind w:right="-19"/>
        <w:spacing w:after="0"/>
        <w:rPr>
          <w:sz w:val="20"/>
          <w:szCs w:val="20"/>
          <w:color w:val="auto"/>
        </w:rPr>
      </w:pPr>
      <w:r>
        <w:rPr>
          <w:rFonts w:ascii="Arial" w:cs="Arial" w:eastAsia="Arial" w:hAnsi="Arial"/>
          <w:sz w:val="18"/>
          <w:szCs w:val="18"/>
          <w:b w:val="1"/>
          <w:bCs w:val="1"/>
          <w:color w:val="auto"/>
        </w:rPr>
        <w:t>MARRIOTT INTERNATIONAL,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EXPLANATION OF NON-GAAP FINANCIAL AND PERFORMANCE MEASURES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00"/>
        <w:spacing w:after="0" w:line="259" w:lineRule="auto"/>
        <w:rPr>
          <w:sz w:val="20"/>
          <w:szCs w:val="20"/>
          <w:color w:val="auto"/>
        </w:rPr>
      </w:pPr>
      <w:r>
        <w:rPr>
          <w:rFonts w:ascii="Arial" w:cs="Arial" w:eastAsia="Arial" w:hAnsi="Arial"/>
          <w:sz w:val="15"/>
          <w:szCs w:val="15"/>
          <w:color w:val="auto"/>
        </w:rPr>
        <w:t>In our press release and schedules, on the related conference call, and in the infographic made available in connection with our press release, we report certain financial measures that are not required by, or presented in accordance with, United States generally accepted accounting principles (</w:t>
      </w:r>
      <w:r>
        <w:rPr>
          <w:rFonts w:ascii="Arial" w:cs="Arial" w:eastAsia="Arial" w:hAnsi="Arial"/>
          <w:sz w:val="15"/>
          <w:szCs w:val="15"/>
          <w:b w:val="1"/>
          <w:bCs w:val="1"/>
          <w:color w:val="auto"/>
        </w:rPr>
        <w:t>“</w:t>
      </w:r>
      <w:r>
        <w:rPr>
          <w:rFonts w:ascii="Arial" w:cs="Arial" w:eastAsia="Arial" w:hAnsi="Arial"/>
          <w:sz w:val="15"/>
          <w:szCs w:val="15"/>
          <w:color w:val="auto"/>
        </w:rPr>
        <w:t>GAAP</w:t>
      </w:r>
      <w:r>
        <w:rPr>
          <w:rFonts w:ascii="Arial" w:cs="Arial" w:eastAsia="Arial" w:hAnsi="Arial"/>
          <w:sz w:val="15"/>
          <w:szCs w:val="15"/>
          <w:b w:val="1"/>
          <w:bCs w:val="1"/>
          <w:color w:val="auto"/>
        </w:rPr>
        <w:t>”</w:t>
      </w:r>
      <w:r>
        <w:rPr>
          <w:rFonts w:ascii="Arial" w:cs="Arial" w:eastAsia="Arial" w:hAnsi="Arial"/>
          <w:sz w:val="15"/>
          <w:szCs w:val="15"/>
          <w:color w:val="auto"/>
        </w:rPr>
        <w:t>). These non-GAAP financial measures are labeled as “Adjusted” and/or identified with the symbol “†”. We discuss the manner in which the non-GAAP measures reported in this press release, schedules, and infographic are determined and management’s reasons for reporting these non-GAAP measures below, and the press release schedules reconcile each to the most directly comparable GAAP measures (with respect to the forward-looking non-GAAP measures, to the extent available without unreasonable efforts). Although management evaluates and presents these non-GAAP measures for the reasons described below, please be aware that these non-GAAP measures have limitations and should not be considered in isolation or as a substitute for revenue, operating income, net income, earnings per share, or any other comparable operating measure prescribed by GAAP. In addition, we may calculate and/or present these non-GAAP financial measures differently than measures with the same or similar names that other companies report, and as a result, the non-GAAP measures we report may not be comparable to those reported by others.</w:t>
      </w:r>
    </w:p>
    <w:p>
      <w:pPr>
        <w:spacing w:after="0" w:line="200" w:lineRule="exact"/>
        <w:rPr>
          <w:sz w:val="20"/>
          <w:szCs w:val="20"/>
          <w:color w:val="auto"/>
        </w:rPr>
      </w:pPr>
    </w:p>
    <w:p>
      <w:pPr>
        <w:spacing w:after="0" w:line="202" w:lineRule="exact"/>
        <w:rPr>
          <w:sz w:val="20"/>
          <w:szCs w:val="20"/>
          <w:color w:val="auto"/>
        </w:rPr>
      </w:pPr>
    </w:p>
    <w:p>
      <w:pPr>
        <w:ind w:right="80"/>
        <w:spacing w:after="0" w:line="263" w:lineRule="auto"/>
        <w:rPr>
          <w:sz w:val="20"/>
          <w:szCs w:val="20"/>
          <w:color w:val="auto"/>
        </w:rPr>
      </w:pPr>
      <w:r>
        <w:rPr>
          <w:rFonts w:ascii="Arial" w:cs="Arial" w:eastAsia="Arial" w:hAnsi="Arial"/>
          <w:sz w:val="15"/>
          <w:szCs w:val="15"/>
          <w:b w:val="1"/>
          <w:bCs w:val="1"/>
          <w:color w:val="auto"/>
        </w:rPr>
        <w:t xml:space="preserve">Adjusted Operating Income and Adjusted Operating Income Margin. </w:t>
      </w:r>
      <w:r>
        <w:rPr>
          <w:rFonts w:ascii="Arial" w:cs="Arial" w:eastAsia="Arial" w:hAnsi="Arial"/>
          <w:sz w:val="15"/>
          <w:szCs w:val="15"/>
          <w:color w:val="auto"/>
        </w:rPr>
        <w:t>Adjusted operating income excludes cost reimbursement revenue, reimbursed expenses,</w:t>
      </w:r>
      <w:r>
        <w:rPr>
          <w:rFonts w:ascii="Arial" w:cs="Arial" w:eastAsia="Arial" w:hAnsi="Arial"/>
          <w:sz w:val="15"/>
          <w:szCs w:val="15"/>
          <w:b w:val="1"/>
          <w:bCs w:val="1"/>
          <w:color w:val="auto"/>
        </w:rPr>
        <w:t xml:space="preserve"> </w:t>
      </w:r>
      <w:r>
        <w:rPr>
          <w:rFonts w:ascii="Arial" w:cs="Arial" w:eastAsia="Arial" w:hAnsi="Arial"/>
          <w:sz w:val="15"/>
          <w:szCs w:val="15"/>
          <w:color w:val="auto"/>
        </w:rPr>
        <w:t>and restructuring and merger-related charges, and other expenses. When applicable, Adjusted operating income also excludes certain non-cash impairment charges as well as impairment charges and expenses/adjustments related to the Sonder Termination. Adjusted total revenues excludes cost reimbursement revenue as well as, when applicable, certain non-cash impairment charges and impairment charges related to the Sonder Termination. Adjusted operating income margin reflects Adjusted operating income divided by Adjusted total revenues. We believe that these are meaningful metrics because they allow for period-over-period comparisons of our ongoing operations before these items and for the reasons further described below.</w:t>
      </w:r>
    </w:p>
    <w:p>
      <w:pPr>
        <w:spacing w:after="0" w:line="216" w:lineRule="exact"/>
        <w:rPr>
          <w:sz w:val="20"/>
          <w:szCs w:val="20"/>
          <w:color w:val="auto"/>
        </w:rPr>
      </w:pPr>
    </w:p>
    <w:p>
      <w:pPr>
        <w:ind w:right="60"/>
        <w:spacing w:after="0" w:line="260" w:lineRule="auto"/>
        <w:rPr>
          <w:sz w:val="20"/>
          <w:szCs w:val="20"/>
          <w:color w:val="auto"/>
        </w:rPr>
      </w:pPr>
      <w:r>
        <w:rPr>
          <w:rFonts w:ascii="Arial" w:cs="Arial" w:eastAsia="Arial" w:hAnsi="Arial"/>
          <w:sz w:val="15"/>
          <w:szCs w:val="15"/>
          <w:b w:val="1"/>
          <w:bCs w:val="1"/>
          <w:color w:val="auto"/>
        </w:rPr>
        <w:t xml:space="preserve">Adjusted Net Income, Adjusted Diluted Earnings Per Share, and Adjusted Effective Tax Rate. </w:t>
      </w:r>
      <w:r>
        <w:rPr>
          <w:rFonts w:ascii="Arial" w:cs="Arial" w:eastAsia="Arial" w:hAnsi="Arial"/>
          <w:sz w:val="15"/>
          <w:szCs w:val="15"/>
          <w:color w:val="auto"/>
        </w:rPr>
        <w:t>Adjusted net income, Adjusted diluted earnings per share, and</w:t>
      </w:r>
      <w:r>
        <w:rPr>
          <w:rFonts w:ascii="Arial" w:cs="Arial" w:eastAsia="Arial" w:hAnsi="Arial"/>
          <w:sz w:val="15"/>
          <w:szCs w:val="15"/>
          <w:b w:val="1"/>
          <w:bCs w:val="1"/>
          <w:color w:val="auto"/>
        </w:rPr>
        <w:t xml:space="preserve"> </w:t>
      </w:r>
      <w:r>
        <w:rPr>
          <w:rFonts w:ascii="Arial" w:cs="Arial" w:eastAsia="Arial" w:hAnsi="Arial"/>
          <w:sz w:val="15"/>
          <w:szCs w:val="15"/>
          <w:color w:val="auto"/>
        </w:rPr>
        <w:t>Adjusted effective tax rate reflect our net income, diluted earnings per share, and effective tax rate, respectively, excluding the impact of cost reimbursement revenue, reimbursed expenses, restructuring and merger-related charges, and other expenses, as well as, when applicable, certain non-cash impairment charges, gains and losses on asset dispositions made by us or by our joint venture investees (if above a specified threshold), and impairment charges and expenses/adjustments related to the Sonder Termination. Additionally, Adjusted net income, Adjusted diluted earnings per share, and Adjusted effective tax rate exclude the income tax effect of the above items (calculated using an estimated tax rate applicable to each item) and income tax special items, which in 2025 primarily related to the release of tax reserves. We believe that these measures are meaningful indicators of our performance because they allow for period-over-period comparisons of our ongoing operations before these items and for the reasons further described below.</w:t>
      </w:r>
    </w:p>
    <w:p>
      <w:pPr>
        <w:spacing w:after="0" w:line="20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Adjusted Earnings Before Interest Expense, Taxes, Depreciation and Amortization (“Adjusted EBITDA”). </w:t>
      </w:r>
      <w:r>
        <w:rPr>
          <w:rFonts w:ascii="Arial" w:cs="Arial" w:eastAsia="Arial" w:hAnsi="Arial"/>
          <w:sz w:val="15"/>
          <w:szCs w:val="15"/>
          <w:color w:val="auto"/>
        </w:rPr>
        <w:t>Adjusted EBITDA reflects net income excluding the</w:t>
      </w:r>
    </w:p>
    <w:p>
      <w:pPr>
        <w:spacing w:after="0" w:line="33" w:lineRule="exact"/>
        <w:rPr>
          <w:sz w:val="20"/>
          <w:szCs w:val="20"/>
          <w:color w:val="auto"/>
        </w:rPr>
      </w:pPr>
    </w:p>
    <w:p>
      <w:pPr>
        <w:ind w:right="20"/>
        <w:spacing w:after="0" w:line="263" w:lineRule="auto"/>
        <w:rPr>
          <w:sz w:val="20"/>
          <w:szCs w:val="20"/>
          <w:color w:val="auto"/>
        </w:rPr>
      </w:pPr>
      <w:r>
        <w:rPr>
          <w:rFonts w:ascii="Arial" w:cs="Arial" w:eastAsia="Arial" w:hAnsi="Arial"/>
          <w:sz w:val="15"/>
          <w:szCs w:val="15"/>
          <w:color w:val="auto"/>
        </w:rPr>
        <w:t>impact of the following items: cost reimbursement revenue and reimbursed expenses, interest expense, depreciation and amortization (including non-cash impairment charges), provision for income taxes, restructuring and merger-related recoveries/charges, and other expenses, and stock-based compensation expense for all periods presented. When applicable, Adjusted EBITDA also excludes gains and losses on asset dispositions made by us or by our joint venture investees (if above a specified threshold). In addition, Adjusted EBITDA excludes impairment charges and expenses/adjustments related to the Sonder Termination.</w:t>
      </w:r>
    </w:p>
    <w:p>
      <w:pPr>
        <w:spacing w:after="0" w:line="202" w:lineRule="exact"/>
        <w:rPr>
          <w:sz w:val="20"/>
          <w:szCs w:val="20"/>
          <w:color w:val="auto"/>
        </w:rPr>
      </w:pPr>
    </w:p>
    <w:p>
      <w:pPr>
        <w:spacing w:after="0" w:line="257" w:lineRule="auto"/>
        <w:rPr>
          <w:sz w:val="20"/>
          <w:szCs w:val="20"/>
          <w:color w:val="auto"/>
        </w:rPr>
      </w:pPr>
      <w:r>
        <w:rPr>
          <w:rFonts w:ascii="Arial" w:cs="Arial" w:eastAsia="Arial" w:hAnsi="Arial"/>
          <w:sz w:val="15"/>
          <w:szCs w:val="15"/>
          <w:color w:val="auto"/>
        </w:rPr>
        <w:t>In our presentations of Adjusted operating income and Adjusted operating income margin, Adjusted net income and Adjusted diluted earnings per share, Adjusted effective tax rate, and Adjusted EBITDA, we exclude restructuring and merger-related recoveries/charges as well as charges related to legal proceedings that are outside of the ordinary course of our business, both of which we record in the “Restructuring and merger-related charges, and other” caption of our Consolidated Statements of Income (our “Income Statements”). We also exclude 2025 fourth quarter impairment charges and expenses as well as subsequent adjustments related to the Sonder Termination, which we record in the “Contract investment amortization” and “Owned, leased, and other expense” captions of our Income Statements, as they are related to the cessation of operations of an entire brand, which is a nonrecurring event. In addition, we exclude non-cash impairment charges (if above a specified threshold) related to our franchise and management contracts (if the impairment is non-routine), leases, equity investments, and other capitalized assets, which we record in the “Contract investment amortization,” “Depreciation, amortization, and other,” and “Equity in (losses) earnings” captions of our Income Statements. These adjustments allow for period-over-period comparisons of our ongoing operations before the impact of these items. We exclude cost reimbursement revenue and reimbursed expenses, which relate to property-level and centralized programs and services that we operate for the benefit of our hotel owners and certain other counterparties, and for which we receive reimbursement under our agreements with hotel owners and certain other counterparties with no added mark-up. We do not operate these property-level and centralized programs and services to generate a profit over the long term, and accordingly, when we recover the costs that we incur for these programs and services from our hotel owners and certain other counterparties, we do not seek a mark-up. For property-level services, we recognize cost reimbursement revenue at the same time that we incur expenses, and property-level services have no net impact on our Income Statements in the reporting period. However, for centralized programs and services, we may be reimbursed before or after we incur expenses, causing timing differences between the costs we incur and the related reimbursement from hotel owners and certain other counterparties in our operating and net income. Over the long term, these programs and services are not designed to impact our economics, either positively or negatively. Because we do not retain any such profits or losses over time, we exclude the net impact when evaluating period-over-period changes in our operating results.</w:t>
      </w:r>
    </w:p>
    <w:p>
      <w:pPr>
        <w:spacing w:after="0" w:line="280" w:lineRule="exact"/>
        <w:rPr>
          <w:sz w:val="20"/>
          <w:szCs w:val="20"/>
          <w:color w:val="auto"/>
        </w:rPr>
      </w:pPr>
    </w:p>
    <w:p>
      <w:pPr>
        <w:ind w:right="100"/>
        <w:spacing w:after="0" w:line="263" w:lineRule="auto"/>
        <w:rPr>
          <w:sz w:val="20"/>
          <w:szCs w:val="20"/>
          <w:color w:val="auto"/>
        </w:rPr>
      </w:pPr>
      <w:r>
        <w:rPr>
          <w:rFonts w:ascii="Arial" w:cs="Arial" w:eastAsia="Arial" w:hAnsi="Arial"/>
          <w:sz w:val="15"/>
          <w:szCs w:val="15"/>
          <w:color w:val="auto"/>
        </w:rPr>
        <w:t>We believe that Adjusted EBITDA is a meaningful indicator of our operating performance because it permits period-over-period comparisons of our ongoing operations before these items. Our use of Adjusted EBITDA also facilitates comparison with results from other lodging companies because it excludes certain items that can vary widely across different industries or among companies within the same industry. For example, interest expense can be dependent on a company’s capital structure, debt levels, and credit ratings. Accordingly, the impact of interest expense on earnings can vary significantly among companies. The tax positions of companies can also vary because of their differing abilities to take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A-14</w:t>
      </w:r>
    </w:p>
    <w:p>
      <w:pPr>
        <w:sectPr>
          <w:pgSz w:w="11900" w:h="16838" w:orient="portrait"/>
          <w:cols w:equalWidth="0" w:num="1">
            <w:col w:w="11240"/>
          </w:cols>
          <w:pgMar w:left="320" w:top="364" w:right="339" w:bottom="1440" w:gutter="0" w:footer="0" w:header="0"/>
        </w:sectPr>
      </w:pPr>
    </w:p>
    <w:bookmarkStart w:id="24" w:name="page25"/>
    <w:bookmarkEnd w:id="24"/>
    <w:p>
      <w:pPr>
        <w:jc w:val="center"/>
        <w:ind w:right="-19"/>
        <w:spacing w:after="0"/>
        <w:rPr>
          <w:sz w:val="20"/>
          <w:szCs w:val="20"/>
          <w:color w:val="auto"/>
        </w:rPr>
      </w:pPr>
      <w:r>
        <w:rPr>
          <w:rFonts w:ascii="Arial" w:cs="Arial" w:eastAsia="Arial" w:hAnsi="Arial"/>
          <w:sz w:val="18"/>
          <w:szCs w:val="18"/>
          <w:b w:val="1"/>
          <w:bCs w:val="1"/>
          <w:color w:val="auto"/>
        </w:rPr>
        <w:t>MARRIOTT INTERNATIONAL,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EXPLANATION OF NON-GAAP FINANCIAL AND PERFORMANCE MEASURES</w:t>
      </w:r>
    </w:p>
    <w:p>
      <w:pPr>
        <w:spacing w:after="0" w:line="370" w:lineRule="exact"/>
        <w:rPr>
          <w:sz w:val="20"/>
          <w:szCs w:val="20"/>
          <w:color w:val="auto"/>
        </w:rPr>
      </w:pPr>
    </w:p>
    <w:p>
      <w:pPr>
        <w:ind w:right="20"/>
        <w:spacing w:after="0" w:line="260" w:lineRule="auto"/>
        <w:rPr>
          <w:sz w:val="20"/>
          <w:szCs w:val="20"/>
          <w:color w:val="auto"/>
        </w:rPr>
      </w:pPr>
      <w:r>
        <w:rPr>
          <w:rFonts w:ascii="Arial" w:cs="Arial" w:eastAsia="Arial" w:hAnsi="Arial"/>
          <w:sz w:val="15"/>
          <w:szCs w:val="15"/>
          <w:color w:val="auto"/>
        </w:rPr>
        <w:t>advantage of tax benefits and because of the tax policies of the jurisdictions in which they operate. As a result, effective tax rates and provisions for income taxes can vary considerably among companies. Our Adjusted EBITDA also excludes depreciation and amortization expense, which we report under “Depreciation, amortization, and other” as well as depreciation and amortization classified in “Contract investment amortization,” “Reimbursed expenses,” and “Equity in earnings” of our Income Statements, because companies utilize productive assets of different ages and use different methods of both acquiring and depreciating productive assets. Depreciation and amortization classified in “Reimbursed expenses” reflects depreciation and amortization of Marriott-owned assets, for which we receive cash from hotel owners and certain other counterparties to reimburse the company for its investments made for the benefit of the system. These differences can result in considerable variability in the relative costs of productive assets and the depreciation and amortization expense among companies. We exclude stock-based compensation expense in all periods presented to address the considerable variability among companies in recording compensation expense because companies use stock-based payment awards differently, both in the type and quantity of awards granted.</w:t>
      </w:r>
    </w:p>
    <w:p>
      <w:pPr>
        <w:spacing w:after="0" w:line="206" w:lineRule="exact"/>
        <w:rPr>
          <w:sz w:val="20"/>
          <w:szCs w:val="20"/>
          <w:color w:val="auto"/>
        </w:rPr>
      </w:pPr>
    </w:p>
    <w:p>
      <w:pPr>
        <w:spacing w:after="0" w:line="261" w:lineRule="auto"/>
        <w:rPr>
          <w:sz w:val="20"/>
          <w:szCs w:val="20"/>
          <w:color w:val="auto"/>
        </w:rPr>
      </w:pPr>
      <w:r>
        <w:rPr>
          <w:rFonts w:ascii="Arial" w:cs="Arial" w:eastAsia="Arial" w:hAnsi="Arial"/>
          <w:sz w:val="15"/>
          <w:szCs w:val="15"/>
          <w:b w:val="1"/>
          <w:bCs w:val="1"/>
          <w:color w:val="auto"/>
        </w:rPr>
        <w:t xml:space="preserve">RevPAR. </w:t>
      </w:r>
      <w:r>
        <w:rPr>
          <w:rFonts w:ascii="Arial" w:cs="Arial" w:eastAsia="Arial" w:hAnsi="Arial"/>
          <w:sz w:val="15"/>
          <w:szCs w:val="15"/>
          <w:color w:val="auto"/>
        </w:rPr>
        <w:t>In addition to the foregoing non-GAAP financial measures, we present Revenue per Available Room (“RevPAR”) as a performance measure. We believe</w:t>
      </w:r>
      <w:r>
        <w:rPr>
          <w:rFonts w:ascii="Arial" w:cs="Arial" w:eastAsia="Arial" w:hAnsi="Arial"/>
          <w:sz w:val="15"/>
          <w:szCs w:val="15"/>
          <w:b w:val="1"/>
          <w:bCs w:val="1"/>
          <w:color w:val="auto"/>
        </w:rPr>
        <w:t xml:space="preserve"> </w:t>
      </w:r>
      <w:r>
        <w:rPr>
          <w:rFonts w:ascii="Arial" w:cs="Arial" w:eastAsia="Arial" w:hAnsi="Arial"/>
          <w:sz w:val="15"/>
          <w:szCs w:val="15"/>
          <w:color w:val="auto"/>
        </w:rPr>
        <w:t>RevPAR, which we calculate by dividing property level room revenue by total rooms available for the period, is a meaningful indicator of our performance because it measures the period-over-period change in room revenues. RevPAR may not be comparable to similarly titled measures, such as revenues, and should not be viewed as necessarily correlating with our fee revenue. We also believe occupancy and average daily rate (“ADR”), which are components of calculating RevPAR, are meaningful indicators of our performance. Occupancy, which we calculate by dividing total rooms sold by total rooms available for the period, measures the utilization of a property’s available capacity. ADR, which we calculate by dividing property level room revenue by total rooms sold, measures average room price and is useful in assessing pricing levels. Comparisons to prior periods are on a constant U.S. dollar basis, which we calculate by applying exchange rates for the current period to the prior comparable period. We believe constant dollar analysis provides valuable information regarding the performance of hotels in our system as it removes currency fluctuations from the presentation of such results.</w:t>
      </w:r>
    </w:p>
    <w:p>
      <w:pPr>
        <w:spacing w:after="0" w:line="217" w:lineRule="exact"/>
        <w:rPr>
          <w:sz w:val="20"/>
          <w:szCs w:val="20"/>
          <w:color w:val="auto"/>
        </w:rPr>
      </w:pPr>
    </w:p>
    <w:p>
      <w:pPr>
        <w:ind w:right="120"/>
        <w:spacing w:after="0" w:line="263" w:lineRule="auto"/>
        <w:rPr>
          <w:sz w:val="20"/>
          <w:szCs w:val="20"/>
          <w:color w:val="auto"/>
        </w:rPr>
      </w:pPr>
      <w:r>
        <w:rPr>
          <w:rFonts w:ascii="Arial" w:cs="Arial" w:eastAsia="Arial" w:hAnsi="Arial"/>
          <w:sz w:val="15"/>
          <w:szCs w:val="15"/>
          <w:color w:val="auto"/>
        </w:rPr>
        <w:t>We define our comparable properties as hotels in our system that were open and operating under one of our brands since the beginning of the last full calendar year (since January 1, 2025 for the current period) and have not, in either the current or previous year: (1) undergone significant room or public space renovations or expansions, (2) been converted between company-operated and franchised, or (3) sustained substantial property damage or business interruption. Our comparable properties also exclude MGM Collection with Marriott Bonvoy, Design Hotels, The Ritz-Carlton Yacht Collection, residences, timeshare, and all-inclusive properties.</w:t>
      </w:r>
    </w:p>
    <w:p>
      <w:pPr>
        <w:spacing w:after="0" w:line="216" w:lineRule="exact"/>
        <w:rPr>
          <w:sz w:val="20"/>
          <w:szCs w:val="20"/>
          <w:color w:val="auto"/>
        </w:rPr>
      </w:pPr>
    </w:p>
    <w:p>
      <w:pPr>
        <w:spacing w:after="0" w:line="266" w:lineRule="auto"/>
        <w:rPr>
          <w:sz w:val="20"/>
          <w:szCs w:val="20"/>
          <w:color w:val="auto"/>
        </w:rPr>
      </w:pPr>
      <w:r>
        <w:rPr>
          <w:rFonts w:ascii="Arial" w:cs="Arial" w:eastAsia="Arial" w:hAnsi="Arial"/>
          <w:sz w:val="15"/>
          <w:szCs w:val="15"/>
          <w:color w:val="auto"/>
        </w:rPr>
        <w:t>We use the term “hotel owners” throughout these schedules to refer, collectively, to owners of hotels and other lodging offerings operating in our system pursuant to franchise agreements, management agreements, license agreements, or similar arrangements, and we use the term “hotels in our system” to refer to hotels and other lodging offerings operating in our system pursuant to such arrangements, as well as hotels that we own or lease. The terms “hotel owners” and “hotels in our system” exclude Homes &amp; Villas by Marriott Bonvoy</w:t>
      </w:r>
      <w:r>
        <w:rPr>
          <w:rFonts w:ascii="Arial" w:cs="Arial" w:eastAsia="Arial" w:hAnsi="Arial"/>
          <w:sz w:val="19"/>
          <w:szCs w:val="19"/>
          <w:color w:val="auto"/>
          <w:vertAlign w:val="superscript"/>
        </w:rPr>
        <w:t>SM</w:t>
      </w:r>
      <w:r>
        <w:rPr>
          <w:rFonts w:ascii="Arial" w:cs="Arial" w:eastAsia="Arial" w:hAnsi="Arial"/>
          <w:sz w:val="15"/>
          <w:szCs w:val="15"/>
          <w:color w:val="auto"/>
        </w:rPr>
        <w:t xml:space="preserve"> (which we also exclude from our property and room count), timeshare, residential, and The Ritz-Carlton Yacht Collection</w:t>
      </w:r>
      <w:r>
        <w:rPr>
          <w:rFonts w:ascii="Arial" w:cs="Arial" w:eastAsia="Arial" w:hAnsi="Arial"/>
          <w:sz w:val="19"/>
          <w:szCs w:val="19"/>
          <w:b w:val="1"/>
          <w:bCs w:val="1"/>
          <w:color w:val="auto"/>
          <w:vertAlign w:val="superscript"/>
        </w:rPr>
        <w:t>®</w:t>
      </w:r>
      <w:r>
        <w:rPr>
          <w:rFonts w:ascii="Arial" w:cs="Arial" w:eastAsia="Arial" w:hAnsi="Arial"/>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A-15</w:t>
      </w:r>
    </w:p>
    <w:sectPr>
      <w:pgSz w:w="11900" w:h="16838" w:orient="portrait"/>
      <w:cols w:equalWidth="0" w:num="1">
        <w:col w:w="11220"/>
      </w:cols>
      <w:pgMar w:left="320" w:top="364"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1"/>
      <w:numFmt w:val="decimal"/>
      <w:start w:val="99"/>
    </w:lvl>
  </w:abstractNum>
  <w:abstractNum w:abstractNumId="2">
    <w:nsid w:val="519B500D"/>
    <w:multiLevelType w:val="hybridMultilevel"/>
    <w:lvl w:ilvl="0">
      <w:lvlJc w:val="left"/>
      <w:lvlText w:val="%1"/>
      <w:numFmt w:val="decimal"/>
      <w:start w:val="104"/>
    </w:lvl>
  </w:abstractNum>
  <w:abstractNum w:abstractNumId="3">
    <w:nsid w:val="431BD7B7"/>
    <w:multiLevelType w:val="hybridMultilevel"/>
    <w:lvl w:ilvl="0">
      <w:lvlJc w:val="left"/>
      <w:lvlText w:val="•"/>
      <w:numFmt w:val="bullet"/>
      <w:start w:val="1"/>
    </w:lvl>
  </w:abstractNum>
  <w:abstractNum w:abstractNumId="4">
    <w:nsid w:val="3F2DBA31"/>
    <w:multiLevelType w:val="hybridMultilevel"/>
    <w:lvl w:ilvl="0">
      <w:lvlJc w:val="left"/>
      <w:lvlText w:val="*"/>
      <w:numFmt w:val="bullet"/>
      <w:start w:val="1"/>
    </w:lvl>
  </w:abstractNum>
  <w:abstractNum w:abstractNumId="5">
    <w:nsid w:val="7C83E458"/>
    <w:multiLevelType w:val="hybridMultilevel"/>
    <w:lvl w:ilvl="0">
      <w:lvlJc w:val="left"/>
      <w:lvlText w:val="1"/>
      <w:numFmt w:val="bullet"/>
      <w:start w:val="1"/>
    </w:lvl>
  </w:abstractNum>
  <w:abstractNum w:abstractNumId="6">
    <w:nsid w:val="257130A3"/>
    <w:multiLevelType w:val="hybridMultilevel"/>
    <w:lvl w:ilvl="0">
      <w:lvlJc w:val="left"/>
      <w:lvlText w:val="2"/>
      <w:numFmt w:val="bullet"/>
      <w:start w:val="1"/>
    </w:lvl>
  </w:abstractNum>
  <w:abstractNum w:abstractNumId="7">
    <w:nsid w:val="62BBD95A"/>
    <w:multiLevelType w:val="hybridMultilevel"/>
    <w:lvl w:ilvl="0">
      <w:lvlJc w:val="left"/>
      <w:lvlText w:val="4"/>
      <w:numFmt w:val="bullet"/>
      <w:start w:val="1"/>
    </w:lvl>
  </w:abstractNum>
  <w:abstractNum w:abstractNumId="8">
    <w:nsid w:val="436C6125"/>
    <w:multiLevelType w:val="hybridMultilevel"/>
    <w:lvl w:ilvl="0">
      <w:lvlJc w:val="left"/>
      <w:lvlText w:val="5"/>
      <w:numFmt w:val="bullet"/>
      <w:start w:val="1"/>
    </w:lvl>
  </w:abstractNum>
  <w:abstractNum w:abstractNumId="9">
    <w:nsid w:val="628C895D"/>
    <w:multiLevelType w:val="hybridMultilevel"/>
    <w:lvl w:ilvl="0">
      <w:lvlJc w:val="left"/>
      <w:lvlText w:val="6"/>
      <w:numFmt w:val="bullet"/>
      <w:start w:val="1"/>
    </w:lvl>
  </w:abstractNum>
  <w:abstractNum w:abstractNumId="10">
    <w:nsid w:val="333AB105"/>
    <w:multiLevelType w:val="hybridMultilevel"/>
    <w:lvl w:ilvl="0">
      <w:lvlJc w:val="left"/>
      <w:lvlText w:val="7"/>
      <w:numFmt w:val="bullet"/>
      <w:start w:val="1"/>
    </w:lvl>
  </w:abstractNum>
  <w:abstractNum w:abstractNumId="11">
    <w:nsid w:val="721DA317"/>
    <w:multiLevelType w:val="hybridMultilevel"/>
    <w:lvl w:ilvl="0">
      <w:lvlJc w:val="left"/>
      <w:lvlText w:val="8"/>
      <w:numFmt w:val="bullet"/>
      <w:start w:val="1"/>
    </w:lvl>
  </w:abstractNum>
  <w:abstractNum w:abstractNumId="12">
    <w:nsid w:val="2443A858"/>
    <w:multiLevelType w:val="hybridMultilevel"/>
    <w:lvl w:ilvl="0">
      <w:lvlJc w:val="left"/>
      <w:lvlText w:val="9"/>
      <w:numFmt w:val="bullet"/>
      <w:start w:val="1"/>
    </w:lvl>
  </w:abstractNum>
  <w:abstractNum w:abstractNumId="13">
    <w:nsid w:val="2D1D5AE9"/>
    <w:multiLevelType w:val="hybridMultilevel"/>
    <w:lvl w:ilvl="0">
      <w:lvlJc w:val="left"/>
      <w:lvlText w:val="†"/>
      <w:numFmt w:val="bullet"/>
      <w:start w:val="1"/>
    </w:lvl>
  </w:abstractNum>
  <w:abstractNum w:abstractNumId="14">
    <w:nsid w:val="6763845E"/>
    <w:multiLevelType w:val="hybridMultilevel"/>
    <w:lvl w:ilvl="0">
      <w:lvlJc w:val="left"/>
      <w:lvlText w:val="1"/>
      <w:numFmt w:val="bullet"/>
      <w:start w:val="1"/>
    </w:lvl>
  </w:abstractNum>
  <w:abstractNum w:abstractNumId="15">
    <w:nsid w:val="75A2A8D4"/>
    <w:multiLevelType w:val="hybridMultilevel"/>
    <w:lvl w:ilvl="0">
      <w:lvlJc w:val="left"/>
      <w:lvlText w:val="1"/>
      <w:numFmt w:val="bullet"/>
      <w:start w:val="1"/>
    </w:lvl>
  </w:abstractNum>
  <w:abstractNum w:abstractNumId="16">
    <w:nsid w:val="8EDBDAB"/>
    <w:multiLevelType w:val="hybridMultilevel"/>
    <w:lvl w:ilvl="0">
      <w:lvlJc w:val="left"/>
      <w:lvlText w:val="*"/>
      <w:numFmt w:val="bullet"/>
      <w:start w:val="1"/>
    </w:lvl>
  </w:abstractNum>
  <w:abstractNum w:abstractNumId="17">
    <w:nsid w:val="79838CB2"/>
    <w:multiLevelType w:val="hybridMultilevel"/>
    <w:lvl w:ilvl="0">
      <w:lvlJc w:val="left"/>
      <w:lvlText w:val="1"/>
      <w:numFmt w:val="bullet"/>
      <w:start w:val="1"/>
    </w:lvl>
  </w:abstractNum>
  <w:abstractNum w:abstractNumId="18">
    <w:nsid w:val="4353D0CD"/>
    <w:multiLevelType w:val="hybridMultilevel"/>
    <w:lvl w:ilvl="0">
      <w:lvlJc w:val="left"/>
      <w:lvlText w:val="*"/>
      <w:numFmt w:val="bullet"/>
      <w:start w:val="1"/>
    </w:lvl>
    <w:lvl w:ilvl="1">
      <w:lvlJc w:val="left"/>
      <w:lvlText w:val="**"/>
      <w:numFmt w:val="bullet"/>
      <w:start w:val="1"/>
    </w:lvl>
  </w:abstractNum>
  <w:abstractNum w:abstractNumId="19">
    <w:nsid w:val="B03E0C6"/>
    <w:multiLevelType w:val="hybridMultilevel"/>
    <w:lvl w:ilvl="0">
      <w:lvlJc w:val="left"/>
      <w:lvlText w:val="1"/>
      <w:numFmt w:val="bullet"/>
      <w:start w:val="1"/>
    </w:lvl>
  </w:abstractNum>
  <w:abstractNum w:abstractNumId="20">
    <w:nsid w:val="189A769B"/>
    <w:multiLevelType w:val="hybridMultilevel"/>
    <w:lvl w:ilvl="0">
      <w:lvlJc w:val="left"/>
      <w:lvlText w:val="2"/>
      <w:numFmt w:val="bullet"/>
      <w:start w:val="1"/>
    </w:lvl>
  </w:abstractNum>
  <w:abstractNum w:abstractNumId="21">
    <w:nsid w:val="54E49EB4"/>
    <w:multiLevelType w:val="hybridMultilevel"/>
    <w:lvl w:ilvl="0">
      <w:lvlJc w:val="left"/>
      <w:lvlText w:val="3"/>
      <w:numFmt w:val="bullet"/>
      <w:start w:val="1"/>
    </w:lvl>
  </w:abstractNum>
  <w:abstractNum w:abstractNumId="22">
    <w:nsid w:val="71F32454"/>
    <w:multiLevelType w:val="hybridMultilevel"/>
    <w:lvl w:ilvl="0">
      <w:lvlJc w:val="left"/>
      <w:lvlText w:val="4"/>
      <w:numFmt w:val="bullet"/>
      <w:start w:val="1"/>
    </w:lvl>
  </w:abstractNum>
  <w:abstractNum w:abstractNumId="23">
    <w:nsid w:val="2CA88611"/>
    <w:multiLevelType w:val="hybridMultilevel"/>
    <w:lvl w:ilvl="0">
      <w:lvlJc w:val="left"/>
      <w:lvlText w:val="5"/>
      <w:numFmt w:val="bullet"/>
      <w:start w:val="1"/>
    </w:lvl>
  </w:abstractNum>
  <w:abstractNum w:abstractNumId="24">
    <w:nsid w:val="836C40E"/>
    <w:multiLevelType w:val="hybridMultilevel"/>
    <w:lvl w:ilvl="0">
      <w:lvlJc w:val="left"/>
      <w:lvlText w:val="1"/>
      <w:numFmt w:val="bullet"/>
      <w:start w:val="1"/>
    </w:lvl>
  </w:abstractNum>
  <w:abstractNum w:abstractNumId="25">
    <w:nsid w:val="2901D82"/>
    <w:multiLevelType w:val="hybridMultilevel"/>
    <w:lvl w:ilvl="0">
      <w:lvlJc w:val="left"/>
      <w:lvlText w:val="†"/>
      <w:numFmt w:val="bullet"/>
      <w:start w:val="1"/>
    </w:lvl>
  </w:abstractNum>
  <w:abstractNum w:abstractNumId="26">
    <w:nsid w:val="3A95F874"/>
    <w:multiLevelType w:val="hybridMultilevel"/>
    <w:lvl w:ilvl="0">
      <w:lvlJc w:val="left"/>
      <w:lvlText w:val="†"/>
      <w:numFmt w:val="bullet"/>
      <w:start w:val="1"/>
    </w:lvl>
  </w:abstractNum>
  <w:abstractNum w:abstractNumId="27">
    <w:nsid w:val="8138641"/>
    <w:multiLevelType w:val="hybridMultilevel"/>
    <w:lvl w:ilvl="0">
      <w:lvlJc w:val="left"/>
      <w:lvlText w:val="1"/>
      <w:numFmt w:val="bullet"/>
      <w:start w:val="1"/>
    </w:lvl>
  </w:abstractNum>
  <w:abstractNum w:abstractNumId="28">
    <w:nsid w:val="1E7FF521"/>
    <w:multiLevelType w:val="hybridMultilevel"/>
    <w:lvl w:ilvl="0">
      <w:lvlJc w:val="left"/>
      <w:lvlText w:val="2"/>
      <w:numFmt w:val="bullet"/>
      <w:start w:val="1"/>
    </w:lvl>
  </w:abstractNum>
  <w:abstractNum w:abstractNumId="29">
    <w:nsid w:val="7C3DBD3D"/>
    <w:multiLevelType w:val="hybridMultilevel"/>
    <w:lvl w:ilvl="0">
      <w:lvlJc w:val="left"/>
      <w:lvlText w:val="†"/>
      <w:numFmt w:val="bullet"/>
      <w:start w:val="1"/>
    </w:lvl>
  </w:abstractNum>
  <w:abstractNum w:abstractNumId="30">
    <w:nsid w:val="737B8DDC"/>
    <w:multiLevelType w:val="hybridMultilevel"/>
    <w:lvl w:ilvl="0">
      <w:lvlJc w:val="left"/>
      <w:lvlText w:val="1"/>
      <w:numFmt w:val="bullet"/>
      <w:start w:val="1"/>
    </w:lvl>
  </w:abstractNum>
  <w:abstractNum w:abstractNumId="31">
    <w:nsid w:val="6CEAF087"/>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2026-05-06T06:03:27Z</dcterms:created>
  <dcterms:modified xsi:type="dcterms:W3CDTF">2026-05-06T06:03:27Z</dcterms:modified>
</cp:coreProperties>
</file>