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97"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90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2"/>
            <w:vMerge w:val="restart"/>
          </w:tcPr>
          <w:p>
            <w:pPr>
              <w:spacing w:after="0" w:line="250" w:lineRule="exact"/>
              <w:rPr>
                <w:rFonts w:ascii="Arial" w:cs="Arial" w:eastAsia="Arial" w:hAnsi="Arial"/>
                <w:sz w:val="22"/>
                <w:szCs w:val="22"/>
                <w:color w:val="0000EE"/>
                <w:w w:val="91"/>
              </w:rPr>
            </w:pPr>
            <w:hyperlink r:id="rId12">
              <w:r>
                <w:rPr>
                  <w:rFonts w:ascii="Arial" w:cs="Arial" w:eastAsia="Arial" w:hAnsi="Arial"/>
                  <w:sz w:val="22"/>
                  <w:szCs w:val="22"/>
                  <w:color w:val="0000EE"/>
                  <w:w w:val="91"/>
                </w:rPr>
                <w:t>Marriott Juliana B.</w:t>
              </w:r>
            </w:hyperlink>
          </w:p>
        </w:tc>
        <w:tc>
          <w:tcPr>
            <w:tcW w:w="5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MARRIOTT INTERNATIONAL INC</w:t>
              </w:r>
            </w:hyperlink>
          </w:p>
        </w:tc>
        <w:tc>
          <w:tcPr>
            <w:tcW w:w="52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color w:val="auto"/>
                <w:w w:val="95"/>
              </w:rPr>
              <w:t>(Check all applicable)</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restart"/>
          </w:tcPr>
          <w:p>
            <w:pPr>
              <w:ind w:left="4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Borders>
              <w:bottom w:val="single" w:sz="8" w:color="0000EE"/>
            </w:tcBorders>
            <w:gridSpan w:val="2"/>
            <w:vMerge w:val="continue"/>
          </w:tcPr>
          <w:p>
            <w:pPr>
              <w:spacing w:after="0"/>
              <w:rPr>
                <w:sz w:val="5"/>
                <w:szCs w:val="5"/>
                <w:color w:val="auto"/>
              </w:rPr>
            </w:pPr>
          </w:p>
        </w:tc>
        <w:tc>
          <w:tcPr>
            <w:tcW w:w="500" w:type="dxa"/>
            <w:vAlign w:val="bottom"/>
            <w:vMerge w:val="restart"/>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/MD/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MAR</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2"/>
          </w:tcPr>
          <w:p>
            <w:pPr>
              <w:spacing w:after="0"/>
              <w:rPr>
                <w:sz w:val="4"/>
                <w:szCs w:val="4"/>
                <w:color w:val="auto"/>
              </w:rPr>
            </w:pPr>
          </w:p>
        </w:tc>
        <w:tc>
          <w:tcPr>
            <w:tcW w:w="50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gridSpan w:val="2"/>
            <w:vMerge w:val="restart"/>
          </w:tcPr>
          <w:p>
            <w:pPr>
              <w:ind w:left="460"/>
              <w:spacing w:after="0" w:line="155" w:lineRule="exact"/>
              <w:rPr>
                <w:sz w:val="20"/>
                <w:szCs w:val="20"/>
                <w:color w:val="auto"/>
              </w:rPr>
            </w:pPr>
            <w:r>
              <w:rPr>
                <w:rFonts w:ascii="Arial" w:cs="Arial" w:eastAsia="Arial" w:hAnsi="Arial"/>
                <w:sz w:val="14"/>
                <w:szCs w:val="14"/>
                <w:color w:val="auto"/>
              </w:rPr>
              <w:t>Officer (give title</w:t>
            </w: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4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540" w:type="dxa"/>
            <w:vAlign w:val="bottom"/>
            <w:tcBorders>
              <w:top w:val="single" w:sz="8" w:color="EEEEEE"/>
            </w:tcBorders>
          </w:tcPr>
          <w:p>
            <w:pPr>
              <w:spacing w:after="0"/>
              <w:rPr>
                <w:sz w:val="8"/>
                <w:szCs w:val="8"/>
                <w:color w:val="auto"/>
              </w:rPr>
            </w:pPr>
          </w:p>
        </w:tc>
        <w:tc>
          <w:tcPr>
            <w:tcW w:w="500" w:type="dxa"/>
            <w:vAlign w:val="bottom"/>
            <w:tcBorders>
              <w:top w:val="single" w:sz="8" w:color="EEEEEE"/>
            </w:tcBorders>
          </w:tcPr>
          <w:p>
            <w:pPr>
              <w:spacing w:after="0"/>
              <w:rPr>
                <w:sz w:val="8"/>
                <w:szCs w:val="8"/>
                <w:color w:val="auto"/>
              </w:rPr>
            </w:pPr>
          </w:p>
        </w:tc>
        <w:tc>
          <w:tcPr>
            <w:tcW w:w="166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restart"/>
          </w:tcPr>
          <w:p>
            <w:pPr>
              <w:ind w:left="46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color w:val="auto"/>
              </w:rPr>
              <w:t>(First)</w:t>
            </w:r>
          </w:p>
        </w:tc>
        <w:tc>
          <w:tcPr>
            <w:tcW w:w="1820" w:type="dxa"/>
            <w:vAlign w:val="bottom"/>
            <w:gridSpan w:val="3"/>
            <w:vMerge w:val="restart"/>
          </w:tcPr>
          <w:p>
            <w:pPr>
              <w:ind w:left="400"/>
              <w:spacing w:after="0"/>
              <w:rPr>
                <w:sz w:val="20"/>
                <w:szCs w:val="20"/>
                <w:color w:val="auto"/>
              </w:rPr>
            </w:pPr>
            <w:r>
              <w:rPr>
                <w:rFonts w:ascii="Arial" w:cs="Arial" w:eastAsia="Arial" w:hAnsi="Arial"/>
                <w:sz w:val="14"/>
                <w:szCs w:val="14"/>
                <w:color w:val="auto"/>
              </w:rPr>
              <w:t>(Middle)</w:t>
            </w:r>
          </w:p>
        </w:tc>
        <w:tc>
          <w:tcPr>
            <w:tcW w:w="2900" w:type="dxa"/>
            <w:vAlign w:val="bottom"/>
            <w:gridSpan w:val="4"/>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9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80" w:type="dxa"/>
            <w:vAlign w:val="bottom"/>
            <w:gridSpan w:val="5"/>
            <w:vMerge w:val="restart"/>
          </w:tcPr>
          <w:p>
            <w:pPr>
              <w:ind w:left="680"/>
              <w:spacing w:after="0"/>
              <w:rPr>
                <w:sz w:val="20"/>
                <w:szCs w:val="20"/>
                <w:color w:val="auto"/>
              </w:rPr>
            </w:pPr>
            <w:r>
              <w:rPr>
                <w:rFonts w:ascii="Arial" w:cs="Arial" w:eastAsia="Arial" w:hAnsi="Arial"/>
                <w:sz w:val="18"/>
                <w:szCs w:val="18"/>
                <w:color w:val="0000FF"/>
              </w:rPr>
              <w:t>Member of a 10% Group</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gridSpan w:val="4"/>
            <w:vMerge w:val="continue"/>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gridSpan w:val="3"/>
            <w:vMerge w:val="restart"/>
          </w:tcPr>
          <w:p>
            <w:pPr>
              <w:spacing w:after="0"/>
              <w:rPr>
                <w:sz w:val="20"/>
                <w:szCs w:val="20"/>
                <w:color w:val="auto"/>
              </w:rPr>
            </w:pPr>
            <w:r>
              <w:rPr>
                <w:rFonts w:ascii="Arial" w:cs="Arial" w:eastAsia="Arial" w:hAnsi="Arial"/>
                <w:sz w:val="18"/>
                <w:szCs w:val="18"/>
                <w:color w:val="0000FF"/>
                <w:w w:val="96"/>
              </w:rPr>
              <w:t>10400 FERNWOOD ROAD</w:t>
            </w: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12/19/2014</w:t>
            </w: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860" w:type="dxa"/>
            <w:vAlign w:val="bottom"/>
            <w:tcBorders>
              <w:bottom w:val="single" w:sz="8" w:color="2C2C2C"/>
            </w:tcBorders>
            <w:gridSpan w:val="4"/>
          </w:tcPr>
          <w:p>
            <w:pPr>
              <w:spacing w:after="0"/>
              <w:rPr>
                <w:sz w:val="9"/>
                <w:szCs w:val="9"/>
                <w:color w:val="auto"/>
              </w:rPr>
            </w:pPr>
          </w:p>
        </w:tc>
        <w:tc>
          <w:tcPr>
            <w:tcW w:w="580" w:type="dxa"/>
            <w:vAlign w:val="bottom"/>
            <w:tcBorders>
              <w:bottom w:val="single" w:sz="8" w:color="2C2C2C"/>
            </w:tcBorders>
            <w:gridSpan w:val="2"/>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BETHESDA</w:t>
            </w:r>
          </w:p>
        </w:tc>
        <w:tc>
          <w:tcPr>
            <w:tcW w:w="1040" w:type="dxa"/>
            <w:vAlign w:val="bottom"/>
            <w:gridSpan w:val="2"/>
          </w:tcPr>
          <w:p>
            <w:pPr>
              <w:ind w:left="180"/>
              <w:spacing w:after="0"/>
              <w:rPr>
                <w:sz w:val="20"/>
                <w:szCs w:val="20"/>
                <w:color w:val="auto"/>
              </w:rPr>
            </w:pPr>
            <w:r>
              <w:rPr>
                <w:rFonts w:ascii="Arial" w:cs="Arial" w:eastAsia="Arial" w:hAnsi="Arial"/>
                <w:sz w:val="18"/>
                <w:szCs w:val="18"/>
                <w:color w:val="0000FF"/>
              </w:rPr>
              <w:t>MD</w:t>
            </w:r>
          </w:p>
        </w:tc>
        <w:tc>
          <w:tcPr>
            <w:tcW w:w="1660" w:type="dxa"/>
            <w:vAlign w:val="bottom"/>
          </w:tcPr>
          <w:p>
            <w:pPr>
              <w:ind w:left="400"/>
              <w:spacing w:after="0"/>
              <w:rPr>
                <w:sz w:val="20"/>
                <w:szCs w:val="20"/>
                <w:color w:val="auto"/>
              </w:rPr>
            </w:pPr>
            <w:r>
              <w:rPr>
                <w:rFonts w:ascii="Arial" w:cs="Arial" w:eastAsia="Arial" w:hAnsi="Arial"/>
                <w:sz w:val="18"/>
                <w:szCs w:val="18"/>
                <w:color w:val="0000FF"/>
              </w:rPr>
              <w:t>20817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80" w:type="dxa"/>
            <w:vAlign w:val="bottom"/>
            <w:gridSpan w:val="5"/>
          </w:tcPr>
          <w:p>
            <w:pPr>
              <w:ind w:left="1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80" w:type="dxa"/>
            <w:vAlign w:val="bottom"/>
            <w:gridSpan w:val="5"/>
          </w:tcPr>
          <w:p>
            <w:pPr>
              <w:ind w:left="4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color w:val="auto"/>
              </w:rPr>
              <w:t>(State)</w:t>
            </w:r>
          </w:p>
        </w:tc>
        <w:tc>
          <w:tcPr>
            <w:tcW w:w="1820" w:type="dxa"/>
            <w:vAlign w:val="bottom"/>
            <w:gridSpan w:val="3"/>
            <w:vMerge w:val="restart"/>
          </w:tcPr>
          <w:p>
            <w:pPr>
              <w:ind w:left="400"/>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ind w:left="48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2"/>
          </w:tcPr>
          <w:p>
            <w:pPr>
              <w:ind w:left="1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60" w:type="dxa"/>
            <w:vAlign w:val="bottom"/>
            <w:gridSpan w:val="5"/>
          </w:tcPr>
          <w:p>
            <w:pPr>
              <w:ind w:left="860"/>
              <w:spacing w:after="0" w:line="135"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2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2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vMerge w:val="restart"/>
          </w:tcPr>
          <w:p>
            <w:pPr>
              <w:ind w:left="120"/>
              <w:spacing w:after="0" w:line="135" w:lineRule="exact"/>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0000FF"/>
              </w:rPr>
              <w:t>12/19/2014</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G</w:t>
            </w:r>
          </w:p>
        </w:tc>
        <w:tc>
          <w:tcPr>
            <w:tcW w:w="860" w:type="dxa"/>
            <w:vAlign w:val="bottom"/>
          </w:tcPr>
          <w:p>
            <w:pPr>
              <w:ind w:left="280"/>
              <w:spacing w:after="0"/>
              <w:rPr>
                <w:sz w:val="20"/>
                <w:szCs w:val="20"/>
                <w:color w:val="auto"/>
              </w:rPr>
            </w:pPr>
            <w:r>
              <w:rPr>
                <w:rFonts w:ascii="Arial" w:cs="Arial" w:eastAsia="Arial" w:hAnsi="Arial"/>
                <w:sz w:val="18"/>
                <w:szCs w:val="18"/>
                <w:color w:val="0000FF"/>
              </w:rPr>
              <w:t>380</w:t>
            </w:r>
          </w:p>
        </w:tc>
        <w:tc>
          <w:tcPr>
            <w:tcW w:w="480" w:type="dxa"/>
            <w:vAlign w:val="bottom"/>
            <w:gridSpan w:val="2"/>
          </w:tcPr>
          <w:p>
            <w:pPr>
              <w:jc w:val="center"/>
              <w:ind w:right="80"/>
              <w:spacing w:after="0"/>
              <w:rPr>
                <w:sz w:val="20"/>
                <w:szCs w:val="20"/>
                <w:color w:val="auto"/>
              </w:rPr>
            </w:pPr>
            <w:r>
              <w:rPr>
                <w:rFonts w:ascii="Arial" w:cs="Arial" w:eastAsia="Arial" w:hAnsi="Arial"/>
                <w:sz w:val="18"/>
                <w:szCs w:val="18"/>
                <w:color w:val="0000FF"/>
                <w:w w:val="91"/>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0.0000</w:t>
            </w:r>
          </w:p>
        </w:tc>
        <w:tc>
          <w:tcPr>
            <w:tcW w:w="1220" w:type="dxa"/>
            <w:vAlign w:val="bottom"/>
          </w:tcPr>
          <w:p>
            <w:pPr>
              <w:jc w:val="center"/>
              <w:spacing w:after="0"/>
              <w:rPr>
                <w:sz w:val="20"/>
                <w:szCs w:val="20"/>
                <w:color w:val="auto"/>
              </w:rPr>
            </w:pPr>
            <w:r>
              <w:rPr>
                <w:rFonts w:ascii="Arial" w:cs="Arial" w:eastAsia="Arial" w:hAnsi="Arial"/>
                <w:sz w:val="18"/>
                <w:szCs w:val="18"/>
                <w:color w:val="0000FF"/>
                <w:w w:val="87"/>
              </w:rPr>
              <w:t>43,322</w:t>
            </w:r>
          </w:p>
        </w:tc>
        <w:tc>
          <w:tcPr>
            <w:tcW w:w="280" w:type="dxa"/>
            <w:vAlign w:val="bottom"/>
          </w:tcPr>
          <w:p>
            <w:pPr>
              <w:spacing w:after="0"/>
              <w:rPr>
                <w:sz w:val="23"/>
                <w:szCs w:val="23"/>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D</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0000FF"/>
              </w:rPr>
              <w:t>12/22/2014</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G</w:t>
            </w:r>
          </w:p>
        </w:tc>
        <w:tc>
          <w:tcPr>
            <w:tcW w:w="860" w:type="dxa"/>
            <w:vAlign w:val="bottom"/>
          </w:tcPr>
          <w:p>
            <w:pPr>
              <w:ind w:left="280"/>
              <w:spacing w:after="0"/>
              <w:rPr>
                <w:sz w:val="20"/>
                <w:szCs w:val="20"/>
                <w:color w:val="auto"/>
              </w:rPr>
            </w:pPr>
            <w:r>
              <w:rPr>
                <w:rFonts w:ascii="Arial" w:cs="Arial" w:eastAsia="Arial" w:hAnsi="Arial"/>
                <w:sz w:val="18"/>
                <w:szCs w:val="18"/>
                <w:color w:val="0000FF"/>
              </w:rPr>
              <w:t>646</w:t>
            </w:r>
          </w:p>
        </w:tc>
        <w:tc>
          <w:tcPr>
            <w:tcW w:w="480" w:type="dxa"/>
            <w:vAlign w:val="bottom"/>
            <w:gridSpan w:val="2"/>
          </w:tcPr>
          <w:p>
            <w:pPr>
              <w:jc w:val="center"/>
              <w:ind w:right="80"/>
              <w:spacing w:after="0"/>
              <w:rPr>
                <w:sz w:val="20"/>
                <w:szCs w:val="20"/>
                <w:color w:val="auto"/>
              </w:rPr>
            </w:pPr>
            <w:r>
              <w:rPr>
                <w:rFonts w:ascii="Arial" w:cs="Arial" w:eastAsia="Arial" w:hAnsi="Arial"/>
                <w:sz w:val="18"/>
                <w:szCs w:val="18"/>
                <w:color w:val="0000FF"/>
                <w:w w:val="91"/>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0.0000</w:t>
            </w:r>
          </w:p>
        </w:tc>
        <w:tc>
          <w:tcPr>
            <w:tcW w:w="1220" w:type="dxa"/>
            <w:vAlign w:val="bottom"/>
          </w:tcPr>
          <w:p>
            <w:pPr>
              <w:jc w:val="center"/>
              <w:spacing w:after="0"/>
              <w:rPr>
                <w:sz w:val="20"/>
                <w:szCs w:val="20"/>
                <w:color w:val="auto"/>
              </w:rPr>
            </w:pPr>
            <w:r>
              <w:rPr>
                <w:rFonts w:ascii="Arial" w:cs="Arial" w:eastAsia="Arial" w:hAnsi="Arial"/>
                <w:sz w:val="18"/>
                <w:szCs w:val="18"/>
                <w:color w:val="0000FF"/>
                <w:w w:val="87"/>
              </w:rPr>
              <w:t>42,676</w:t>
            </w:r>
          </w:p>
        </w:tc>
        <w:tc>
          <w:tcPr>
            <w:tcW w:w="280" w:type="dxa"/>
            <w:vAlign w:val="bottom"/>
          </w:tcPr>
          <w:p>
            <w:pPr>
              <w:spacing w:after="0"/>
              <w:rPr>
                <w:sz w:val="23"/>
                <w:szCs w:val="23"/>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D</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0000FF"/>
              </w:rPr>
              <w:t>12/31/2014</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G</w:t>
            </w:r>
          </w:p>
        </w:tc>
        <w:tc>
          <w:tcPr>
            <w:tcW w:w="860" w:type="dxa"/>
            <w:vAlign w:val="bottom"/>
          </w:tcPr>
          <w:p>
            <w:pPr>
              <w:ind w:left="280"/>
              <w:spacing w:after="0"/>
              <w:rPr>
                <w:sz w:val="20"/>
                <w:szCs w:val="20"/>
                <w:color w:val="auto"/>
              </w:rPr>
            </w:pPr>
            <w:r>
              <w:rPr>
                <w:rFonts w:ascii="Arial" w:cs="Arial" w:eastAsia="Arial" w:hAnsi="Arial"/>
                <w:sz w:val="18"/>
                <w:szCs w:val="18"/>
                <w:color w:val="0000FF"/>
              </w:rPr>
              <w:t>676</w:t>
            </w:r>
          </w:p>
        </w:tc>
        <w:tc>
          <w:tcPr>
            <w:tcW w:w="480" w:type="dxa"/>
            <w:vAlign w:val="bottom"/>
            <w:gridSpan w:val="2"/>
          </w:tcPr>
          <w:p>
            <w:pPr>
              <w:jc w:val="center"/>
              <w:ind w:right="80"/>
              <w:spacing w:after="0"/>
              <w:rPr>
                <w:sz w:val="20"/>
                <w:szCs w:val="20"/>
                <w:color w:val="auto"/>
              </w:rPr>
            </w:pPr>
            <w:r>
              <w:rPr>
                <w:rFonts w:ascii="Arial" w:cs="Arial" w:eastAsia="Arial" w:hAnsi="Arial"/>
                <w:sz w:val="18"/>
                <w:szCs w:val="18"/>
                <w:color w:val="0000FF"/>
                <w:w w:val="91"/>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0.0000</w:t>
            </w:r>
          </w:p>
        </w:tc>
        <w:tc>
          <w:tcPr>
            <w:tcW w:w="1220" w:type="dxa"/>
            <w:vAlign w:val="bottom"/>
          </w:tcPr>
          <w:p>
            <w:pPr>
              <w:jc w:val="center"/>
              <w:spacing w:after="0"/>
              <w:rPr>
                <w:sz w:val="20"/>
                <w:szCs w:val="20"/>
                <w:color w:val="auto"/>
              </w:rPr>
            </w:pPr>
            <w:r>
              <w:rPr>
                <w:rFonts w:ascii="Arial" w:cs="Arial" w:eastAsia="Arial" w:hAnsi="Arial"/>
                <w:sz w:val="18"/>
                <w:szCs w:val="18"/>
                <w:color w:val="0000FF"/>
                <w:w w:val="87"/>
              </w:rPr>
              <w:t>42,000</w:t>
            </w:r>
          </w:p>
        </w:tc>
        <w:tc>
          <w:tcPr>
            <w:tcW w:w="280" w:type="dxa"/>
            <w:vAlign w:val="bottom"/>
          </w:tcPr>
          <w:p>
            <w:pPr>
              <w:spacing w:after="0"/>
              <w:rPr>
                <w:sz w:val="23"/>
                <w:szCs w:val="23"/>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D</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By JWM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0000FF"/>
                <w:w w:val="88"/>
              </w:rPr>
              <w:t>24,227,118</w:t>
            </w:r>
          </w:p>
        </w:tc>
        <w:tc>
          <w:tcPr>
            <w:tcW w:w="280" w:type="dxa"/>
            <w:vAlign w:val="bottom"/>
          </w:tcPr>
          <w:p>
            <w:pPr>
              <w:spacing w:after="0"/>
              <w:rPr>
                <w:sz w:val="18"/>
                <w:szCs w:val="18"/>
                <w:color w:val="auto"/>
              </w:rPr>
            </w:pPr>
          </w:p>
        </w:tc>
        <w:tc>
          <w:tcPr>
            <w:tcW w:w="560" w:type="dxa"/>
            <w:vAlign w:val="bottom"/>
            <w:vMerge w:val="restart"/>
          </w:tcPr>
          <w:p>
            <w:pPr>
              <w:jc w:val="center"/>
              <w:ind w:right="212"/>
              <w:spacing w:after="0"/>
              <w:rPr>
                <w:sz w:val="20"/>
                <w:szCs w:val="20"/>
                <w:color w:val="auto"/>
              </w:rPr>
            </w:pPr>
            <w:r>
              <w:rPr>
                <w:rFonts w:ascii="Arial" w:cs="Arial" w:eastAsia="Arial" w:hAnsi="Arial"/>
                <w:sz w:val="18"/>
                <w:szCs w:val="18"/>
                <w:color w:val="0000FF"/>
              </w:rPr>
              <w:t>I</w:t>
            </w: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40" w:type="dxa"/>
            <w:vAlign w:val="bottom"/>
            <w:gridSpan w:val="4"/>
            <w:vMerge w:val="continue"/>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8"/>
                <w:szCs w:val="18"/>
                <w:color w:val="0000FF"/>
              </w:rPr>
              <w:t>Enterprises,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By JBM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6"/>
              </w:rPr>
              <w:t>469,069</w:t>
            </w:r>
          </w:p>
        </w:tc>
        <w:tc>
          <w:tcPr>
            <w:tcW w:w="280" w:type="dxa"/>
            <w:vAlign w:val="bottom"/>
          </w:tcPr>
          <w:p>
            <w:pPr>
              <w:spacing w:after="0"/>
              <w:rPr>
                <w:sz w:val="18"/>
                <w:szCs w:val="18"/>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I</w:t>
            </w: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By Trust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0000FF"/>
                <w:w w:val="86"/>
              </w:rPr>
              <w:t>290,000</w:t>
            </w:r>
          </w:p>
        </w:tc>
        <w:tc>
          <w:tcPr>
            <w:tcW w:w="280" w:type="dxa"/>
            <w:vAlign w:val="bottom"/>
          </w:tcPr>
          <w:p>
            <w:pPr>
              <w:spacing w:after="0"/>
              <w:rPr>
                <w:sz w:val="18"/>
                <w:szCs w:val="18"/>
                <w:color w:val="auto"/>
              </w:rPr>
            </w:pPr>
          </w:p>
        </w:tc>
        <w:tc>
          <w:tcPr>
            <w:tcW w:w="560" w:type="dxa"/>
            <w:vAlign w:val="bottom"/>
            <w:vMerge w:val="restart"/>
          </w:tcPr>
          <w:p>
            <w:pPr>
              <w:jc w:val="center"/>
              <w:ind w:right="212"/>
              <w:spacing w:after="0"/>
              <w:rPr>
                <w:sz w:val="20"/>
                <w:szCs w:val="20"/>
                <w:color w:val="auto"/>
              </w:rPr>
            </w:pPr>
            <w:r>
              <w:rPr>
                <w:rFonts w:ascii="Arial" w:cs="Arial" w:eastAsia="Arial" w:hAnsi="Arial"/>
                <w:sz w:val="18"/>
                <w:szCs w:val="18"/>
                <w:color w:val="0000FF"/>
              </w:rPr>
              <w:t>I</w:t>
            </w: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Steven Garff</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40" w:type="dxa"/>
            <w:vAlign w:val="bottom"/>
            <w:gridSpan w:val="4"/>
            <w:vMerge w:val="continue"/>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8"/>
                <w:szCs w:val="18"/>
                <w:color w:val="0000FF"/>
              </w:rPr>
              <w:t>Marriott's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86"/>
              </w:rPr>
              <w:t>Descendants</w:t>
            </w:r>
            <w:r>
              <w:rPr>
                <w:rFonts w:ascii="Arial" w:cs="Arial" w:eastAsia="Arial" w:hAnsi="Arial"/>
                <w:sz w:val="22"/>
                <w:szCs w:val="22"/>
                <w:color w:val="008000"/>
                <w:w w:val="8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By Trust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7"/>
              </w:rPr>
              <w:t>13,220</w:t>
            </w:r>
          </w:p>
        </w:tc>
        <w:tc>
          <w:tcPr>
            <w:tcW w:w="280" w:type="dxa"/>
            <w:vAlign w:val="bottom"/>
          </w:tcPr>
          <w:p>
            <w:pPr>
              <w:spacing w:after="0"/>
              <w:rPr>
                <w:sz w:val="18"/>
                <w:szCs w:val="18"/>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I</w:t>
            </w: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benefit of</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child - 1</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By Trust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7"/>
              </w:rPr>
              <w:t>16,682</w:t>
            </w:r>
          </w:p>
        </w:tc>
        <w:tc>
          <w:tcPr>
            <w:tcW w:w="280" w:type="dxa"/>
            <w:vAlign w:val="bottom"/>
          </w:tcPr>
          <w:p>
            <w:pPr>
              <w:spacing w:after="0"/>
              <w:rPr>
                <w:sz w:val="18"/>
                <w:szCs w:val="18"/>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I</w:t>
            </w: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benefit of</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child - 2</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By Trust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7"/>
              </w:rPr>
              <w:t>11,732</w:t>
            </w:r>
          </w:p>
        </w:tc>
        <w:tc>
          <w:tcPr>
            <w:tcW w:w="280" w:type="dxa"/>
            <w:vAlign w:val="bottom"/>
          </w:tcPr>
          <w:p>
            <w:pPr>
              <w:spacing w:after="0"/>
              <w:rPr>
                <w:sz w:val="18"/>
                <w:szCs w:val="18"/>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I</w:t>
            </w: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benefit of</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child - 3</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By Trust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7"/>
              </w:rPr>
              <w:t>68,900</w:t>
            </w:r>
          </w:p>
        </w:tc>
        <w:tc>
          <w:tcPr>
            <w:tcW w:w="280" w:type="dxa"/>
            <w:vAlign w:val="bottom"/>
          </w:tcPr>
          <w:p>
            <w:pPr>
              <w:spacing w:after="0"/>
              <w:rPr>
                <w:sz w:val="18"/>
                <w:szCs w:val="18"/>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I</w:t>
            </w: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benefit of</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child - 4</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By Trust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7"/>
              </w:rPr>
              <w:t>76,991</w:t>
            </w:r>
          </w:p>
        </w:tc>
        <w:tc>
          <w:tcPr>
            <w:tcW w:w="280" w:type="dxa"/>
            <w:vAlign w:val="bottom"/>
          </w:tcPr>
          <w:p>
            <w:pPr>
              <w:spacing w:after="0"/>
              <w:rPr>
                <w:sz w:val="18"/>
                <w:szCs w:val="18"/>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I</w:t>
            </w: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benefit of</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child - 5</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By Trust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7"/>
              </w:rPr>
              <w:t>53,622</w:t>
            </w:r>
          </w:p>
        </w:tc>
        <w:tc>
          <w:tcPr>
            <w:tcW w:w="280" w:type="dxa"/>
            <w:vAlign w:val="bottom"/>
          </w:tcPr>
          <w:p>
            <w:pPr>
              <w:spacing w:after="0"/>
              <w:rPr>
                <w:sz w:val="18"/>
                <w:szCs w:val="18"/>
                <w:color w:val="auto"/>
              </w:rPr>
            </w:pPr>
          </w:p>
        </w:tc>
        <w:tc>
          <w:tcPr>
            <w:tcW w:w="560" w:type="dxa"/>
            <w:vAlign w:val="bottom"/>
          </w:tcPr>
          <w:p>
            <w:pPr>
              <w:jc w:val="center"/>
              <w:ind w:right="212"/>
              <w:spacing w:after="0"/>
              <w:rPr>
                <w:sz w:val="20"/>
                <w:szCs w:val="20"/>
                <w:color w:val="auto"/>
              </w:rPr>
            </w:pPr>
            <w:r>
              <w:rPr>
                <w:rFonts w:ascii="Arial" w:cs="Arial" w:eastAsia="Arial" w:hAnsi="Arial"/>
                <w:sz w:val="18"/>
                <w:szCs w:val="18"/>
                <w:color w:val="0000FF"/>
              </w:rPr>
              <w:t>I</w:t>
            </w:r>
          </w:p>
        </w:tc>
        <w:tc>
          <w:tcPr>
            <w:tcW w:w="1220" w:type="dxa"/>
            <w:vAlign w:val="bottom"/>
            <w:gridSpan w:val="2"/>
          </w:tcPr>
          <w:p>
            <w:pPr>
              <w:ind w:left="120"/>
              <w:spacing w:after="0"/>
              <w:rPr>
                <w:sz w:val="20"/>
                <w:szCs w:val="20"/>
                <w:color w:val="auto"/>
              </w:rPr>
            </w:pPr>
            <w:r>
              <w:rPr>
                <w:rFonts w:ascii="Arial" w:cs="Arial" w:eastAsia="Arial" w:hAnsi="Arial"/>
                <w:sz w:val="18"/>
                <w:szCs w:val="18"/>
                <w:color w:val="0000FF"/>
              </w:rPr>
              <w:t>benefit of</w:t>
            </w: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child - 6</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5"/>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97"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82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82245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8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89"/>
              </w:rPr>
              <w:t>4Code.</w:t>
            </w:r>
          </w:p>
        </w:tc>
        <w:tc>
          <w:tcPr>
            <w:tcW w:w="4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8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w w:val="73"/>
              </w:rPr>
              <w:t>6Exercisable.DateExercisableDate and</w:t>
            </w:r>
          </w:p>
        </w:tc>
        <w:tc>
          <w:tcPr>
            <w:tcW w:w="110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w w:val="82"/>
              </w:rPr>
              <w:t>7Title.Title andShares</w:t>
            </w:r>
          </w:p>
        </w:tc>
        <w:tc>
          <w:tcPr>
            <w:tcW w:w="7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3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0"/>
                <w:szCs w:val="10"/>
                <w:color w:val="auto"/>
              </w:rPr>
            </w:pPr>
          </w:p>
        </w:tc>
        <w:tc>
          <w:tcPr>
            <w:tcW w:w="11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6"/>
        </w:trPr>
        <w:tc>
          <w:tcPr>
            <w:tcW w:w="820" w:type="dxa"/>
            <w:vAlign w:val="bottom"/>
          </w:tcPr>
          <w:p>
            <w:pPr>
              <w:ind w:left="4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11420" w:type="dxa"/>
            <w:vAlign w:val="bottom"/>
            <w:gridSpan w:val="18"/>
          </w:tcPr>
          <w:p>
            <w:pPr>
              <w:ind w:left="40"/>
              <w:spacing w:after="0" w:line="68" w:lineRule="exact"/>
              <w:rPr>
                <w:sz w:val="20"/>
                <w:szCs w:val="20"/>
                <w:color w:val="auto"/>
              </w:rPr>
            </w:pPr>
            <w:r>
              <w:rPr>
                <w:rFonts w:ascii="Arial" w:cs="Arial" w:eastAsia="Arial" w:hAnsi="Arial"/>
                <w:sz w:val="7"/>
                <w:szCs w:val="7"/>
                <w:color w:val="008000"/>
              </w:rPr>
              <w:t>1. Consists of 9,199,999 shares owned by Thomas Point Ventures, L.P., whose sole general partner is JWM Family Enterprises, L.P., 2,904,028 shares held by Terrapin Limited Holdings, LLC, whose sole</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76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Derivative</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8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Owned</w:t>
            </w:r>
          </w:p>
        </w:tc>
        <w:tc>
          <w:tcPr>
            <w:tcW w:w="76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or Indirect</w:t>
            </w:r>
          </w:p>
        </w:tc>
        <w:tc>
          <w:tcPr>
            <w:tcW w:w="80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1"/>
        </w:trPr>
        <w:tc>
          <w:tcPr>
            <w:tcW w:w="11420" w:type="dxa"/>
            <w:vAlign w:val="bottom"/>
            <w:gridSpan w:val="18"/>
          </w:tcPr>
          <w:p>
            <w:pPr>
              <w:ind w:left="40"/>
              <w:spacing w:after="0" w:line="81" w:lineRule="exact"/>
              <w:rPr>
                <w:sz w:val="20"/>
                <w:szCs w:val="20"/>
                <w:color w:val="auto"/>
              </w:rPr>
            </w:pPr>
            <w:r>
              <w:rPr>
                <w:rFonts w:ascii="Arial" w:cs="Arial" w:eastAsia="Arial" w:hAnsi="Arial"/>
                <w:sz w:val="9"/>
                <w:szCs w:val="9"/>
                <w:color w:val="008000"/>
              </w:rPr>
              <w:t>member is JWM Family Enterprises, L.P., 4,200,000 shares owned by Anchorage Partners, L.P., whose sole general partner is JWM Family Enterprises, L.P., and 7,923,091 shares owned by JWM Family</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60" w:type="dxa"/>
            <w:vAlign w:val="bottom"/>
          </w:tcPr>
          <w:p>
            <w:pPr>
              <w:ind w:left="20"/>
              <w:spacing w:after="0" w:line="54" w:lineRule="exact"/>
              <w:rPr>
                <w:sz w:val="20"/>
                <w:szCs w:val="20"/>
                <w:color w:val="auto"/>
              </w:rPr>
            </w:pPr>
            <w:r>
              <w:rPr>
                <w:rFonts w:ascii="Arial" w:cs="Arial" w:eastAsia="Arial" w:hAnsi="Arial"/>
                <w:sz w:val="6"/>
                <w:szCs w:val="6"/>
                <w:b w:val="1"/>
                <w:bCs w:val="1"/>
                <w:color w:val="auto"/>
              </w:rPr>
              <w:t>Security</w:t>
            </w: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Security (Instr. 3</w:t>
            </w:r>
          </w:p>
        </w:tc>
        <w:tc>
          <w:tcPr>
            <w:tcW w:w="720" w:type="dxa"/>
            <w:vAlign w:val="bottom"/>
          </w:tcPr>
          <w:p>
            <w:pPr>
              <w:spacing w:after="0"/>
              <w:rPr>
                <w:sz w:val="4"/>
                <w:szCs w:val="4"/>
                <w:color w:val="auto"/>
              </w:rPr>
            </w:pPr>
          </w:p>
        </w:tc>
        <w:tc>
          <w:tcPr>
            <w:tcW w:w="98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 (Instr. 4)</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1420" w:type="dxa"/>
            <w:vAlign w:val="bottom"/>
            <w:gridSpan w:val="18"/>
          </w:tcPr>
          <w:p>
            <w:pPr>
              <w:ind w:left="40"/>
              <w:spacing w:after="0" w:line="95" w:lineRule="exact"/>
              <w:rPr>
                <w:sz w:val="20"/>
                <w:szCs w:val="20"/>
                <w:color w:val="auto"/>
              </w:rPr>
            </w:pPr>
            <w:r>
              <w:rPr>
                <w:rFonts w:ascii="Arial" w:cs="Arial" w:eastAsia="Arial" w:hAnsi="Arial"/>
                <w:sz w:val="10"/>
                <w:szCs w:val="10"/>
                <w:color w:val="008000"/>
              </w:rPr>
              <w:t>Enterprises, L.P. JWM Family Enterprises, Inc. is the sole general partner of JWM Family Enterprises, L.P. The Reporting Person disclaims beneficial ownership of these securities except to the extent of her</w:t>
            </w: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Disposed</w:t>
            </w: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2"/>
          </w:tcPr>
          <w:p>
            <w:pPr>
              <w:ind w:left="60"/>
              <w:spacing w:after="0" w:line="41" w:lineRule="exact"/>
              <w:rPr>
                <w:sz w:val="20"/>
                <w:szCs w:val="20"/>
                <w:color w:val="auto"/>
              </w:rPr>
            </w:pPr>
            <w:r>
              <w:rPr>
                <w:rFonts w:ascii="Arial" w:cs="Arial" w:eastAsia="Arial" w:hAnsi="Arial"/>
                <w:sz w:val="4"/>
                <w:szCs w:val="4"/>
                <w:b w:val="1"/>
                <w:bCs w:val="1"/>
                <w:color w:val="auto"/>
              </w:rPr>
              <w:t>and 4)</w:t>
            </w:r>
          </w:p>
        </w:tc>
        <w:tc>
          <w:tcPr>
            <w:tcW w:w="720" w:type="dxa"/>
            <w:vAlign w:val="bottom"/>
          </w:tcPr>
          <w:p>
            <w:pPr>
              <w:spacing w:after="0"/>
              <w:rPr>
                <w:sz w:val="3"/>
                <w:szCs w:val="3"/>
                <w:color w:val="auto"/>
              </w:rPr>
            </w:pPr>
          </w:p>
        </w:tc>
        <w:tc>
          <w:tcPr>
            <w:tcW w:w="980" w:type="dxa"/>
            <w:vAlign w:val="bottom"/>
            <w:gridSpan w:val="2"/>
          </w:tcPr>
          <w:p>
            <w:pPr>
              <w:ind w:left="60"/>
              <w:spacing w:after="0" w:line="41" w:lineRule="exact"/>
              <w:rPr>
                <w:sz w:val="20"/>
                <w:szCs w:val="20"/>
                <w:color w:val="auto"/>
              </w:rPr>
            </w:pPr>
            <w:r>
              <w:rPr>
                <w:rFonts w:ascii="Arial" w:cs="Arial" w:eastAsia="Arial" w:hAnsi="Arial"/>
                <w:sz w:val="4"/>
                <w:szCs w:val="4"/>
                <w:b w:val="1"/>
                <w:bCs w:val="1"/>
                <w:color w:val="auto"/>
              </w:rPr>
              <w:t>Reported</w:t>
            </w: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11420" w:type="dxa"/>
            <w:vAlign w:val="bottom"/>
            <w:gridSpan w:val="18"/>
          </w:tcPr>
          <w:p>
            <w:pPr>
              <w:ind w:left="40"/>
              <w:spacing w:after="0" w:line="108" w:lineRule="exact"/>
              <w:rPr>
                <w:sz w:val="20"/>
                <w:szCs w:val="20"/>
                <w:color w:val="auto"/>
              </w:rPr>
            </w:pPr>
            <w:r>
              <w:rPr>
                <w:rFonts w:ascii="Arial" w:cs="Arial" w:eastAsia="Arial" w:hAnsi="Arial"/>
                <w:sz w:val="12"/>
                <w:szCs w:val="12"/>
                <w:color w:val="008000"/>
              </w:rPr>
              <w:t>pecuniary interest therein, and the inclusion of these shares in this report shall not be deemed an admission of beneficial ownership of all of the reported shares for purposes of Section 16 or for any other</w:t>
            </w:r>
          </w:p>
        </w:tc>
        <w:tc>
          <w:tcPr>
            <w:tcW w:w="0" w:type="dxa"/>
            <w:vAlign w:val="bottom"/>
          </w:tcPr>
          <w:p>
            <w:pPr>
              <w:spacing w:after="0"/>
              <w:rPr>
                <w:sz w:val="1"/>
                <w:szCs w:val="1"/>
                <w:color w:val="auto"/>
              </w:rPr>
            </w:pPr>
          </w:p>
        </w:tc>
      </w:tr>
      <w:tr>
        <w:trPr>
          <w:trHeight w:val="38"/>
        </w:trPr>
        <w:tc>
          <w:tcPr>
            <w:tcW w:w="820" w:type="dxa"/>
            <w:vAlign w:val="bottom"/>
            <w:vMerge w:val="restart"/>
          </w:tcPr>
          <w:p>
            <w:pPr>
              <w:ind w:left="40"/>
              <w:spacing w:after="0"/>
              <w:rPr>
                <w:sz w:val="20"/>
                <w:szCs w:val="20"/>
                <w:color w:val="auto"/>
              </w:rPr>
            </w:pPr>
            <w:r>
              <w:rPr>
                <w:rFonts w:ascii="Arial" w:cs="Arial" w:eastAsia="Arial" w:hAnsi="Arial"/>
                <w:sz w:val="14"/>
                <w:szCs w:val="14"/>
                <w:color w:val="008000"/>
              </w:rPr>
              <w:t>purpose.</w:t>
            </w: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ind w:left="80"/>
              <w:spacing w:after="0" w:line="38" w:lineRule="exact"/>
              <w:rPr>
                <w:sz w:val="20"/>
                <w:szCs w:val="20"/>
                <w:color w:val="auto"/>
              </w:rPr>
            </w:pPr>
            <w:r>
              <w:rPr>
                <w:rFonts w:ascii="Arial" w:cs="Arial" w:eastAsia="Arial" w:hAnsi="Arial"/>
                <w:sz w:val="4"/>
                <w:szCs w:val="4"/>
                <w:b w:val="1"/>
                <w:bCs w:val="1"/>
                <w:color w:val="auto"/>
              </w:rPr>
              <w:t>of (D)</w:t>
            </w: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gridSpan w:val="2"/>
          </w:tcPr>
          <w:p>
            <w:pPr>
              <w:ind w:left="60"/>
              <w:spacing w:after="0" w:line="38" w:lineRule="exact"/>
              <w:rPr>
                <w:sz w:val="20"/>
                <w:szCs w:val="20"/>
                <w:color w:val="auto"/>
              </w:rPr>
            </w:pPr>
            <w:r>
              <w:rPr>
                <w:rFonts w:ascii="Arial" w:cs="Arial" w:eastAsia="Arial" w:hAnsi="Arial"/>
                <w:sz w:val="4"/>
                <w:szCs w:val="4"/>
                <w:b w:val="1"/>
                <w:bCs w:val="1"/>
                <w:color w:val="auto"/>
              </w:rPr>
              <w:t>Transaction(s)</w:t>
            </w: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8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60" w:type="dxa"/>
            <w:vAlign w:val="bottom"/>
            <w:gridSpan w:val="12"/>
          </w:tcPr>
          <w:p>
            <w:pPr>
              <w:ind w:left="40"/>
              <w:spacing w:after="0" w:line="108" w:lineRule="exact"/>
              <w:rPr>
                <w:sz w:val="20"/>
                <w:szCs w:val="20"/>
                <w:color w:val="auto"/>
              </w:rPr>
            </w:pPr>
            <w:r>
              <w:rPr>
                <w:rFonts w:ascii="Arial" w:cs="Arial" w:eastAsia="Arial" w:hAnsi="Arial"/>
                <w:sz w:val="12"/>
                <w:szCs w:val="12"/>
                <w:color w:val="008000"/>
              </w:rPr>
              <w:t>2. The Reporting Person disclaims beneficial ownership of the reported securities except to the extent of her pecuniary interest therein.</w:t>
            </w: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780" w:type="dxa"/>
            <w:vAlign w:val="bottom"/>
            <w:tcBorders>
              <w:top w:val="single" w:sz="8" w:color="2C2C2C"/>
            </w:tcBorders>
          </w:tcPr>
          <w:p>
            <w:pPr>
              <w:spacing w:after="0"/>
              <w:rPr>
                <w:sz w:val="13"/>
                <w:szCs w:val="13"/>
                <w:color w:val="auto"/>
              </w:rPr>
            </w:pPr>
          </w:p>
        </w:tc>
        <w:tc>
          <w:tcPr>
            <w:tcW w:w="8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1100" w:type="dxa"/>
            <w:vAlign w:val="bottom"/>
            <w:tcBorders>
              <w:top w:val="single" w:sz="8" w:color="2C2C2C"/>
            </w:tcBorders>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20" w:type="dxa"/>
            <w:vAlign w:val="bottom"/>
            <w:gridSpan w:val="4"/>
          </w:tcPr>
          <w:p>
            <w:pPr>
              <w:spacing w:after="0" w:line="41" w:lineRule="exact"/>
              <w:rPr>
                <w:sz w:val="20"/>
                <w:szCs w:val="20"/>
                <w:color w:val="auto"/>
              </w:rPr>
            </w:pPr>
            <w:r>
              <w:rPr>
                <w:rFonts w:ascii="Arial" w:cs="Arial" w:eastAsia="Arial" w:hAnsi="Arial"/>
                <w:sz w:val="4"/>
                <w:szCs w:val="4"/>
                <w:color w:val="0000FF"/>
              </w:rPr>
              <w:t>/s/ Bancroft S. Gordon,</w:t>
            </w:r>
          </w:p>
        </w:tc>
        <w:tc>
          <w:tcPr>
            <w:tcW w:w="280" w:type="dxa"/>
            <w:vAlign w:val="bottom"/>
          </w:tcPr>
          <w:p>
            <w:pPr>
              <w:spacing w:after="0"/>
              <w:rPr>
                <w:sz w:val="3"/>
                <w:szCs w:val="3"/>
                <w:color w:val="auto"/>
              </w:rPr>
            </w:pPr>
          </w:p>
        </w:tc>
        <w:tc>
          <w:tcPr>
            <w:tcW w:w="800" w:type="dxa"/>
            <w:vAlign w:val="bottom"/>
            <w:gridSpan w:val="2"/>
            <w:vMerge w:val="restart"/>
          </w:tcPr>
          <w:p>
            <w:pPr>
              <w:spacing w:after="0" w:line="142" w:lineRule="exact"/>
              <w:rPr>
                <w:sz w:val="20"/>
                <w:szCs w:val="20"/>
                <w:color w:val="auto"/>
              </w:rPr>
            </w:pPr>
            <w:r>
              <w:rPr>
                <w:rFonts w:ascii="Arial" w:cs="Arial" w:eastAsia="Arial" w:hAnsi="Arial"/>
                <w:sz w:val="16"/>
                <w:szCs w:val="16"/>
                <w:color w:val="0000FF"/>
                <w:highlight w:val="white"/>
                <w:w w:val="97"/>
              </w:rPr>
              <w:t>06/18/2015</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ind w:left="520"/>
              <w:spacing w:after="0" w:line="10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ind w:left="520"/>
              <w:spacing w:after="0"/>
              <w:rPr>
                <w:sz w:val="20"/>
                <w:szCs w:val="20"/>
                <w:color w:val="auto"/>
              </w:rPr>
            </w:pPr>
            <w:r>
              <w:rPr>
                <w:rFonts w:ascii="Arial" w:cs="Arial" w:eastAsia="Arial" w:hAnsi="Arial"/>
                <w:sz w:val="3"/>
                <w:szCs w:val="3"/>
                <w:b w:val="1"/>
                <w:bCs w:val="1"/>
                <w:color w:val="auto"/>
                <w:highlight w:val="white"/>
              </w:rPr>
              <w:t>Number</w:t>
            </w: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00" w:type="dxa"/>
            <w:vAlign w:val="bottom"/>
            <w:gridSpan w:val="3"/>
          </w:tcPr>
          <w:p>
            <w:pPr>
              <w:spacing w:after="0" w:line="74" w:lineRule="exact"/>
              <w:rPr>
                <w:sz w:val="20"/>
                <w:szCs w:val="20"/>
                <w:color w:val="auto"/>
              </w:rPr>
            </w:pPr>
            <w:r>
              <w:rPr>
                <w:rFonts w:ascii="Arial" w:cs="Arial" w:eastAsia="Arial" w:hAnsi="Arial"/>
                <w:sz w:val="8"/>
                <w:szCs w:val="8"/>
                <w:color w:val="0000FF"/>
                <w:highlight w:val="white"/>
              </w:rPr>
              <w:t>Attorney-In</w:t>
            </w:r>
            <w:r>
              <w:rPr>
                <w:rFonts w:ascii="Arial" w:cs="Arial" w:eastAsia="Arial" w:hAnsi="Arial"/>
                <w:sz w:val="8"/>
                <w:szCs w:val="8"/>
                <w:color w:val="0000FF"/>
              </w:rPr>
              <w:t>-Fact</w:t>
            </w: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line="115" w:lineRule="exact"/>
              <w:rPr>
                <w:sz w:val="20"/>
                <w:szCs w:val="20"/>
                <w:color w:val="auto"/>
              </w:rPr>
            </w:pPr>
            <w:r>
              <w:rPr>
                <w:rFonts w:ascii="Arial" w:cs="Arial" w:eastAsia="Arial" w:hAnsi="Arial"/>
                <w:sz w:val="12"/>
                <w:szCs w:val="12"/>
                <w:b w:val="1"/>
                <w:bCs w:val="1"/>
                <w:color w:val="auto"/>
                <w:w w:val="78"/>
              </w:rPr>
              <w:t>Expiration</w:t>
            </w: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520"/>
              <w:spacing w:after="0" w:line="11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4"/>
                <w:szCs w:val="14"/>
                <w:color w:val="auto"/>
              </w:rPr>
              <w:t>Date</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Exercisable</w:t>
            </w: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2020" w:type="dxa"/>
            <w:vAlign w:val="bottom"/>
            <w:gridSpan w:val="4"/>
          </w:tcPr>
          <w:p>
            <w:pPr>
              <w:spacing w:after="0" w:line="81" w:lineRule="exact"/>
              <w:rPr>
                <w:sz w:val="20"/>
                <w:szCs w:val="20"/>
                <w:color w:val="auto"/>
              </w:rPr>
            </w:pPr>
            <w:r>
              <w:rPr>
                <w:rFonts w:ascii="Arial" w:cs="Arial" w:eastAsia="Arial" w:hAnsi="Arial"/>
                <w:sz w:val="9"/>
                <w:szCs w:val="9"/>
                <w:color w:val="auto"/>
              </w:rPr>
              <w:t>** Signature of Reporting Person</w:t>
            </w:r>
          </w:p>
        </w:tc>
        <w:tc>
          <w:tcPr>
            <w:tcW w:w="9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Title   Shares</w:t>
            </w: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4134" TargetMode="External"/><Relationship Id="rId13" Type="http://schemas.openxmlformats.org/officeDocument/2006/relationships/hyperlink" Target="http://www.sec.gov/cgi-bin/browse-edgar?action=getcompany&amp;CIK=0001048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2019-12-07T01:08:15Z</dcterms:created>
  <dcterms:modified xsi:type="dcterms:W3CDTF">2019-12-07T01:08:15Z</dcterms:modified>
</cp:coreProperties>
</file>