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0"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_______________________________________</w:t>
      </w:r>
    </w:p>
    <w:p>
      <w:pPr>
        <w:spacing w:after="0" w:line="15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Pursuant to Section 13 or 15(d)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26, 2020</w:t>
      </w:r>
    </w:p>
    <w:p>
      <w:pPr>
        <w:spacing w:after="0" w:line="1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_______________________________________</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MARRIOTT INTERNATIONAL,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_______________________________________</w:t>
      </w:r>
    </w:p>
    <w:p>
      <w:pPr>
        <w:spacing w:after="0" w:line="153"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2540" w:type="dxa"/>
            <w:vAlign w:val="bottom"/>
          </w:tcPr>
          <w:p>
            <w:pPr>
              <w:jc w:val="center"/>
              <w:ind w:left="664"/>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spacing w:after="0"/>
              <w:rPr>
                <w:sz w:val="20"/>
                <w:szCs w:val="20"/>
                <w:color w:val="auto"/>
              </w:rPr>
            </w:pPr>
          </w:p>
        </w:tc>
        <w:tc>
          <w:tcPr>
            <w:tcW w:w="2720" w:type="dxa"/>
            <w:vAlign w:val="bottom"/>
          </w:tcPr>
          <w:p>
            <w:pPr>
              <w:jc w:val="center"/>
              <w:ind w:right="322"/>
              <w:spacing w:after="0"/>
              <w:rPr>
                <w:sz w:val="20"/>
                <w:szCs w:val="20"/>
                <w:color w:val="auto"/>
              </w:rPr>
            </w:pPr>
            <w:r>
              <w:rPr>
                <w:rFonts w:ascii="Arial" w:cs="Arial" w:eastAsia="Arial" w:hAnsi="Arial"/>
                <w:sz w:val="18"/>
                <w:szCs w:val="18"/>
                <w:b w:val="1"/>
                <w:bCs w:val="1"/>
                <w:color w:val="auto"/>
                <w:w w:val="90"/>
              </w:rPr>
              <w:t>1-13881</w:t>
            </w:r>
          </w:p>
        </w:tc>
        <w:tc>
          <w:tcPr>
            <w:tcW w:w="2260" w:type="dxa"/>
            <w:vAlign w:val="bottom"/>
          </w:tcPr>
          <w:p>
            <w:pPr>
              <w:jc w:val="right"/>
              <w:ind w:right="64"/>
              <w:spacing w:after="0"/>
              <w:rPr>
                <w:sz w:val="20"/>
                <w:szCs w:val="20"/>
                <w:color w:val="auto"/>
              </w:rPr>
            </w:pPr>
            <w:r>
              <w:rPr>
                <w:rFonts w:ascii="Arial" w:cs="Arial" w:eastAsia="Arial" w:hAnsi="Arial"/>
                <w:sz w:val="18"/>
                <w:szCs w:val="18"/>
                <w:b w:val="1"/>
                <w:bCs w:val="1"/>
                <w:color w:val="auto"/>
              </w:rPr>
              <w:t>52-2055918</w:t>
            </w:r>
          </w:p>
        </w:tc>
      </w:tr>
      <w:tr>
        <w:trPr>
          <w:trHeight w:val="180"/>
        </w:trPr>
        <w:tc>
          <w:tcPr>
            <w:tcW w:w="2540" w:type="dxa"/>
            <w:vAlign w:val="bottom"/>
          </w:tcPr>
          <w:p>
            <w:pPr>
              <w:jc w:val="center"/>
              <w:ind w:left="664"/>
              <w:spacing w:after="0"/>
              <w:rPr>
                <w:sz w:val="20"/>
                <w:szCs w:val="20"/>
                <w:color w:val="auto"/>
              </w:rPr>
            </w:pPr>
            <w:r>
              <w:rPr>
                <w:rFonts w:ascii="Arial" w:cs="Arial" w:eastAsia="Arial" w:hAnsi="Arial"/>
                <w:sz w:val="14"/>
                <w:szCs w:val="14"/>
                <w:b w:val="1"/>
                <w:bCs w:val="1"/>
                <w:color w:val="auto"/>
                <w:w w:val="93"/>
              </w:rPr>
              <w:t>(State or other jurisdiction</w:t>
            </w:r>
          </w:p>
        </w:tc>
        <w:tc>
          <w:tcPr>
            <w:tcW w:w="1420" w:type="dxa"/>
            <w:vAlign w:val="bottom"/>
          </w:tcPr>
          <w:p>
            <w:pPr>
              <w:spacing w:after="0"/>
              <w:rPr>
                <w:sz w:val="15"/>
                <w:szCs w:val="15"/>
                <w:color w:val="auto"/>
              </w:rPr>
            </w:pPr>
          </w:p>
        </w:tc>
        <w:tc>
          <w:tcPr>
            <w:tcW w:w="2720" w:type="dxa"/>
            <w:vAlign w:val="bottom"/>
          </w:tcPr>
          <w:p>
            <w:pPr>
              <w:jc w:val="center"/>
              <w:ind w:right="322"/>
              <w:spacing w:after="0"/>
              <w:rPr>
                <w:sz w:val="20"/>
                <w:szCs w:val="20"/>
                <w:color w:val="auto"/>
              </w:rPr>
            </w:pPr>
            <w:r>
              <w:rPr>
                <w:rFonts w:ascii="Arial" w:cs="Arial" w:eastAsia="Arial" w:hAnsi="Arial"/>
                <w:sz w:val="14"/>
                <w:szCs w:val="14"/>
                <w:b w:val="1"/>
                <w:bCs w:val="1"/>
                <w:color w:val="auto"/>
                <w:w w:val="90"/>
              </w:rPr>
              <w:t>(Commission</w:t>
            </w:r>
          </w:p>
        </w:tc>
        <w:tc>
          <w:tcPr>
            <w:tcW w:w="2260" w:type="dxa"/>
            <w:vAlign w:val="bottom"/>
          </w:tcPr>
          <w:p>
            <w:pPr>
              <w:jc w:val="center"/>
              <w:ind w:left="1044"/>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540" w:type="dxa"/>
            <w:vAlign w:val="bottom"/>
          </w:tcPr>
          <w:p>
            <w:pPr>
              <w:jc w:val="center"/>
              <w:ind w:left="684"/>
              <w:spacing w:after="0"/>
              <w:rPr>
                <w:sz w:val="20"/>
                <w:szCs w:val="20"/>
                <w:color w:val="auto"/>
              </w:rPr>
            </w:pPr>
            <w:r>
              <w:rPr>
                <w:rFonts w:ascii="Arial" w:cs="Arial" w:eastAsia="Arial" w:hAnsi="Arial"/>
                <w:sz w:val="14"/>
                <w:szCs w:val="14"/>
                <w:b w:val="1"/>
                <w:bCs w:val="1"/>
                <w:color w:val="auto"/>
                <w:w w:val="94"/>
              </w:rPr>
              <w:t>of incorporation)</w:t>
            </w:r>
          </w:p>
        </w:tc>
        <w:tc>
          <w:tcPr>
            <w:tcW w:w="1420" w:type="dxa"/>
            <w:vAlign w:val="bottom"/>
          </w:tcPr>
          <w:p>
            <w:pPr>
              <w:spacing w:after="0"/>
              <w:rPr>
                <w:sz w:val="16"/>
                <w:szCs w:val="16"/>
                <w:color w:val="auto"/>
              </w:rPr>
            </w:pPr>
          </w:p>
        </w:tc>
        <w:tc>
          <w:tcPr>
            <w:tcW w:w="2720" w:type="dxa"/>
            <w:vAlign w:val="bottom"/>
          </w:tcPr>
          <w:p>
            <w:pPr>
              <w:jc w:val="center"/>
              <w:ind w:right="302"/>
              <w:spacing w:after="0"/>
              <w:rPr>
                <w:sz w:val="20"/>
                <w:szCs w:val="20"/>
                <w:color w:val="auto"/>
              </w:rPr>
            </w:pPr>
            <w:r>
              <w:rPr>
                <w:rFonts w:ascii="Arial" w:cs="Arial" w:eastAsia="Arial" w:hAnsi="Arial"/>
                <w:sz w:val="14"/>
                <w:szCs w:val="14"/>
                <w:b w:val="1"/>
                <w:bCs w:val="1"/>
                <w:color w:val="auto"/>
                <w:w w:val="95"/>
              </w:rPr>
              <w:t>File Number)</w:t>
            </w:r>
          </w:p>
        </w:tc>
        <w:tc>
          <w:tcPr>
            <w:tcW w:w="2260" w:type="dxa"/>
            <w:vAlign w:val="bottom"/>
          </w:tcPr>
          <w:p>
            <w:pPr>
              <w:jc w:val="center"/>
              <w:ind w:left="1044"/>
              <w:spacing w:after="0"/>
              <w:rPr>
                <w:sz w:val="20"/>
                <w:szCs w:val="20"/>
                <w:color w:val="auto"/>
              </w:rPr>
            </w:pPr>
            <w:r>
              <w:rPr>
                <w:rFonts w:ascii="Arial" w:cs="Arial" w:eastAsia="Arial" w:hAnsi="Arial"/>
                <w:sz w:val="14"/>
                <w:szCs w:val="14"/>
                <w:b w:val="1"/>
                <w:bCs w:val="1"/>
                <w:color w:val="auto"/>
                <w:w w:val="96"/>
              </w:rPr>
              <w:t>Identification No.)</w:t>
            </w:r>
          </w:p>
        </w:tc>
      </w:tr>
      <w:tr>
        <w:trPr>
          <w:trHeight w:val="392"/>
        </w:trPr>
        <w:tc>
          <w:tcPr>
            <w:tcW w:w="2540" w:type="dxa"/>
            <w:vAlign w:val="bottom"/>
          </w:tcPr>
          <w:p>
            <w:pPr>
              <w:spacing w:after="0"/>
              <w:rPr>
                <w:sz w:val="20"/>
                <w:szCs w:val="20"/>
                <w:color w:val="auto"/>
              </w:rPr>
            </w:pPr>
            <w:r>
              <w:rPr>
                <w:rFonts w:ascii="Arial" w:cs="Arial" w:eastAsia="Arial" w:hAnsi="Arial"/>
                <w:sz w:val="14"/>
                <w:szCs w:val="14"/>
                <w:b w:val="1"/>
                <w:bCs w:val="1"/>
                <w:color w:val="auto"/>
              </w:rPr>
              <w:t>10400 Fernwood Road,   Bethesda,</w:t>
            </w:r>
          </w:p>
        </w:tc>
        <w:tc>
          <w:tcPr>
            <w:tcW w:w="1420" w:type="dxa"/>
            <w:vAlign w:val="bottom"/>
          </w:tcPr>
          <w:p>
            <w:pPr>
              <w:ind w:left="60"/>
              <w:spacing w:after="0"/>
              <w:rPr>
                <w:sz w:val="20"/>
                <w:szCs w:val="20"/>
                <w:color w:val="auto"/>
              </w:rPr>
            </w:pPr>
            <w:r>
              <w:rPr>
                <w:rFonts w:ascii="Arial" w:cs="Arial" w:eastAsia="Arial" w:hAnsi="Arial"/>
                <w:sz w:val="14"/>
                <w:szCs w:val="14"/>
                <w:b w:val="1"/>
                <w:bCs w:val="1"/>
                <w:color w:val="auto"/>
              </w:rPr>
              <w:t>Maryland</w:t>
            </w:r>
          </w:p>
        </w:tc>
        <w:tc>
          <w:tcPr>
            <w:tcW w:w="2720" w:type="dxa"/>
            <w:vAlign w:val="bottom"/>
          </w:tcPr>
          <w:p>
            <w:pPr>
              <w:spacing w:after="0"/>
              <w:rPr>
                <w:sz w:val="24"/>
                <w:szCs w:val="24"/>
                <w:color w:val="auto"/>
              </w:rPr>
            </w:pPr>
          </w:p>
        </w:tc>
        <w:tc>
          <w:tcPr>
            <w:tcW w:w="2260" w:type="dxa"/>
            <w:vAlign w:val="bottom"/>
          </w:tcPr>
          <w:p>
            <w:pPr>
              <w:jc w:val="right"/>
              <w:ind w:right="304"/>
              <w:spacing w:after="0"/>
              <w:rPr>
                <w:sz w:val="20"/>
                <w:szCs w:val="20"/>
                <w:color w:val="auto"/>
              </w:rPr>
            </w:pPr>
            <w:r>
              <w:rPr>
                <w:rFonts w:ascii="Arial" w:cs="Arial" w:eastAsia="Arial" w:hAnsi="Arial"/>
                <w:sz w:val="14"/>
                <w:szCs w:val="14"/>
                <w:b w:val="1"/>
                <w:bCs w:val="1"/>
                <w:color w:val="auto"/>
              </w:rPr>
              <w:t>20817</w:t>
            </w:r>
          </w:p>
        </w:tc>
      </w:tr>
      <w:tr>
        <w:trPr>
          <w:trHeight w:val="270"/>
        </w:trPr>
        <w:tc>
          <w:tcPr>
            <w:tcW w:w="3960" w:type="dxa"/>
            <w:vAlign w:val="bottom"/>
            <w:gridSpan w:val="2"/>
          </w:tcPr>
          <w:p>
            <w:pPr>
              <w:jc w:val="center"/>
              <w:ind w:right="5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20" w:type="dxa"/>
            <w:vAlign w:val="bottom"/>
          </w:tcPr>
          <w:p>
            <w:pPr>
              <w:spacing w:after="0"/>
              <w:rPr>
                <w:sz w:val="23"/>
                <w:szCs w:val="23"/>
                <w:color w:val="auto"/>
              </w:rPr>
            </w:pPr>
          </w:p>
        </w:tc>
        <w:tc>
          <w:tcPr>
            <w:tcW w:w="2260" w:type="dxa"/>
            <w:vAlign w:val="bottom"/>
          </w:tcPr>
          <w:p>
            <w:pPr>
              <w:jc w:val="center"/>
              <w:ind w:left="1044"/>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(301) 380-3000</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_______________________________________</w:t>
      </w:r>
    </w:p>
    <w:p>
      <w:pPr>
        <w:spacing w:after="0" w:line="15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720" w:type="dxa"/>
            <w:vAlign w:val="bottom"/>
          </w:tcPr>
          <w:p>
            <w:pPr>
              <w:spacing w:after="0"/>
              <w:rPr>
                <w:sz w:val="18"/>
                <w:szCs w:val="18"/>
                <w:color w:val="auto"/>
              </w:rPr>
            </w:pPr>
          </w:p>
        </w:tc>
        <w:tc>
          <w:tcPr>
            <w:tcW w:w="10160" w:type="dxa"/>
            <w:vAlign w:val="bottom"/>
            <w:gridSpan w:val="6"/>
          </w:tcPr>
          <w:p>
            <w:pPr>
              <w:ind w:left="302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520" w:type="dxa"/>
            <w:vAlign w:val="bottom"/>
          </w:tcPr>
          <w:p>
            <w:pPr>
              <w:spacing w:after="0"/>
              <w:rPr>
                <w:sz w:val="18"/>
                <w:szCs w:val="18"/>
                <w:color w:val="auto"/>
              </w:rPr>
            </w:pPr>
          </w:p>
        </w:tc>
      </w:tr>
      <w:tr>
        <w:trPr>
          <w:trHeight w:val="365"/>
        </w:trPr>
        <w:tc>
          <w:tcPr>
            <w:tcW w:w="720" w:type="dxa"/>
            <w:vAlign w:val="bottom"/>
          </w:tcPr>
          <w:p>
            <w:pPr>
              <w:spacing w:after="0"/>
              <w:rPr>
                <w:sz w:val="24"/>
                <w:szCs w:val="24"/>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Title of Each Class</w:t>
            </w:r>
          </w:p>
        </w:tc>
        <w:tc>
          <w:tcPr>
            <w:tcW w:w="2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Trading Symbol(s)</w:t>
            </w:r>
          </w:p>
        </w:tc>
        <w:tc>
          <w:tcPr>
            <w:tcW w:w="4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520" w:type="dxa"/>
            <w:vAlign w:val="bottom"/>
          </w:tcPr>
          <w:p>
            <w:pPr>
              <w:spacing w:after="0"/>
              <w:rPr>
                <w:sz w:val="24"/>
                <w:szCs w:val="24"/>
                <w:color w:val="auto"/>
              </w:rPr>
            </w:pPr>
          </w:p>
        </w:tc>
      </w:tr>
      <w:tr>
        <w:trPr>
          <w:trHeight w:val="33"/>
        </w:trPr>
        <w:tc>
          <w:tcPr>
            <w:tcW w:w="72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4"/>
        </w:trPr>
        <w:tc>
          <w:tcPr>
            <w:tcW w:w="720" w:type="dxa"/>
            <w:vAlign w:val="bottom"/>
          </w:tcPr>
          <w:p>
            <w:pPr>
              <w:spacing w:after="0"/>
              <w:rPr>
                <w:sz w:val="21"/>
                <w:szCs w:val="21"/>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Class A Common Stock, $0.01 par value</w:t>
            </w:r>
          </w:p>
        </w:tc>
        <w:tc>
          <w:tcPr>
            <w:tcW w:w="2000" w:type="dxa"/>
            <w:vAlign w:val="bottom"/>
            <w:gridSpan w:val="2"/>
          </w:tcPr>
          <w:p>
            <w:pPr>
              <w:jc w:val="center"/>
              <w:ind w:right="300"/>
              <w:spacing w:after="0"/>
              <w:rPr>
                <w:sz w:val="20"/>
                <w:szCs w:val="20"/>
                <w:color w:val="auto"/>
              </w:rPr>
            </w:pPr>
            <w:r>
              <w:rPr>
                <w:rFonts w:ascii="Arial" w:cs="Arial" w:eastAsia="Arial" w:hAnsi="Arial"/>
                <w:sz w:val="16"/>
                <w:szCs w:val="16"/>
                <w:color w:val="auto"/>
              </w:rPr>
              <w:t>MAR</w:t>
            </w:r>
          </w:p>
        </w:tc>
        <w:tc>
          <w:tcPr>
            <w:tcW w:w="426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Nasdaq Global Select Market</w:t>
            </w:r>
          </w:p>
        </w:tc>
        <w:tc>
          <w:tcPr>
            <w:tcW w:w="520" w:type="dxa"/>
            <w:vAlign w:val="bottom"/>
          </w:tcPr>
          <w:p>
            <w:pPr>
              <w:spacing w:after="0"/>
              <w:rPr>
                <w:sz w:val="21"/>
                <w:szCs w:val="21"/>
                <w:color w:val="auto"/>
              </w:rPr>
            </w:pPr>
          </w:p>
        </w:tc>
      </w:tr>
      <w:tr>
        <w:trPr>
          <w:trHeight w:val="270"/>
        </w:trPr>
        <w:tc>
          <w:tcPr>
            <w:tcW w:w="720" w:type="dxa"/>
            <w:vAlign w:val="bottom"/>
          </w:tcPr>
          <w:p>
            <w:pPr>
              <w:spacing w:after="0"/>
              <w:rPr>
                <w:sz w:val="23"/>
                <w:szCs w:val="23"/>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Class A Common Stock, $0.01 par value</w:t>
            </w:r>
          </w:p>
        </w:tc>
        <w:tc>
          <w:tcPr>
            <w:tcW w:w="2000" w:type="dxa"/>
            <w:vAlign w:val="bottom"/>
            <w:gridSpan w:val="2"/>
          </w:tcPr>
          <w:p>
            <w:pPr>
              <w:jc w:val="center"/>
              <w:ind w:right="300"/>
              <w:spacing w:after="0"/>
              <w:rPr>
                <w:sz w:val="20"/>
                <w:szCs w:val="20"/>
                <w:color w:val="auto"/>
              </w:rPr>
            </w:pPr>
            <w:r>
              <w:rPr>
                <w:rFonts w:ascii="Arial" w:cs="Arial" w:eastAsia="Arial" w:hAnsi="Arial"/>
                <w:sz w:val="16"/>
                <w:szCs w:val="16"/>
                <w:color w:val="auto"/>
              </w:rPr>
              <w:t>MAR</w:t>
            </w:r>
          </w:p>
        </w:tc>
        <w:tc>
          <w:tcPr>
            <w:tcW w:w="426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Chicago Stock Exchange</w:t>
            </w:r>
          </w:p>
        </w:tc>
        <w:tc>
          <w:tcPr>
            <w:tcW w:w="520" w:type="dxa"/>
            <w:vAlign w:val="bottom"/>
          </w:tcPr>
          <w:p>
            <w:pPr>
              <w:spacing w:after="0"/>
              <w:rPr>
                <w:sz w:val="23"/>
                <w:szCs w:val="23"/>
                <w:color w:val="auto"/>
              </w:rPr>
            </w:pPr>
          </w:p>
        </w:tc>
      </w:tr>
      <w:tr>
        <w:trPr>
          <w:trHeight w:val="572"/>
        </w:trPr>
        <w:tc>
          <w:tcPr>
            <w:tcW w:w="10880" w:type="dxa"/>
            <w:vAlign w:val="bottom"/>
            <w:gridSpan w:val="7"/>
          </w:tcPr>
          <w:p>
            <w:pPr>
              <w:ind w:left="40"/>
              <w:spacing w:after="0"/>
              <w:rPr>
                <w:sz w:val="20"/>
                <w:szCs w:val="20"/>
                <w:color w:val="auto"/>
              </w:rPr>
            </w:pPr>
            <w:r>
              <w:rPr>
                <w:rFonts w:ascii="Arial" w:cs="Arial" w:eastAsia="Arial" w:hAnsi="Arial"/>
                <w:sz w:val="18"/>
                <w:szCs w:val="18"/>
                <w:color w:val="auto"/>
                <w:w w:val="91"/>
              </w:rPr>
              <w:t>Indicate by check mark whether the registrant is an emerging growth company as defined in Rule 405 of the Securities Act of 1933 (§230.405 of this</w:t>
            </w:r>
          </w:p>
        </w:tc>
        <w:tc>
          <w:tcPr>
            <w:tcW w:w="520" w:type="dxa"/>
            <w:vAlign w:val="bottom"/>
          </w:tcPr>
          <w:p>
            <w:pPr>
              <w:spacing w:after="0"/>
              <w:rPr>
                <w:sz w:val="24"/>
                <w:szCs w:val="24"/>
                <w:color w:val="auto"/>
              </w:rPr>
            </w:pPr>
          </w:p>
        </w:tc>
      </w:tr>
      <w:tr>
        <w:trPr>
          <w:trHeight w:val="230"/>
        </w:trPr>
        <w:tc>
          <w:tcPr>
            <w:tcW w:w="6620" w:type="dxa"/>
            <w:vAlign w:val="bottom"/>
            <w:gridSpan w:val="5"/>
          </w:tcPr>
          <w:p>
            <w:pPr>
              <w:ind w:left="40"/>
              <w:spacing w:after="0"/>
              <w:rPr>
                <w:sz w:val="20"/>
                <w:szCs w:val="20"/>
                <w:color w:val="auto"/>
              </w:rPr>
            </w:pPr>
            <w:r>
              <w:rPr>
                <w:rFonts w:ascii="Arial" w:cs="Arial" w:eastAsia="Arial" w:hAnsi="Arial"/>
                <w:sz w:val="18"/>
                <w:szCs w:val="18"/>
                <w:color w:val="auto"/>
                <w:w w:val="90"/>
              </w:rPr>
              <w:t>chapter) or Rule 12b-2 of the Securities Exchange Act of 1934 (§240.12b-2 of this chapter)</w:t>
            </w:r>
          </w:p>
        </w:tc>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12"/>
        </w:trPr>
        <w:tc>
          <w:tcPr>
            <w:tcW w:w="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gridSpan w:val="2"/>
          </w:tcPr>
          <w:p>
            <w:pPr>
              <w:ind w:left="13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49"/>
        </w:trPr>
        <w:tc>
          <w:tcPr>
            <w:tcW w:w="10880" w:type="dxa"/>
            <w:vAlign w:val="bottom"/>
            <w:gridSpan w:val="7"/>
          </w:tcPr>
          <w:p>
            <w:pPr>
              <w:ind w:left="40"/>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 complying with any</w:t>
            </w:r>
          </w:p>
        </w:tc>
        <w:tc>
          <w:tcPr>
            <w:tcW w:w="5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0880" w:type="dxa"/>
            <w:vAlign w:val="bottom"/>
            <w:gridSpan w:val="7"/>
          </w:tcPr>
          <w:p>
            <w:pPr>
              <w:ind w:left="40"/>
              <w:spacing w:after="0"/>
              <w:rPr>
                <w:sz w:val="20"/>
                <w:szCs w:val="20"/>
                <w:color w:val="auto"/>
              </w:rPr>
            </w:pPr>
            <w:r>
              <w:rPr>
                <w:rFonts w:ascii="Arial" w:cs="Arial" w:eastAsia="Arial" w:hAnsi="Arial"/>
                <w:sz w:val="18"/>
                <w:szCs w:val="18"/>
                <w:color w:val="auto"/>
              </w:rPr>
              <w:t>new or revised financial accounting standards provided pursuant to Section 13(a) of the Exchange Act.</w:t>
            </w:r>
          </w:p>
        </w:tc>
        <w:tc>
          <w:tcPr>
            <w:tcW w:w="520" w:type="dxa"/>
            <w:vAlign w:val="bottom"/>
          </w:tcPr>
          <w:p>
            <w:pPr>
              <w:spacing w:after="0"/>
              <w:rPr>
                <w:sz w:val="20"/>
                <w:szCs w:val="20"/>
                <w:color w:val="auto"/>
              </w:rPr>
            </w:pPr>
          </w:p>
        </w:tc>
      </w:tr>
      <w:tr>
        <w:trPr>
          <w:trHeight w:val="162"/>
        </w:trPr>
        <w:tc>
          <w:tcPr>
            <w:tcW w:w="7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15"/>
        </w:trPr>
        <w:tc>
          <w:tcPr>
            <w:tcW w:w="72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bl>
    <w:p>
      <w:pPr>
        <w:sectPr>
          <w:pgSz w:w="11900" w:h="16838" w:orient="portrait"/>
          <w:cols w:equalWidth="0" w:num="1">
            <w:col w:w="11400"/>
          </w:cols>
          <w:pgMar w:left="240" w:top="557" w:right="259" w:bottom="1440" w:gutter="0" w:footer="0" w:header="0"/>
        </w:sectPr>
      </w:pPr>
    </w:p>
    <w:bookmarkStart w:id="1" w:name="page2"/>
    <w:bookmarkEnd w:id="1"/>
    <w:p>
      <w:pPr>
        <w:ind w:left="40"/>
        <w:spacing w:after="0"/>
        <w:tabs>
          <w:tab w:leader="none" w:pos="13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Quarter and Year Ended December 31, 2019</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Marriott International, Inc. (</w:t>
      </w:r>
      <w:r>
        <w:rPr>
          <w:rFonts w:ascii="Arial" w:cs="Arial" w:eastAsia="Arial" w:hAnsi="Arial"/>
          <w:sz w:val="17"/>
          <w:szCs w:val="17"/>
          <w:color w:val="auto"/>
        </w:rPr>
        <w:t>“</w:t>
      </w:r>
      <w:r>
        <w:rPr>
          <w:rFonts w:ascii="Arial" w:cs="Arial" w:eastAsia="Arial" w:hAnsi="Arial"/>
          <w:sz w:val="16"/>
          <w:szCs w:val="16"/>
          <w:color w:val="auto"/>
        </w:rPr>
        <w:t>Marriott</w:t>
      </w:r>
      <w:r>
        <w:rPr>
          <w:rFonts w:ascii="Arial" w:cs="Arial" w:eastAsia="Arial" w:hAnsi="Arial"/>
          <w:sz w:val="17"/>
          <w:szCs w:val="17"/>
          <w:color w:val="auto"/>
        </w:rPr>
        <w:t>”</w:t>
      </w:r>
      <w:r>
        <w:rPr>
          <w:rFonts w:ascii="Arial" w:cs="Arial" w:eastAsia="Arial" w:hAnsi="Arial"/>
          <w:sz w:val="16"/>
          <w:szCs w:val="16"/>
          <w:color w:val="auto"/>
        </w:rPr>
        <w:t>) issued a press release reporting financial results for the quarter and year ended December 31,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 copy of Marriott’s press release is attached as Exhibit 99 and incorporated by reference.</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 Exhibits. The following exhibit is furnished with this report:</w:t>
      </w:r>
    </w:p>
    <w:p>
      <w:pPr>
        <w:spacing w:after="0" w:line="198" w:lineRule="exact"/>
        <w:rPr>
          <w:sz w:val="20"/>
          <w:szCs w:val="20"/>
          <w:color w:val="auto"/>
        </w:rPr>
      </w:pPr>
    </w:p>
    <w:p>
      <w:pPr>
        <w:ind w:left="40"/>
        <w:spacing w:after="0"/>
        <w:tabs>
          <w:tab w:leader="none" w:pos="1360" w:val="left"/>
        </w:tabs>
        <w:rPr>
          <w:rFonts w:ascii="Arial" w:cs="Arial" w:eastAsia="Arial" w:hAnsi="Arial"/>
          <w:sz w:val="16"/>
          <w:szCs w:val="16"/>
          <w:u w:val="single" w:color="auto"/>
          <w:color w:val="0000FF"/>
        </w:rPr>
      </w:pPr>
      <w:r>
        <w:rPr>
          <w:rFonts w:ascii="Arial" w:cs="Arial" w:eastAsia="Arial" w:hAnsi="Arial"/>
          <w:sz w:val="18"/>
          <w:szCs w:val="18"/>
          <w:color w:val="auto"/>
        </w:rPr>
        <w:t>Exhibit 99</w:t>
      </w:r>
      <w:r>
        <w:rPr>
          <w:sz w:val="20"/>
          <w:szCs w:val="20"/>
          <w:color w:val="auto"/>
        </w:rPr>
        <w:tab/>
      </w:r>
      <w:hyperlink w:anchor="page4">
        <w:r>
          <w:rPr>
            <w:rFonts w:ascii="Arial" w:cs="Arial" w:eastAsia="Arial" w:hAnsi="Arial"/>
            <w:sz w:val="16"/>
            <w:szCs w:val="16"/>
            <w:u w:val="single" w:color="auto"/>
            <w:color w:val="0000FF"/>
          </w:rPr>
          <w:t>Press release issued on February 26, 2020, reporting financial results for the quarter and year ended December 31, 2019.</w:t>
        </w:r>
      </w:hyperlink>
    </w:p>
    <w:p>
      <w:pPr>
        <w:spacing w:after="0" w:line="225" w:lineRule="exact"/>
        <w:rPr>
          <w:sz w:val="20"/>
          <w:szCs w:val="20"/>
          <w:color w:val="auto"/>
        </w:rPr>
      </w:pPr>
    </w:p>
    <w:p>
      <w:pPr>
        <w:ind w:left="5660" w:right="3119" w:hanging="5625"/>
        <w:spacing w:after="0" w:line="810" w:lineRule="auto"/>
        <w:tabs>
          <w:tab w:leader="none" w:pos="137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cover page to this Current Report on Form 8-K, formatted in inline XBRL. 2</w:t>
      </w:r>
    </w:p>
    <w:p>
      <w:pPr>
        <w:sectPr>
          <w:pgSz w:w="11900" w:h="16838" w:orient="portrait"/>
          <w:cols w:equalWidth="0" w:num="1">
            <w:col w:w="10219"/>
          </w:cols>
          <w:pgMar w:left="240" w:top="715" w:right="1440"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MARRIOTT INTERNATIONAL, INC.</w:t>
      </w:r>
    </w:p>
    <w:p>
      <w:pPr>
        <w:spacing w:after="0" w:line="391" w:lineRule="exact"/>
        <w:rPr>
          <w:sz w:val="20"/>
          <w:szCs w:val="20"/>
          <w:color w:val="auto"/>
        </w:rPr>
      </w:pPr>
    </w:p>
    <w:p>
      <w:pPr>
        <w:ind w:left="40"/>
        <w:spacing w:after="0"/>
        <w:tabs>
          <w:tab w:leader="none" w:pos="6560" w:val="left"/>
          <w:tab w:leader="none" w:pos="7220" w:val="left"/>
        </w:tabs>
        <w:rPr>
          <w:sz w:val="20"/>
          <w:szCs w:val="20"/>
          <w:color w:val="auto"/>
        </w:rPr>
      </w:pPr>
      <w:r>
        <w:rPr>
          <w:rFonts w:ascii="Arial" w:cs="Arial" w:eastAsia="Arial" w:hAnsi="Arial"/>
          <w:sz w:val="18"/>
          <w:szCs w:val="18"/>
          <w:color w:val="auto"/>
        </w:rPr>
        <w:t>Date: February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Bao Giang Val Bauduin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Bao Giang Val Bauduin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Controller and Chief Accounting Officer</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240" w:top="553" w:right="9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823595</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317500</wp:posOffset>
            </wp:positionV>
            <wp:extent cx="226377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77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CONTACT: </w:t>
      </w:r>
      <w:r>
        <w:rPr>
          <w:rFonts w:ascii="Arial" w:cs="Arial" w:eastAsia="Arial" w:hAnsi="Arial"/>
          <w:sz w:val="22"/>
          <w:szCs w:val="22"/>
          <w:color w:val="auto"/>
        </w:rPr>
        <w:t>Brendan McManus</w:t>
      </w:r>
    </w:p>
    <w:p>
      <w:pPr>
        <w:spacing w:after="0" w:line="28" w:lineRule="exact"/>
        <w:rPr>
          <w:sz w:val="20"/>
          <w:szCs w:val="20"/>
          <w:color w:val="auto"/>
        </w:rPr>
      </w:pPr>
    </w:p>
    <w:p>
      <w:pPr>
        <w:ind w:left="660" w:right="7860" w:hanging="4"/>
        <w:spacing w:after="0" w:line="323" w:lineRule="auto"/>
        <w:tabs>
          <w:tab w:leader="none" w:pos="1182" w:val="left"/>
        </w:tabs>
        <w:numPr>
          <w:ilvl w:val="0"/>
          <w:numId w:val="3"/>
        </w:numPr>
        <w:rPr>
          <w:rFonts w:ascii="Arial" w:cs="Arial" w:eastAsia="Arial" w:hAnsi="Arial"/>
          <w:sz w:val="19"/>
          <w:szCs w:val="19"/>
          <w:color w:val="auto"/>
        </w:rPr>
      </w:pPr>
      <w:r>
        <w:rPr>
          <w:rFonts w:ascii="Arial" w:cs="Arial" w:eastAsia="Arial" w:hAnsi="Arial"/>
          <w:sz w:val="19"/>
          <w:szCs w:val="19"/>
          <w:color w:val="auto"/>
        </w:rPr>
        <w:t>380-4495 brendan.mcmanus@marriott.com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MARRIOTT INTERNATIONAL REPORTS FOURTH QUARTER 2019 RESULTS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66" w:lineRule="exact"/>
        <w:rPr>
          <w:sz w:val="20"/>
          <w:szCs w:val="20"/>
          <w:color w:val="auto"/>
        </w:rPr>
      </w:pPr>
    </w:p>
    <w:p>
      <w:pPr>
        <w:ind w:left="660" w:right="20" w:hanging="328"/>
        <w:spacing w:after="0" w:line="248"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b w:val="1"/>
          <w:bCs w:val="1"/>
          <w:i w:val="1"/>
          <w:iCs w:val="1"/>
          <w:color w:val="auto"/>
        </w:rPr>
        <w:t>Fourth quarter reported diluted EPS totaled $0.85, compared to $0.92 in the year-ago quarter. Fourth quarter adjusted diluted EPS totaled $1.57, compared to fourth quarter 2018 adjusted diluted EPS of $1.44. Reported and adjusted diluted EPS for the 2019 fourth quarter included the benefit of $0.32 of asset sale gains, partially offset by $0.26 of asset impairments. Reported and adjusted diluted EPS for the 2018 fourth quarter included the benefit of $0.02 of asset sale gains;</w:t>
      </w:r>
    </w:p>
    <w:p>
      <w:pPr>
        <w:spacing w:after="0" w:line="232" w:lineRule="exact"/>
        <w:rPr>
          <w:rFonts w:ascii="Arial" w:cs="Arial" w:eastAsia="Arial" w:hAnsi="Arial"/>
          <w:sz w:val="22"/>
          <w:szCs w:val="22"/>
          <w:color w:val="auto"/>
        </w:rPr>
      </w:pPr>
    </w:p>
    <w:p>
      <w:pPr>
        <w:ind w:left="660" w:right="620" w:hanging="328"/>
        <w:spacing w:after="0" w:line="287" w:lineRule="auto"/>
        <w:tabs>
          <w:tab w:leader="none" w:pos="660" w:val="left"/>
        </w:tabs>
        <w:numPr>
          <w:ilvl w:val="0"/>
          <w:numId w:val="4"/>
        </w:numPr>
        <w:rPr>
          <w:rFonts w:ascii="Arial" w:cs="Arial" w:eastAsia="Arial" w:hAnsi="Arial"/>
          <w:sz w:val="21"/>
          <w:szCs w:val="21"/>
          <w:color w:val="auto"/>
        </w:rPr>
      </w:pPr>
      <w:r>
        <w:rPr>
          <w:rFonts w:ascii="Arial" w:cs="Arial" w:eastAsia="Arial" w:hAnsi="Arial"/>
          <w:sz w:val="21"/>
          <w:szCs w:val="21"/>
          <w:b w:val="1"/>
          <w:bCs w:val="1"/>
          <w:i w:val="1"/>
          <w:iCs w:val="1"/>
          <w:color w:val="auto"/>
        </w:rPr>
        <w:t>Fourth quarter 2019 comparable systemwide constant dollar RevPAR rose 1.1 percent worldwide, with 1.5 percent growth outside North America and 0.9 percent growth in North America;</w:t>
      </w:r>
    </w:p>
    <w:p>
      <w:pPr>
        <w:spacing w:after="0" w:line="192" w:lineRule="exact"/>
        <w:rPr>
          <w:rFonts w:ascii="Arial" w:cs="Arial" w:eastAsia="Arial" w:hAnsi="Arial"/>
          <w:sz w:val="21"/>
          <w:szCs w:val="21"/>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b w:val="1"/>
          <w:bCs w:val="1"/>
          <w:i w:val="1"/>
          <w:iCs w:val="1"/>
          <w:color w:val="auto"/>
        </w:rPr>
        <w:t>Worldwide comparable systemwide RevPAR index grew 240 basis points in the fourth quarter;</w:t>
      </w:r>
    </w:p>
    <w:p>
      <w:pPr>
        <w:spacing w:after="0" w:line="260" w:lineRule="exact"/>
        <w:rPr>
          <w:rFonts w:ascii="Arial" w:cs="Arial" w:eastAsia="Arial" w:hAnsi="Arial"/>
          <w:sz w:val="22"/>
          <w:szCs w:val="22"/>
          <w:color w:val="auto"/>
        </w:rPr>
      </w:pPr>
    </w:p>
    <w:p>
      <w:pPr>
        <w:ind w:left="660" w:right="200" w:hanging="328"/>
        <w:spacing w:after="0" w:line="343"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Fourth quarter reported net income totaled $279 million, a 12 percent decrease from prior year results. Fourth quarter adjusted net income totaled $517 million, a 4 percent increase from prior year adjusted results;</w:t>
      </w:r>
    </w:p>
    <w:p>
      <w:pPr>
        <w:spacing w:after="0" w:line="145" w:lineRule="exact"/>
        <w:rPr>
          <w:rFonts w:ascii="Arial" w:cs="Arial" w:eastAsia="Arial" w:hAnsi="Arial"/>
          <w:sz w:val="19"/>
          <w:szCs w:val="19"/>
          <w:color w:val="auto"/>
        </w:rPr>
      </w:pPr>
    </w:p>
    <w:p>
      <w:pPr>
        <w:ind w:left="660" w:right="60" w:hanging="328"/>
        <w:spacing w:after="0" w:line="26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b w:val="1"/>
          <w:bCs w:val="1"/>
          <w:i w:val="1"/>
          <w:iCs w:val="1"/>
          <w:color w:val="auto"/>
        </w:rPr>
        <w:t>Adjusted EBITDA totaled $901 million in the 2019 fourth quarter, a 4 percent increase compared to fourth quarter 2018 adjusted EBITDA;</w:t>
      </w:r>
    </w:p>
    <w:p>
      <w:pPr>
        <w:spacing w:after="0" w:line="215" w:lineRule="exact"/>
        <w:rPr>
          <w:rFonts w:ascii="Arial" w:cs="Arial" w:eastAsia="Arial" w:hAnsi="Arial"/>
          <w:sz w:val="22"/>
          <w:szCs w:val="22"/>
          <w:color w:val="auto"/>
        </w:rPr>
      </w:pPr>
    </w:p>
    <w:p>
      <w:pPr>
        <w:ind w:left="660" w:right="100" w:hanging="328"/>
        <w:spacing w:after="0" w:line="302"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Full year 2019 reported diluted EPS totaled $3.80, compared to $5.38 in the prior year. Full year 2019 adjusted diluted EPS totaled $6.00, compared to $6.21 in the prior year. Reported and adjusted diluted EPS for 2019 included the benefit of $0.33 of asset sale gains partially offset by $0.25 of asset impairments. Reported and adjusted diluted EPS for 2018 included the benefit of $0.66 and $0.65 of asset sale gains, respectively;</w:t>
      </w:r>
    </w:p>
    <w:p>
      <w:pPr>
        <w:spacing w:after="0" w:line="183" w:lineRule="exact"/>
        <w:rPr>
          <w:rFonts w:ascii="Arial" w:cs="Arial" w:eastAsia="Arial" w:hAnsi="Arial"/>
          <w:sz w:val="19"/>
          <w:szCs w:val="19"/>
          <w:color w:val="auto"/>
        </w:rPr>
      </w:pPr>
    </w:p>
    <w:p>
      <w:pPr>
        <w:ind w:left="660" w:right="480" w:hanging="328"/>
        <w:spacing w:after="0" w:line="26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b w:val="1"/>
          <w:bCs w:val="1"/>
          <w:i w:val="1"/>
          <w:iCs w:val="1"/>
          <w:color w:val="auto"/>
        </w:rPr>
        <w:t>Full year 2019 comparable systemwide constant dollar RevPAR rose 1.3 percent worldwide, with 2.2 percent growth outside North America and 1.0 percent growth in North America;</w:t>
      </w:r>
    </w:p>
    <w:p>
      <w:pPr>
        <w:spacing w:after="0" w:line="215" w:lineRule="exact"/>
        <w:rPr>
          <w:rFonts w:ascii="Arial" w:cs="Arial" w:eastAsia="Arial" w:hAnsi="Arial"/>
          <w:sz w:val="22"/>
          <w:szCs w:val="22"/>
          <w:color w:val="auto"/>
        </w:rPr>
      </w:pPr>
    </w:p>
    <w:p>
      <w:pPr>
        <w:ind w:left="660" w:right="480" w:hanging="328"/>
        <w:spacing w:after="0" w:line="287" w:lineRule="auto"/>
        <w:tabs>
          <w:tab w:leader="none" w:pos="660" w:val="left"/>
        </w:tabs>
        <w:numPr>
          <w:ilvl w:val="0"/>
          <w:numId w:val="4"/>
        </w:numPr>
        <w:rPr>
          <w:rFonts w:ascii="Arial" w:cs="Arial" w:eastAsia="Arial" w:hAnsi="Arial"/>
          <w:sz w:val="21"/>
          <w:szCs w:val="21"/>
          <w:color w:val="auto"/>
        </w:rPr>
      </w:pPr>
      <w:r>
        <w:rPr>
          <w:rFonts w:ascii="Arial" w:cs="Arial" w:eastAsia="Arial" w:hAnsi="Arial"/>
          <w:sz w:val="21"/>
          <w:szCs w:val="21"/>
          <w:b w:val="1"/>
          <w:bCs w:val="1"/>
          <w:i w:val="1"/>
          <w:iCs w:val="1"/>
          <w:color w:val="auto"/>
        </w:rPr>
        <w:t>The company added more than 78,000 rooms globally during 2019, including roughly 14,300 rooms converted from competitor brands and approximately 34,000 rooms in international markets;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jc w:val="both"/>
        <w:ind w:left="660" w:right="340" w:hanging="328"/>
        <w:spacing w:after="0" w:line="25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b w:val="1"/>
          <w:bCs w:val="1"/>
          <w:i w:val="1"/>
          <w:iCs w:val="1"/>
          <w:color w:val="auto"/>
        </w:rPr>
        <w:t>At year-end 2019, Marriott’s worldwide development pipeline totaled nearly 3,050 hotels and approximately 515,000 rooms, including roughly 23,000 rooms approved, but not yet subject to signed contracts. Over 220,000 rooms in the pipeline were under construction at the end of 2019;</w:t>
      </w:r>
    </w:p>
    <w:p>
      <w:pPr>
        <w:spacing w:after="0" w:line="226"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b w:val="1"/>
          <w:bCs w:val="1"/>
          <w:i w:val="1"/>
          <w:iCs w:val="1"/>
          <w:color w:val="auto"/>
        </w:rPr>
        <w:t>For full year 2019, Marriott repurchased 17.3 million shares of the company’s common stock for $2.3 billion, including 3.1 million shares for $432 million in the fourth quarter.</w:t>
      </w:r>
    </w:p>
    <w:p>
      <w:pPr>
        <w:spacing w:after="0" w:line="269" w:lineRule="exact"/>
        <w:rPr>
          <w:sz w:val="20"/>
          <w:szCs w:val="20"/>
          <w:color w:val="auto"/>
        </w:rPr>
      </w:pPr>
    </w:p>
    <w:p>
      <w:pPr>
        <w:ind w:right="220"/>
        <w:spacing w:after="0" w:line="366" w:lineRule="auto"/>
        <w:rPr>
          <w:sz w:val="20"/>
          <w:szCs w:val="20"/>
          <w:color w:val="auto"/>
        </w:rPr>
      </w:pPr>
      <w:r>
        <w:rPr>
          <w:rFonts w:ascii="Arial" w:cs="Arial" w:eastAsia="Arial" w:hAnsi="Arial"/>
          <w:sz w:val="22"/>
          <w:szCs w:val="22"/>
          <w:color w:val="auto"/>
        </w:rPr>
        <w:t>BETHESDA, MD - February 26, 2020 - Marriott International, Inc. (NASDAQ: MAR) today reported solid fourth quarter 2019 results.</w:t>
      </w:r>
    </w:p>
    <w:p>
      <w:pPr>
        <w:spacing w:after="0" w:line="322" w:lineRule="exact"/>
        <w:rPr>
          <w:sz w:val="20"/>
          <w:szCs w:val="20"/>
          <w:color w:val="auto"/>
        </w:rPr>
      </w:pPr>
    </w:p>
    <w:p>
      <w:pPr>
        <w:spacing w:after="0" w:line="351" w:lineRule="auto"/>
        <w:rPr>
          <w:sz w:val="20"/>
          <w:szCs w:val="20"/>
          <w:color w:val="auto"/>
        </w:rPr>
      </w:pPr>
      <w:r>
        <w:rPr>
          <w:rFonts w:ascii="Arial" w:cs="Arial" w:eastAsia="Arial" w:hAnsi="Arial"/>
          <w:sz w:val="22"/>
          <w:szCs w:val="22"/>
          <w:color w:val="auto"/>
        </w:rPr>
        <w:t>Arne M. Sorenson, president and chief executive officer of Marriott International, said, “We are pleased with our performance in 2019. We grew rooms nearly 5 percent, achieved record RevPAR index gains, drove higher guest satisfaction scores, and maintained global hotel profit margins in a low RevPAR growth environment. Our fee-driven, asset light business model and successful asset recycling continued to generate significant excess cash, allowing us to return a total of $2.9 billion to shareholders during the year.</w:t>
      </w:r>
    </w:p>
    <w:p>
      <w:pPr>
        <w:spacing w:after="0" w:line="338" w:lineRule="exact"/>
        <w:rPr>
          <w:sz w:val="20"/>
          <w:szCs w:val="20"/>
          <w:color w:val="auto"/>
        </w:rPr>
      </w:pPr>
    </w:p>
    <w:p>
      <w:pPr>
        <w:ind w:right="160"/>
        <w:spacing w:after="0" w:line="351" w:lineRule="auto"/>
        <w:rPr>
          <w:sz w:val="20"/>
          <w:szCs w:val="20"/>
          <w:color w:val="auto"/>
        </w:rPr>
      </w:pPr>
      <w:r>
        <w:rPr>
          <w:rFonts w:ascii="Arial" w:cs="Arial" w:eastAsia="Arial" w:hAnsi="Arial"/>
          <w:sz w:val="22"/>
          <w:szCs w:val="22"/>
          <w:color w:val="auto"/>
        </w:rPr>
        <w:t>“Marriott Bonvoy is driving market share at our hotels by leveraging our industry-leading distribution and powerful brand portfolio. Loyalty members accounted for 52 percent of occupied rooms in 2019, a 250-basis point increase year over year. Our worldwide systemwide RevPAR index for comparable hotels increased 200 basis points in 2019 and rose 240 basis points in the fourth quarter alone. We are increasing our market share of rooms as well, with record signings in 2019 taking our development pipeline to approximately 515,000 rooms at year-end.</w:t>
      </w:r>
    </w:p>
    <w:p>
      <w:pPr>
        <w:spacing w:after="0" w:line="338" w:lineRule="exact"/>
        <w:rPr>
          <w:sz w:val="20"/>
          <w:szCs w:val="20"/>
          <w:color w:val="auto"/>
        </w:rPr>
      </w:pPr>
    </w:p>
    <w:p>
      <w:pPr>
        <w:ind w:right="180"/>
        <w:spacing w:after="0" w:line="462" w:lineRule="auto"/>
        <w:rPr>
          <w:sz w:val="20"/>
          <w:szCs w:val="20"/>
          <w:color w:val="auto"/>
        </w:rPr>
      </w:pPr>
      <w:r>
        <w:rPr>
          <w:rFonts w:ascii="Arial" w:cs="Arial" w:eastAsia="Arial" w:hAnsi="Arial"/>
          <w:sz w:val="19"/>
          <w:szCs w:val="19"/>
          <w:color w:val="auto"/>
        </w:rPr>
        <w:t>“Our thoughts are with everyone impacted by the Coronavirus situation. I am particularly proud of our Asia Pacific team as they assist affected customers and fellow associates. To date, the crisis has primarily affected our Asia Pacific region.</w:t>
      </w:r>
    </w:p>
    <w:p>
      <w:pPr>
        <w:spacing w:after="0" w:line="253" w:lineRule="exact"/>
        <w:rPr>
          <w:sz w:val="20"/>
          <w:szCs w:val="20"/>
          <w:color w:val="auto"/>
        </w:rPr>
      </w:pPr>
    </w:p>
    <w:p>
      <w:pPr>
        <w:ind w:right="140"/>
        <w:spacing w:after="0" w:line="352" w:lineRule="auto"/>
        <w:rPr>
          <w:sz w:val="20"/>
          <w:szCs w:val="20"/>
          <w:color w:val="auto"/>
        </w:rPr>
      </w:pPr>
      <w:r>
        <w:rPr>
          <w:rFonts w:ascii="Arial" w:cs="Arial" w:eastAsia="Arial" w:hAnsi="Arial"/>
          <w:sz w:val="22"/>
          <w:szCs w:val="22"/>
          <w:color w:val="auto"/>
        </w:rPr>
        <w:t>“Given the fluid nature of the situation, we have not reflected the impact from the outbreak in our base case outlook for this year. For full year 2020, our base case outlook assumes comparable systemwide RevPAR on a constant dollar basis will be flat to up 2 percent, with RevPAR growth in North America around the middle of that range. We assume net rooms additions of 5 to 5.25 percent in 2020.</w:t>
      </w:r>
    </w:p>
    <w:p>
      <w:pPr>
        <w:spacing w:after="0" w:line="339" w:lineRule="exact"/>
        <w:rPr>
          <w:sz w:val="20"/>
          <w:szCs w:val="20"/>
          <w:color w:val="auto"/>
        </w:rPr>
      </w:pPr>
    </w:p>
    <w:p>
      <w:pPr>
        <w:ind w:right="60"/>
        <w:spacing w:after="0" w:line="366" w:lineRule="auto"/>
        <w:rPr>
          <w:sz w:val="20"/>
          <w:szCs w:val="20"/>
          <w:color w:val="auto"/>
        </w:rPr>
      </w:pPr>
      <w:r>
        <w:rPr>
          <w:rFonts w:ascii="Arial" w:cs="Arial" w:eastAsia="Arial" w:hAnsi="Arial"/>
          <w:sz w:val="22"/>
          <w:szCs w:val="22"/>
          <w:color w:val="auto"/>
        </w:rPr>
        <w:t>“Given those assumptions, our base case assumes gross fee revenues in 2020 could total $4 billion, a 5 percent increase compared to 2019. However, assuming the current low occupancy rates in the Asia</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348" w:right="359" w:bottom="1440" w:gutter="0" w:footer="0" w:header="0"/>
        </w:sectPr>
      </w:pPr>
    </w:p>
    <w:bookmarkStart w:id="5" w:name="page6"/>
    <w:bookmarkEnd w:id="5"/>
    <w:p>
      <w:pPr>
        <w:ind w:right="60"/>
        <w:spacing w:after="0" w:line="366" w:lineRule="auto"/>
        <w:rPr>
          <w:sz w:val="20"/>
          <w:szCs w:val="20"/>
          <w:color w:val="auto"/>
        </w:rPr>
      </w:pPr>
      <w:r>
        <w:rPr>
          <w:rFonts w:ascii="Arial" w:cs="Arial" w:eastAsia="Arial" w:hAnsi="Arial"/>
          <w:sz w:val="22"/>
          <w:szCs w:val="22"/>
          <w:color w:val="auto"/>
        </w:rPr>
        <w:t>Pacific region continue, with no meaningful impact outside the region, we estimate the company could earn roughly $25 million in lower fee revenue per month, compared to our 2020 base case outlook.”</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2019 Results</w:t>
      </w:r>
    </w:p>
    <w:p>
      <w:pPr>
        <w:spacing w:after="0" w:line="118" w:lineRule="exact"/>
        <w:rPr>
          <w:sz w:val="20"/>
          <w:szCs w:val="20"/>
          <w:color w:val="auto"/>
        </w:rPr>
      </w:pPr>
    </w:p>
    <w:p>
      <w:pPr>
        <w:ind w:right="240"/>
        <w:spacing w:after="0" w:line="352" w:lineRule="auto"/>
        <w:rPr>
          <w:sz w:val="20"/>
          <w:szCs w:val="20"/>
          <w:color w:val="auto"/>
        </w:rPr>
      </w:pPr>
      <w:r>
        <w:rPr>
          <w:rFonts w:ascii="Arial" w:cs="Arial" w:eastAsia="Arial" w:hAnsi="Arial"/>
          <w:sz w:val="22"/>
          <w:szCs w:val="22"/>
          <w:color w:val="auto"/>
        </w:rPr>
        <w:t>Marriott’s reported operating income totaled $274 million in the 2019 fourth quarter, compared to 2018 fourth quarter reported operating income of $422 million. Reported net income totaled $279 million in the 2019 fourth quarter, compared to 2018 fourth quarter reported net income of $317 million. Reported diluted earnings per share (EPS) totaled $0.85 in the quarter, compared to reported diluted EPS of $0.92 in the year-ago quarter.</w:t>
      </w:r>
    </w:p>
    <w:p>
      <w:pPr>
        <w:spacing w:after="0" w:line="339" w:lineRule="exact"/>
        <w:rPr>
          <w:sz w:val="20"/>
          <w:szCs w:val="20"/>
          <w:color w:val="auto"/>
        </w:rPr>
      </w:pPr>
    </w:p>
    <w:p>
      <w:pPr>
        <w:jc w:val="both"/>
        <w:ind w:right="380"/>
        <w:spacing w:after="0" w:line="356" w:lineRule="auto"/>
        <w:rPr>
          <w:sz w:val="20"/>
          <w:szCs w:val="20"/>
          <w:color w:val="auto"/>
        </w:rPr>
      </w:pPr>
      <w:r>
        <w:rPr>
          <w:rFonts w:ascii="Arial" w:cs="Arial" w:eastAsia="Arial" w:hAnsi="Arial"/>
          <w:sz w:val="22"/>
          <w:szCs w:val="22"/>
          <w:color w:val="auto"/>
        </w:rPr>
        <w:t>Adjusted operating income in the 2019 fourth quarter totaled $603 million, compared to 2018 fourth quarter adjusted operating income of $680 million. Adjusted operating income in the 2019 fourth quarter includes impairment charges of $114 million in depreciation, amortization, and other expenses.</w:t>
      </w:r>
    </w:p>
    <w:p>
      <w:pPr>
        <w:spacing w:after="0" w:line="333" w:lineRule="exact"/>
        <w:rPr>
          <w:sz w:val="20"/>
          <w:szCs w:val="20"/>
          <w:color w:val="auto"/>
        </w:rPr>
      </w:pPr>
    </w:p>
    <w:p>
      <w:pPr>
        <w:spacing w:after="0" w:line="367" w:lineRule="auto"/>
        <w:rPr>
          <w:sz w:val="20"/>
          <w:szCs w:val="20"/>
          <w:color w:val="auto"/>
        </w:rPr>
      </w:pPr>
      <w:r>
        <w:rPr>
          <w:rFonts w:ascii="Arial" w:cs="Arial" w:eastAsia="Arial" w:hAnsi="Arial"/>
          <w:sz w:val="21"/>
          <w:szCs w:val="21"/>
          <w:color w:val="auto"/>
        </w:rPr>
        <w:t>Fourth quarter 2019 adjusted net income totaled $517 million, compared to 2018 fourth quarter adjusted net income of $497 million. Adjusted diluted EPS in the fourth quarter totaled $1.57, compared to adjusted diluted EPS of $1.44 in the year-ago quarter. Results for the 2019 fourth quarter include the benefit of $134 million pretax ($0.32 per share) of asset sale gains in gains and other income, net, partially offset by $114 million pretax ($0.26 per share) of impairment charges in depreciation, amortization, and other expenses. Results for the 2018 fourth quarter include a $6 million pretax ($0.02 per share) asset sale gain in gains and other income, net. Adjusted results exclude merger-related costs and charges, cost reimbursement revenue, and reimbursed expenses. See page A-3 for the 2019 adjusted diluted EPS calculation.</w:t>
      </w:r>
    </w:p>
    <w:p>
      <w:pPr>
        <w:spacing w:after="0" w:line="332" w:lineRule="exact"/>
        <w:rPr>
          <w:sz w:val="20"/>
          <w:szCs w:val="20"/>
          <w:color w:val="auto"/>
        </w:rPr>
      </w:pPr>
    </w:p>
    <w:p>
      <w:pPr>
        <w:ind w:right="140"/>
        <w:spacing w:after="0" w:line="356" w:lineRule="auto"/>
        <w:rPr>
          <w:sz w:val="20"/>
          <w:szCs w:val="20"/>
          <w:color w:val="auto"/>
        </w:rPr>
      </w:pPr>
      <w:r>
        <w:rPr>
          <w:rFonts w:ascii="Arial" w:cs="Arial" w:eastAsia="Arial" w:hAnsi="Arial"/>
          <w:sz w:val="22"/>
          <w:szCs w:val="22"/>
          <w:color w:val="auto"/>
        </w:rPr>
        <w:t>Base management and franchise fees totaled $799 million in the 2019 fourth quarter, an 8 percent increase over base management and franchise fees of $743 million in the year-ago quarter. The year-over-year increase in these fees is primarily attributable to rooms growth, RevPAR growth, and higher credit card branding fees.</w:t>
      </w:r>
    </w:p>
    <w:p>
      <w:pPr>
        <w:spacing w:after="0" w:line="333" w:lineRule="exact"/>
        <w:rPr>
          <w:sz w:val="20"/>
          <w:szCs w:val="20"/>
          <w:color w:val="auto"/>
        </w:rPr>
      </w:pPr>
    </w:p>
    <w:p>
      <w:pPr>
        <w:ind w:right="80"/>
        <w:spacing w:after="0" w:line="431" w:lineRule="auto"/>
        <w:rPr>
          <w:sz w:val="20"/>
          <w:szCs w:val="20"/>
          <w:color w:val="auto"/>
        </w:rPr>
      </w:pPr>
      <w:r>
        <w:rPr>
          <w:rFonts w:ascii="Arial" w:cs="Arial" w:eastAsia="Arial" w:hAnsi="Arial"/>
          <w:sz w:val="19"/>
          <w:szCs w:val="19"/>
          <w:color w:val="auto"/>
        </w:rPr>
        <w:t>Fourth quarter 2019 incentive management fees totaled $175 million, a 5 percent increase compared to incentive management fees of $167 million in the year-ago quarter. The year-over-year increase largely reflects new units and higher net house profits at managed hotels in North America and Europe, partially offset by lower net house profits in Hong Kong.</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02" w:right="279" w:bottom="1440" w:gutter="0" w:footer="0" w:header="0"/>
        </w:sectPr>
      </w:pPr>
    </w:p>
    <w:bookmarkStart w:id="6" w:name="page7"/>
    <w:bookmarkEnd w:id="6"/>
    <w:p>
      <w:pPr>
        <w:ind w:right="340"/>
        <w:spacing w:after="0" w:line="431" w:lineRule="auto"/>
        <w:rPr>
          <w:sz w:val="20"/>
          <w:szCs w:val="20"/>
          <w:color w:val="auto"/>
        </w:rPr>
      </w:pPr>
      <w:r>
        <w:rPr>
          <w:rFonts w:ascii="Arial" w:cs="Arial" w:eastAsia="Arial" w:hAnsi="Arial"/>
          <w:sz w:val="19"/>
          <w:szCs w:val="19"/>
          <w:color w:val="auto"/>
        </w:rPr>
        <w:t>Depreciation, amortization, and other expenses for the 2019 fourth quarter totaled $179 million, compared to $62 million in the year-ago quarter. The year-over-year change largely reflects a $99 million impairment charge associated with a leased hotel in North America and a $15 million impairment charge related to the sale of a hotel in North America.</w:t>
      </w:r>
    </w:p>
    <w:p>
      <w:pPr>
        <w:spacing w:after="0" w:line="281" w:lineRule="exact"/>
        <w:rPr>
          <w:sz w:val="20"/>
          <w:szCs w:val="20"/>
          <w:color w:val="auto"/>
        </w:rPr>
      </w:pPr>
    </w:p>
    <w:p>
      <w:pPr>
        <w:ind w:right="20"/>
        <w:spacing w:after="0" w:line="356" w:lineRule="auto"/>
        <w:rPr>
          <w:sz w:val="20"/>
          <w:szCs w:val="20"/>
          <w:color w:val="auto"/>
        </w:rPr>
      </w:pPr>
      <w:r>
        <w:rPr>
          <w:rFonts w:ascii="Arial" w:cs="Arial" w:eastAsia="Arial" w:hAnsi="Arial"/>
          <w:sz w:val="22"/>
          <w:szCs w:val="22"/>
          <w:color w:val="auto"/>
        </w:rPr>
        <w:t>General, administrative, and other expenses for the 2019 fourth quarter totaled $267 million, compared to $242 million in the year-ago quarter. The year-over-year change largely reflects an increase in development and legal costs, higher bad debt expense, and unfavorable foreign exchange.</w:t>
      </w:r>
    </w:p>
    <w:p>
      <w:pPr>
        <w:spacing w:after="0" w:line="333" w:lineRule="exact"/>
        <w:rPr>
          <w:sz w:val="20"/>
          <w:szCs w:val="20"/>
          <w:color w:val="auto"/>
        </w:rPr>
      </w:pPr>
    </w:p>
    <w:p>
      <w:pPr>
        <w:spacing w:after="0" w:line="352" w:lineRule="auto"/>
        <w:rPr>
          <w:sz w:val="20"/>
          <w:szCs w:val="20"/>
          <w:color w:val="auto"/>
        </w:rPr>
      </w:pPr>
      <w:r>
        <w:rPr>
          <w:rFonts w:ascii="Arial" w:cs="Arial" w:eastAsia="Arial" w:hAnsi="Arial"/>
          <w:sz w:val="22"/>
          <w:szCs w:val="22"/>
          <w:color w:val="auto"/>
        </w:rPr>
        <w:t>In the 2019 fourth quarter, the company incurred $14 million of expenses and recognized $7 million of insurance recoveries related to the data security incident it disclosed on November 30, 2018. The expenses and insurance recoveries are reflected in either the reimbursed expenses or merger-related costs and charges lines of the Income Statement, both of which have been excluded from adjusted net income, adjusted EPS and adjusted EBITDA.</w:t>
      </w:r>
    </w:p>
    <w:p>
      <w:pPr>
        <w:spacing w:after="0" w:line="339" w:lineRule="exact"/>
        <w:rPr>
          <w:sz w:val="20"/>
          <w:szCs w:val="20"/>
          <w:color w:val="auto"/>
        </w:rPr>
      </w:pPr>
    </w:p>
    <w:p>
      <w:pPr>
        <w:jc w:val="both"/>
        <w:ind w:right="60"/>
        <w:spacing w:after="0" w:line="421" w:lineRule="auto"/>
        <w:rPr>
          <w:sz w:val="20"/>
          <w:szCs w:val="20"/>
          <w:color w:val="auto"/>
        </w:rPr>
      </w:pPr>
      <w:r>
        <w:rPr>
          <w:rFonts w:ascii="Arial" w:cs="Arial" w:eastAsia="Arial" w:hAnsi="Arial"/>
          <w:sz w:val="19"/>
          <w:szCs w:val="19"/>
          <w:color w:val="auto"/>
        </w:rPr>
        <w:t>Based on the ongoing proceeding involving the U.K. Information Commissioner’s Office (ICO), in the fourth quarter the company also reduced to $65 million the non-tax deductible accrual recorded in the second quarter of 2019 for the fine proposed by ICO in July 2019 in relation to the data security incident. The reduction of the accrual is reflected in the merger-related costs and charges line of the Income Statement, which has been excluded from adjusted net income, adjusted EPS and adjusted EBITDA.</w:t>
      </w:r>
    </w:p>
    <w:p>
      <w:pPr>
        <w:spacing w:after="0" w:line="290" w:lineRule="exact"/>
        <w:rPr>
          <w:sz w:val="20"/>
          <w:szCs w:val="20"/>
          <w:color w:val="auto"/>
        </w:rPr>
      </w:pPr>
    </w:p>
    <w:p>
      <w:pPr>
        <w:ind w:right="120"/>
        <w:spacing w:after="0" w:line="462" w:lineRule="auto"/>
        <w:rPr>
          <w:sz w:val="20"/>
          <w:szCs w:val="20"/>
          <w:color w:val="auto"/>
        </w:rPr>
      </w:pPr>
      <w:r>
        <w:rPr>
          <w:rFonts w:ascii="Arial" w:cs="Arial" w:eastAsia="Arial" w:hAnsi="Arial"/>
          <w:sz w:val="19"/>
          <w:szCs w:val="19"/>
          <w:color w:val="auto"/>
        </w:rPr>
        <w:t>Gains and other income, net, totaled $138 million, compared to $3 million in the year-ago quarter. Gains and other income, net, in the 2019 fourth quarter primarily reflects $134 million of gains associated with the sales of two hotels in North America.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2019 Results Compared to November 5, 2019 Guidance</w:t>
      </w:r>
    </w:p>
    <w:p>
      <w:pPr>
        <w:spacing w:after="0" w:line="118" w:lineRule="exact"/>
        <w:rPr>
          <w:sz w:val="20"/>
          <w:szCs w:val="20"/>
          <w:color w:val="auto"/>
        </w:rPr>
      </w:pPr>
    </w:p>
    <w:p>
      <w:pPr>
        <w:ind w:right="60"/>
        <w:spacing w:after="0" w:line="356" w:lineRule="auto"/>
        <w:rPr>
          <w:sz w:val="20"/>
          <w:szCs w:val="20"/>
          <w:color w:val="auto"/>
        </w:rPr>
      </w:pPr>
      <w:r>
        <w:rPr>
          <w:rFonts w:ascii="Arial" w:cs="Arial" w:eastAsia="Arial" w:hAnsi="Arial"/>
          <w:sz w:val="22"/>
          <w:szCs w:val="22"/>
          <w:color w:val="auto"/>
        </w:rPr>
        <w:t>On November 5, 2019, the company estimated gross fee revenues would total $960 million to $970 million in the fourth quarter. Actual gross fee revenues totaled $974 million in the quarter, largely reflecting higher than expected incentive management fees in North America.</w:t>
      </w:r>
    </w:p>
    <w:p>
      <w:pPr>
        <w:spacing w:after="0" w:line="333" w:lineRule="exact"/>
        <w:rPr>
          <w:sz w:val="20"/>
          <w:szCs w:val="20"/>
          <w:color w:val="auto"/>
        </w:rPr>
      </w:pPr>
    </w:p>
    <w:p>
      <w:pPr>
        <w:ind w:right="100"/>
        <w:spacing w:after="0" w:line="462" w:lineRule="auto"/>
        <w:rPr>
          <w:sz w:val="20"/>
          <w:szCs w:val="20"/>
          <w:color w:val="auto"/>
        </w:rPr>
      </w:pPr>
      <w:r>
        <w:rPr>
          <w:rFonts w:ascii="Arial" w:cs="Arial" w:eastAsia="Arial" w:hAnsi="Arial"/>
          <w:sz w:val="19"/>
          <w:szCs w:val="19"/>
          <w:color w:val="auto"/>
        </w:rPr>
        <w:t>The company estimated owned, leased, and other revenue, net of direct expenses, for the fourth quarter would total approximately $85 million. Actual results of $92 million in the quarter were higher than estimated, largely due to higher termination fees.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02" w:right="299" w:bottom="1440" w:gutter="0" w:footer="0" w:header="0"/>
        </w:sectPr>
      </w:pPr>
    </w:p>
    <w:bookmarkStart w:id="7" w:name="page8"/>
    <w:bookmarkEnd w:id="7"/>
    <w:p>
      <w:pPr>
        <w:jc w:val="both"/>
        <w:ind w:right="660"/>
        <w:spacing w:after="0" w:line="356" w:lineRule="auto"/>
        <w:rPr>
          <w:sz w:val="20"/>
          <w:szCs w:val="20"/>
          <w:color w:val="auto"/>
        </w:rPr>
      </w:pPr>
      <w:r>
        <w:rPr>
          <w:rFonts w:ascii="Arial" w:cs="Arial" w:eastAsia="Arial" w:hAnsi="Arial"/>
          <w:sz w:val="22"/>
          <w:szCs w:val="22"/>
          <w:color w:val="auto"/>
        </w:rPr>
        <w:t>The company estimated depreciation, amortization, and other expenses for the fourth quarter would total approximately $55 million. Actual expenses of $179 million in the quarter were higher than estimated, largely due to asset impairments of $114 million and contract write-offs related to terminated hotels.</w:t>
      </w:r>
    </w:p>
    <w:p>
      <w:pPr>
        <w:spacing w:after="0" w:line="333" w:lineRule="exact"/>
        <w:rPr>
          <w:sz w:val="20"/>
          <w:szCs w:val="20"/>
          <w:color w:val="auto"/>
        </w:rPr>
      </w:pPr>
    </w:p>
    <w:p>
      <w:pPr>
        <w:ind w:right="60"/>
        <w:spacing w:after="0" w:line="356" w:lineRule="auto"/>
        <w:rPr>
          <w:sz w:val="20"/>
          <w:szCs w:val="20"/>
          <w:color w:val="auto"/>
        </w:rPr>
      </w:pPr>
      <w:r>
        <w:rPr>
          <w:rFonts w:ascii="Arial" w:cs="Arial" w:eastAsia="Arial" w:hAnsi="Arial"/>
          <w:sz w:val="22"/>
          <w:szCs w:val="22"/>
          <w:color w:val="auto"/>
        </w:rPr>
        <w:t>The company estimated general, administrative, and other expenses for the fourth quarter would total $250 million to $255 million. Actual expenses of $267 million in the quarter were higher than estimated, largely due to legal costs, bad debt expenses, and foreign exchange.</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Selected Performance Information</w:t>
      </w:r>
    </w:p>
    <w:p>
      <w:pPr>
        <w:spacing w:after="0" w:line="118" w:lineRule="exact"/>
        <w:rPr>
          <w:sz w:val="20"/>
          <w:szCs w:val="20"/>
          <w:color w:val="auto"/>
        </w:rPr>
      </w:pPr>
    </w:p>
    <w:p>
      <w:pPr>
        <w:ind w:right="500"/>
        <w:spacing w:after="0" w:line="352" w:lineRule="auto"/>
        <w:rPr>
          <w:sz w:val="20"/>
          <w:szCs w:val="20"/>
          <w:color w:val="auto"/>
        </w:rPr>
      </w:pPr>
      <w:r>
        <w:rPr>
          <w:rFonts w:ascii="Arial" w:cs="Arial" w:eastAsia="Arial" w:hAnsi="Arial"/>
          <w:sz w:val="22"/>
          <w:szCs w:val="22"/>
          <w:color w:val="auto"/>
        </w:rPr>
        <w:t>The company added 173 new properties (25,399 rooms) to its worldwide lodging portfolio during the 2019 fourth quarter, including W Ibiza in Spain, JW Marriott Maldives, and North Island, a Luxury Collection Resort, Seychelles. Twenty-nine properties (6,400 rooms) exited the system during the quarter. At year-end, Marriott’s global lodging system totaled more than 7,300 properties and timeshare resorts, with roughly 1,380,000 rooms.</w:t>
      </w:r>
    </w:p>
    <w:p>
      <w:pPr>
        <w:spacing w:after="0" w:line="339" w:lineRule="exact"/>
        <w:rPr>
          <w:sz w:val="20"/>
          <w:szCs w:val="20"/>
          <w:color w:val="auto"/>
        </w:rPr>
      </w:pPr>
    </w:p>
    <w:p>
      <w:pPr>
        <w:ind w:right="20"/>
        <w:spacing w:after="0" w:line="356" w:lineRule="auto"/>
        <w:rPr>
          <w:sz w:val="20"/>
          <w:szCs w:val="20"/>
          <w:color w:val="auto"/>
        </w:rPr>
      </w:pPr>
      <w:r>
        <w:rPr>
          <w:rFonts w:ascii="Arial" w:cs="Arial" w:eastAsia="Arial" w:hAnsi="Arial"/>
          <w:sz w:val="22"/>
          <w:szCs w:val="22"/>
          <w:color w:val="auto"/>
        </w:rPr>
        <w:t>At year-end, the company’s worldwide development pipeline totaled 3,039 properties with approximately 515,000 rooms, including 1,207 properties with over 220,000 rooms under construction and 133 properties with roughly 23,000 rooms approved for development, but not yet subject to signed contracts.</w:t>
      </w:r>
    </w:p>
    <w:p>
      <w:pPr>
        <w:spacing w:after="0" w:line="333" w:lineRule="exact"/>
        <w:rPr>
          <w:sz w:val="20"/>
          <w:szCs w:val="20"/>
          <w:color w:val="auto"/>
        </w:rPr>
      </w:pPr>
    </w:p>
    <w:p>
      <w:pPr>
        <w:spacing w:after="0" w:line="352" w:lineRule="auto"/>
        <w:rPr>
          <w:sz w:val="20"/>
          <w:szCs w:val="20"/>
          <w:color w:val="auto"/>
        </w:rPr>
      </w:pPr>
      <w:r>
        <w:rPr>
          <w:rFonts w:ascii="Arial" w:cs="Arial" w:eastAsia="Arial" w:hAnsi="Arial"/>
          <w:sz w:val="22"/>
          <w:szCs w:val="22"/>
          <w:color w:val="auto"/>
        </w:rPr>
        <w:t>In the 2019 fourth quarter, worldwide comparable systemwide constant dollar RevPAR increased 1.1 percent (a 0.8 percent increase using actual dollars). North American comparable systemwide constant dollar RevPAR increased 0.9 percent (a 0.9 percent increase using actual dollars), and international comparable systemwide constant dollar RevPAR increased 1.5 percent (a 0.6 percent increase using actual dollars) for the same period.</w:t>
      </w:r>
    </w:p>
    <w:p>
      <w:pPr>
        <w:spacing w:after="0" w:line="339" w:lineRule="exact"/>
        <w:rPr>
          <w:sz w:val="20"/>
          <w:szCs w:val="20"/>
          <w:color w:val="auto"/>
        </w:rPr>
      </w:pPr>
    </w:p>
    <w:p>
      <w:pPr>
        <w:ind w:right="20"/>
        <w:spacing w:after="0" w:line="421" w:lineRule="auto"/>
        <w:rPr>
          <w:sz w:val="20"/>
          <w:szCs w:val="20"/>
          <w:color w:val="auto"/>
        </w:rPr>
      </w:pPr>
      <w:r>
        <w:rPr>
          <w:rFonts w:ascii="Arial" w:cs="Arial" w:eastAsia="Arial" w:hAnsi="Arial"/>
          <w:sz w:val="19"/>
          <w:szCs w:val="19"/>
          <w:color w:val="auto"/>
        </w:rPr>
        <w:t>Worldwide comparable company-operated house profit margins increased 20 basis points in the fourth quarter, reflecting the impact of solid cost controls and synergies from the Starwood acquisition, partially offset by modest RevPAR growth and higher wages. House profit margins for international comparable company-operated properties increased 30 basis points and North American comparable company-operated house profit margins increased 10 basis points in the fourth quarter.</w:t>
      </w:r>
    </w:p>
    <w:p>
      <w:pPr>
        <w:spacing w:after="0" w:line="290" w:lineRule="exact"/>
        <w:rPr>
          <w:sz w:val="20"/>
          <w:szCs w:val="20"/>
          <w:color w:val="auto"/>
        </w:rPr>
      </w:pPr>
    </w:p>
    <w:p>
      <w:pPr>
        <w:ind w:right="140"/>
        <w:spacing w:after="0" w:line="356" w:lineRule="auto"/>
        <w:rPr>
          <w:sz w:val="20"/>
          <w:szCs w:val="20"/>
          <w:color w:val="auto"/>
        </w:rPr>
      </w:pPr>
      <w:r>
        <w:rPr>
          <w:rFonts w:ascii="Arial" w:cs="Arial" w:eastAsia="Arial" w:hAnsi="Arial"/>
          <w:sz w:val="22"/>
          <w:szCs w:val="22"/>
          <w:color w:val="auto"/>
        </w:rPr>
        <w:t>For full year 2019, worldwide comparable systemwide constant dollar RevPAR increased 1.3 percent (a 0.4 percent increase using actual dollars). North American comparable systemwide constant dollar RevPAR increased 1.0 percent (a 0.9 percent increase using actual dollars), and international comparable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02" w:right="239" w:bottom="1440"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systemwide constant dollar RevPAR increased 2.2 percent (a 1.0 percent decrease using actual dollars) for the same period.</w:t>
      </w:r>
    </w:p>
    <w:p>
      <w:pPr>
        <w:spacing w:after="0" w:line="200" w:lineRule="exact"/>
        <w:rPr>
          <w:sz w:val="20"/>
          <w:szCs w:val="20"/>
          <w:color w:val="auto"/>
        </w:rPr>
      </w:pPr>
    </w:p>
    <w:p>
      <w:pPr>
        <w:spacing w:after="0" w:line="311" w:lineRule="exact"/>
        <w:rPr>
          <w:sz w:val="20"/>
          <w:szCs w:val="20"/>
          <w:color w:val="auto"/>
        </w:rPr>
      </w:pPr>
    </w:p>
    <w:p>
      <w:pPr>
        <w:ind w:right="20"/>
        <w:spacing w:after="0" w:line="352" w:lineRule="auto"/>
        <w:rPr>
          <w:sz w:val="20"/>
          <w:szCs w:val="20"/>
          <w:color w:val="auto"/>
        </w:rPr>
      </w:pPr>
      <w:r>
        <w:rPr>
          <w:rFonts w:ascii="Arial" w:cs="Arial" w:eastAsia="Arial" w:hAnsi="Arial"/>
          <w:sz w:val="22"/>
          <w:szCs w:val="22"/>
          <w:color w:val="auto"/>
        </w:rPr>
        <w:t>Worldwide comparable company-operated house profit margins were flat for full year 2019, largely due to solid cost controls and synergies from the Starwood acquisition, offset by modest RevPAR growth and higher wages. House profit margins for comparable company-operated properties outside North America rose 20 basis points and North American comparable company-operated house profit margins decreased 20 basis points year over year.</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Balance Sheet</w:t>
      </w:r>
    </w:p>
    <w:p>
      <w:pPr>
        <w:spacing w:after="0" w:line="118" w:lineRule="exact"/>
        <w:rPr>
          <w:sz w:val="20"/>
          <w:szCs w:val="20"/>
          <w:color w:val="auto"/>
        </w:rPr>
      </w:pPr>
    </w:p>
    <w:p>
      <w:pPr>
        <w:spacing w:after="0" w:line="366" w:lineRule="auto"/>
        <w:rPr>
          <w:sz w:val="20"/>
          <w:szCs w:val="20"/>
          <w:color w:val="auto"/>
        </w:rPr>
      </w:pPr>
      <w:r>
        <w:rPr>
          <w:rFonts w:ascii="Arial" w:cs="Arial" w:eastAsia="Arial" w:hAnsi="Arial"/>
          <w:sz w:val="22"/>
          <w:szCs w:val="22"/>
          <w:color w:val="auto"/>
        </w:rPr>
        <w:t>At year-end, Marriott’s total debt was $10.94 billion and cash balances totaled $225 million, compared to $9.347 billion in debt and $316 million of cash at year-end 2018.</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Marriott Common Stock</w:t>
      </w:r>
    </w:p>
    <w:p>
      <w:pPr>
        <w:spacing w:after="0" w:line="118" w:lineRule="exact"/>
        <w:rPr>
          <w:sz w:val="20"/>
          <w:szCs w:val="20"/>
          <w:color w:val="auto"/>
        </w:rPr>
      </w:pPr>
    </w:p>
    <w:p>
      <w:pPr>
        <w:ind w:right="60"/>
        <w:spacing w:after="0" w:line="366" w:lineRule="auto"/>
        <w:rPr>
          <w:sz w:val="20"/>
          <w:szCs w:val="20"/>
          <w:color w:val="auto"/>
        </w:rPr>
      </w:pPr>
      <w:r>
        <w:rPr>
          <w:rFonts w:ascii="Arial" w:cs="Arial" w:eastAsia="Arial" w:hAnsi="Arial"/>
          <w:sz w:val="22"/>
          <w:szCs w:val="22"/>
          <w:color w:val="auto"/>
        </w:rPr>
        <w:t>Weighted average fully diluted shares outstanding used to calculate both reported and adjusted diluted EPS totaled 330.4 million in the 2019 fourth quarter, compared to 345.7 million shares in the year-ago quarter.</w:t>
      </w:r>
    </w:p>
    <w:p>
      <w:pPr>
        <w:spacing w:after="0" w:line="322" w:lineRule="exact"/>
        <w:rPr>
          <w:sz w:val="20"/>
          <w:szCs w:val="20"/>
          <w:color w:val="auto"/>
        </w:rPr>
      </w:pPr>
    </w:p>
    <w:p>
      <w:pPr>
        <w:ind w:right="180"/>
        <w:spacing w:after="0" w:line="352" w:lineRule="auto"/>
        <w:rPr>
          <w:sz w:val="20"/>
          <w:szCs w:val="20"/>
          <w:color w:val="auto"/>
        </w:rPr>
      </w:pPr>
      <w:r>
        <w:rPr>
          <w:rFonts w:ascii="Arial" w:cs="Arial" w:eastAsia="Arial" w:hAnsi="Arial"/>
          <w:sz w:val="22"/>
          <w:szCs w:val="22"/>
          <w:color w:val="auto"/>
        </w:rPr>
        <w:t>The company repurchased 3.1 million shares of common stock in the 2019 fourth quarter for $432 million at an average price of $140.00 per share. For full year 2019, Marriott repurchased 17.3 million shares for $2.3 billion at an average price of $130.79 per share. Year to date through February 25, the company has repurchased 1.0 million shares for $150 million at an average price of $145.42 per share.</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Coronavirus</w:t>
      </w:r>
    </w:p>
    <w:p>
      <w:pPr>
        <w:spacing w:after="0" w:line="118" w:lineRule="exact"/>
        <w:rPr>
          <w:sz w:val="20"/>
          <w:szCs w:val="20"/>
          <w:color w:val="auto"/>
        </w:rPr>
      </w:pPr>
    </w:p>
    <w:p>
      <w:pPr>
        <w:ind w:right="100"/>
        <w:spacing w:after="0" w:line="378" w:lineRule="auto"/>
        <w:rPr>
          <w:sz w:val="20"/>
          <w:szCs w:val="20"/>
          <w:color w:val="auto"/>
        </w:rPr>
      </w:pPr>
      <w:r>
        <w:rPr>
          <w:rFonts w:ascii="Arial" w:cs="Arial" w:eastAsia="Arial" w:hAnsi="Arial"/>
          <w:sz w:val="21"/>
          <w:szCs w:val="21"/>
          <w:color w:val="auto"/>
        </w:rPr>
        <w:t>Due to the uncertainty regarding the duration and extent of the Coronavirus outbreak, Marriott cannot fully estimate the financial impact from the virus, which could be material to first quarter and full year 2020 results. As such, the company is providing a base case outlook for the first quarter and full year 2020, which does not reflect any impact from the outbreak.</w:t>
      </w:r>
    </w:p>
    <w:p>
      <w:pPr>
        <w:spacing w:after="0" w:line="264" w:lineRule="exact"/>
        <w:rPr>
          <w:sz w:val="20"/>
          <w:szCs w:val="20"/>
          <w:color w:val="auto"/>
        </w:rPr>
      </w:pPr>
    </w:p>
    <w:p>
      <w:pPr>
        <w:ind w:right="360"/>
        <w:spacing w:after="0" w:line="431" w:lineRule="auto"/>
        <w:rPr>
          <w:sz w:val="20"/>
          <w:szCs w:val="20"/>
          <w:color w:val="auto"/>
        </w:rPr>
      </w:pPr>
      <w:r>
        <w:rPr>
          <w:rFonts w:ascii="Arial" w:cs="Arial" w:eastAsia="Arial" w:hAnsi="Arial"/>
          <w:sz w:val="19"/>
          <w:szCs w:val="19"/>
          <w:color w:val="auto"/>
        </w:rPr>
        <w:t>Assuming the current low occupancy rates in the Asia Pacific region continue, with no meaningful impact outside the region, Marriott estimates the company could earn roughly $25 million in lower fee revenue per month, compared to its 2020 base case outlook. Room additions for the current year could also be delayed as a result of the Coronavirus outbreak.</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02" w:right="25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u w:val="single" w:color="auto"/>
          <w:color w:val="auto"/>
        </w:rPr>
        <w:t>2020 Base Case Outlook, Not Including Impact from the Coronavirus</w:t>
      </w:r>
    </w:p>
    <w:p>
      <w:pPr>
        <w:spacing w:after="0" w:line="118" w:lineRule="exact"/>
        <w:rPr>
          <w:sz w:val="20"/>
          <w:szCs w:val="20"/>
          <w:color w:val="auto"/>
        </w:rPr>
      </w:pPr>
    </w:p>
    <w:p>
      <w:pPr>
        <w:spacing w:after="0" w:line="352" w:lineRule="auto"/>
        <w:rPr>
          <w:sz w:val="20"/>
          <w:szCs w:val="20"/>
          <w:color w:val="auto"/>
        </w:rPr>
      </w:pPr>
      <w:r>
        <w:rPr>
          <w:rFonts w:ascii="Arial" w:cs="Arial" w:eastAsia="Arial" w:hAnsi="Arial"/>
          <w:sz w:val="22"/>
          <w:szCs w:val="22"/>
          <w:color w:val="auto"/>
        </w:rPr>
        <w:t>The following base case outlook for first quarter and full year 2020 does not reflect any impact from the Coronavirus outbreak, merger-related costs and charges, cost reimbursement revenue, or reimbursed expenses, each of which the company cannot forecast with sufficient accuracy, and which may be significant. The base case outlook for first quarter and full year 2020 does not reflect any additional asset sales that may occur during the year.</w:t>
      </w:r>
    </w:p>
    <w:p>
      <w:pPr>
        <w:spacing w:after="0" w:line="339" w:lineRule="exact"/>
        <w:rPr>
          <w:sz w:val="20"/>
          <w:szCs w:val="20"/>
          <w:color w:val="auto"/>
        </w:rPr>
      </w:pPr>
    </w:p>
    <w:p>
      <w:pPr>
        <w:ind w:right="40"/>
        <w:spacing w:after="0" w:line="366" w:lineRule="auto"/>
        <w:rPr>
          <w:sz w:val="20"/>
          <w:szCs w:val="20"/>
          <w:color w:val="auto"/>
        </w:rPr>
      </w:pPr>
      <w:r>
        <w:rPr>
          <w:rFonts w:ascii="Arial" w:cs="Arial" w:eastAsia="Arial" w:hAnsi="Arial"/>
          <w:sz w:val="22"/>
          <w:szCs w:val="22"/>
          <w:color w:val="auto"/>
        </w:rPr>
        <w:t>For the 2020 first quarter, Marriott assumes comparable systemwide RevPAR on a constant dollar basis will increase 1 to 2 percent worldwide and in North America.</w:t>
      </w:r>
    </w:p>
    <w:p>
      <w:pPr>
        <w:spacing w:after="0" w:line="322" w:lineRule="exact"/>
        <w:rPr>
          <w:sz w:val="20"/>
          <w:szCs w:val="20"/>
          <w:color w:val="auto"/>
        </w:rPr>
      </w:pPr>
    </w:p>
    <w:p>
      <w:pPr>
        <w:jc w:val="both"/>
        <w:ind w:right="200"/>
        <w:spacing w:after="0" w:line="378" w:lineRule="auto"/>
        <w:rPr>
          <w:sz w:val="20"/>
          <w:szCs w:val="20"/>
          <w:color w:val="auto"/>
        </w:rPr>
      </w:pPr>
      <w:r>
        <w:rPr>
          <w:rFonts w:ascii="Arial" w:cs="Arial" w:eastAsia="Arial" w:hAnsi="Arial"/>
          <w:sz w:val="21"/>
          <w:szCs w:val="21"/>
          <w:color w:val="auto"/>
        </w:rPr>
        <w:t>The company assumes first quarter 2020 gross fee revenues will total $940 million to $950 million, a 5 to 6 percent increase over first quarter 2019 gross fee revenues of $895 million. The company anticipates first quarter 2020 incentive management fees will decrease slightly compared to first quarter 2019 incentive management fees of $163 million.</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color w:val="auto"/>
        </w:rPr>
        <w:t>The company assumes first quarter 2020 general, administrative, and other expenses could total $230 million to $234 million.</w:t>
      </w:r>
    </w:p>
    <w:p>
      <w:pPr>
        <w:spacing w:after="0" w:line="200" w:lineRule="exact"/>
        <w:rPr>
          <w:sz w:val="20"/>
          <w:szCs w:val="20"/>
          <w:color w:val="auto"/>
        </w:rPr>
      </w:pPr>
    </w:p>
    <w:p>
      <w:pPr>
        <w:spacing w:after="0" w:line="311" w:lineRule="exact"/>
        <w:rPr>
          <w:sz w:val="20"/>
          <w:szCs w:val="20"/>
          <w:color w:val="auto"/>
        </w:rPr>
      </w:pPr>
    </w:p>
    <w:p>
      <w:pPr>
        <w:ind w:right="140"/>
        <w:spacing w:after="0" w:line="395" w:lineRule="auto"/>
        <w:rPr>
          <w:sz w:val="20"/>
          <w:szCs w:val="20"/>
          <w:color w:val="auto"/>
        </w:rPr>
      </w:pPr>
      <w:r>
        <w:rPr>
          <w:rFonts w:ascii="Arial" w:cs="Arial" w:eastAsia="Arial" w:hAnsi="Arial"/>
          <w:sz w:val="21"/>
          <w:szCs w:val="21"/>
          <w:color w:val="auto"/>
        </w:rPr>
        <w:t>Marriott assumes first quarter 2020 adjusted EBITDA could total $853 million to $867 million, a 4 to 6 percent increase over first quarter 2019 adjusted EBITDA of $821 million. See page A-12 for the adjusted EBITDA calculation.</w:t>
      </w:r>
    </w:p>
    <w:p>
      <w:pPr>
        <w:spacing w:after="0" w:line="299" w:lineRule="exact"/>
        <w:rPr>
          <w:sz w:val="20"/>
          <w:szCs w:val="20"/>
          <w:color w:val="auto"/>
        </w:rPr>
      </w:pPr>
    </w:p>
    <w:p>
      <w:pPr>
        <w:ind w:right="400"/>
        <w:spacing w:after="0" w:line="366" w:lineRule="auto"/>
        <w:rPr>
          <w:sz w:val="20"/>
          <w:szCs w:val="20"/>
          <w:color w:val="auto"/>
        </w:rPr>
      </w:pPr>
      <w:r>
        <w:rPr>
          <w:rFonts w:ascii="Arial" w:cs="Arial" w:eastAsia="Arial" w:hAnsi="Arial"/>
          <w:sz w:val="22"/>
          <w:szCs w:val="22"/>
          <w:color w:val="auto"/>
        </w:rPr>
        <w:t>For the full year 2020, Marriott assumes comparable systemwide RevPAR growth on a constant dollar basis will be flat to up 2 percent worldwide, with RevPAR growth in North America around the middle of that range.</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Marriott assumes global room growth of 5.0 to 5.25 percent, net of 1 to 1.5 percent deletions for full year 2020.</w:t>
      </w:r>
    </w:p>
    <w:p>
      <w:pPr>
        <w:spacing w:after="0" w:line="200" w:lineRule="exact"/>
        <w:rPr>
          <w:sz w:val="20"/>
          <w:szCs w:val="20"/>
          <w:color w:val="auto"/>
        </w:rPr>
      </w:pPr>
    </w:p>
    <w:p>
      <w:pPr>
        <w:spacing w:after="0" w:line="276" w:lineRule="exact"/>
        <w:rPr>
          <w:sz w:val="20"/>
          <w:szCs w:val="20"/>
          <w:color w:val="auto"/>
        </w:rPr>
      </w:pPr>
    </w:p>
    <w:p>
      <w:pPr>
        <w:ind w:right="80"/>
        <w:spacing w:after="0" w:line="352" w:lineRule="auto"/>
        <w:rPr>
          <w:sz w:val="20"/>
          <w:szCs w:val="20"/>
          <w:color w:val="auto"/>
        </w:rPr>
      </w:pPr>
      <w:r>
        <w:rPr>
          <w:rFonts w:ascii="Arial" w:cs="Arial" w:eastAsia="Arial" w:hAnsi="Arial"/>
          <w:sz w:val="22"/>
          <w:szCs w:val="22"/>
          <w:color w:val="auto"/>
        </w:rPr>
        <w:t>The company assumes full year 2020 gross fee revenues will total $3,960 million to $4,040 million, a 4 to 6 percent increase over 2019 gross fee revenues of $3,823 million, including roughly $10 million of unfavorable foreign exchange. Full year 2020 estimated gross fee revenues include $630 million to $640 million of other franchise fees, a roughly 10 percent increase over other franchise fees for full year 2019.</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96" w:right="279" w:bottom="1440" w:gutter="0" w:footer="0" w:header="0"/>
        </w:sectPr>
      </w:pPr>
    </w:p>
    <w:bookmarkStart w:id="10" w:name="page11"/>
    <w:bookmarkEnd w:id="10"/>
    <w:p>
      <w:pPr>
        <w:ind w:right="240"/>
        <w:spacing w:after="0" w:line="366" w:lineRule="auto"/>
        <w:rPr>
          <w:sz w:val="20"/>
          <w:szCs w:val="20"/>
          <w:color w:val="auto"/>
        </w:rPr>
      </w:pPr>
      <w:r>
        <w:rPr>
          <w:rFonts w:ascii="Arial" w:cs="Arial" w:eastAsia="Arial" w:hAnsi="Arial"/>
          <w:sz w:val="22"/>
          <w:szCs w:val="22"/>
          <w:color w:val="auto"/>
        </w:rPr>
        <w:t>Other franchise fees include application fees, relicensing fees, timeshare licensing fees, credit card branding fees, and residential and other branding fees.</w:t>
      </w:r>
    </w:p>
    <w:p>
      <w:pPr>
        <w:spacing w:after="0" w:line="322" w:lineRule="exact"/>
        <w:rPr>
          <w:sz w:val="20"/>
          <w:szCs w:val="20"/>
          <w:color w:val="auto"/>
        </w:rPr>
      </w:pPr>
    </w:p>
    <w:p>
      <w:pPr>
        <w:ind w:right="560"/>
        <w:spacing w:after="0" w:line="366" w:lineRule="auto"/>
        <w:rPr>
          <w:sz w:val="20"/>
          <w:szCs w:val="20"/>
          <w:color w:val="auto"/>
        </w:rPr>
      </w:pPr>
      <w:r>
        <w:rPr>
          <w:rFonts w:ascii="Arial" w:cs="Arial" w:eastAsia="Arial" w:hAnsi="Arial"/>
          <w:sz w:val="22"/>
          <w:szCs w:val="22"/>
          <w:color w:val="auto"/>
        </w:rPr>
        <w:t>Marriott anticipates full year 2020 owned, leased, and other revenue, net of direct expenses, could total $295 million to $305 million.</w:t>
      </w:r>
    </w:p>
    <w:p>
      <w:pPr>
        <w:spacing w:after="0" w:line="322" w:lineRule="exact"/>
        <w:rPr>
          <w:sz w:val="20"/>
          <w:szCs w:val="20"/>
          <w:color w:val="auto"/>
        </w:rPr>
      </w:pPr>
    </w:p>
    <w:p>
      <w:pPr>
        <w:ind w:right="60"/>
        <w:spacing w:after="0" w:line="366" w:lineRule="auto"/>
        <w:rPr>
          <w:sz w:val="20"/>
          <w:szCs w:val="20"/>
          <w:color w:val="auto"/>
        </w:rPr>
      </w:pPr>
      <w:r>
        <w:rPr>
          <w:rFonts w:ascii="Arial" w:cs="Arial" w:eastAsia="Arial" w:hAnsi="Arial"/>
          <w:sz w:val="22"/>
          <w:szCs w:val="22"/>
          <w:color w:val="auto"/>
        </w:rPr>
        <w:t>The company assumes full year 2020 general, administrative, and other expenses could total $950 million to $960 million, a 1 to 2 percent increase from full year 2019 expenses of $938 million.</w:t>
      </w:r>
    </w:p>
    <w:p>
      <w:pPr>
        <w:spacing w:after="0" w:line="322" w:lineRule="exact"/>
        <w:rPr>
          <w:sz w:val="20"/>
          <w:szCs w:val="20"/>
          <w:color w:val="auto"/>
        </w:rPr>
      </w:pPr>
    </w:p>
    <w:p>
      <w:pPr>
        <w:ind w:right="60"/>
        <w:spacing w:after="0" w:line="373" w:lineRule="auto"/>
        <w:rPr>
          <w:sz w:val="20"/>
          <w:szCs w:val="20"/>
          <w:color w:val="auto"/>
        </w:rPr>
      </w:pPr>
      <w:r>
        <w:rPr>
          <w:rFonts w:ascii="Arial" w:cs="Arial" w:eastAsia="Arial" w:hAnsi="Arial"/>
          <w:sz w:val="21"/>
          <w:szCs w:val="21"/>
          <w:color w:val="auto"/>
        </w:rPr>
        <w:t>The company anticipates full year 2020 diluted EPS could total $6.30 to $6.53. Full year 2019 adjusted diluted EPS totaled $6.00. Full year adjusted 2019 results include the benefit of $143 million pre-tax ($0.33 per share) of asset sale gains in gains and other income, net, partially offset by asset impairments of $114 million pre-tax ($0.25 per share) in depreciation, amortization, and other expenses. See page A-3 for the 2019 adjusted diluted EPS calculation.</w:t>
      </w:r>
    </w:p>
    <w:p>
      <w:pPr>
        <w:spacing w:after="0" w:line="322" w:lineRule="exact"/>
        <w:rPr>
          <w:sz w:val="20"/>
          <w:szCs w:val="20"/>
          <w:color w:val="auto"/>
        </w:rPr>
      </w:pPr>
    </w:p>
    <w:p>
      <w:pPr>
        <w:spacing w:after="0" w:line="366" w:lineRule="auto"/>
        <w:rPr>
          <w:sz w:val="20"/>
          <w:szCs w:val="20"/>
          <w:color w:val="auto"/>
        </w:rPr>
      </w:pPr>
      <w:r>
        <w:rPr>
          <w:rFonts w:ascii="Arial" w:cs="Arial" w:eastAsia="Arial" w:hAnsi="Arial"/>
          <w:sz w:val="22"/>
          <w:szCs w:val="22"/>
          <w:color w:val="auto"/>
        </w:rPr>
        <w:t>Marriott assumes full year 2020 adjusted EBITDA could total $3,700 million to $3,800 million, a 3 to 6 percent increase over 2019 adjusted EBITDA of $3,575 million. See page A-13 for the adjusted EBITDA calculation.</w:t>
      </w:r>
    </w:p>
    <w:p>
      <w:pPr>
        <w:spacing w:after="0" w:line="272" w:lineRule="exact"/>
        <w:rPr>
          <w:sz w:val="20"/>
          <w:szCs w:val="20"/>
          <w:color w:val="auto"/>
        </w:rPr>
      </w:pPr>
    </w:p>
    <w:tbl>
      <w:tblPr>
        <w:tblLayout w:type="fixed"/>
        <w:tblInd w:w="1380" w:type="dxa"/>
        <w:tblCellMar>
          <w:top w:w="0" w:type="dxa"/>
          <w:left w:w="0" w:type="dxa"/>
          <w:bottom w:w="0" w:type="dxa"/>
          <w:right w:w="0" w:type="dxa"/>
        </w:tblCellMar>
      </w:tblPr>
      <w:tr>
        <w:trPr>
          <w:trHeight w:val="287"/>
        </w:trPr>
        <w:tc>
          <w:tcPr>
            <w:tcW w:w="2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3"/>
              </w:rPr>
              <w:t>First Quarter 2020</w:t>
            </w:r>
            <w:r>
              <w:rPr>
                <w:rFonts w:ascii="Arial" w:cs="Arial" w:eastAsia="Arial" w:hAnsi="Arial"/>
                <w:sz w:val="25"/>
                <w:szCs w:val="25"/>
                <w:b w:val="1"/>
                <w:bCs w:val="1"/>
                <w:color w:val="auto"/>
                <w:w w:val="93"/>
                <w:vertAlign w:val="superscript"/>
              </w:rPr>
              <w:t>1</w:t>
            </w:r>
          </w:p>
        </w:tc>
        <w:tc>
          <w:tcPr>
            <w:tcW w:w="980" w:type="dxa"/>
            <w:vAlign w:val="bottom"/>
          </w:tcPr>
          <w:p>
            <w:pPr>
              <w:spacing w:after="0"/>
              <w:rPr>
                <w:sz w:val="24"/>
                <w:szCs w:val="24"/>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Full Year 2020</w:t>
            </w:r>
            <w:r>
              <w:rPr>
                <w:rFonts w:ascii="Arial" w:cs="Arial" w:eastAsia="Arial" w:hAnsi="Arial"/>
                <w:sz w:val="25"/>
                <w:szCs w:val="25"/>
                <w:b w:val="1"/>
                <w:bCs w:val="1"/>
                <w:color w:val="auto"/>
                <w:w w:val="90"/>
                <w:vertAlign w:val="superscript"/>
              </w:rPr>
              <w:t>1</w:t>
            </w:r>
          </w:p>
        </w:tc>
      </w:tr>
      <w:tr>
        <w:trPr>
          <w:trHeight w:val="20"/>
        </w:trPr>
        <w:tc>
          <w:tcPr>
            <w:tcW w:w="2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1"/>
        </w:trPr>
        <w:tc>
          <w:tcPr>
            <w:tcW w:w="2760" w:type="dxa"/>
            <w:vAlign w:val="bottom"/>
          </w:tcPr>
          <w:p>
            <w:pPr>
              <w:spacing w:after="0"/>
              <w:rPr>
                <w:sz w:val="20"/>
                <w:szCs w:val="20"/>
                <w:color w:val="auto"/>
              </w:rPr>
            </w:pPr>
            <w:r>
              <w:rPr>
                <w:rFonts w:ascii="Arial" w:cs="Arial" w:eastAsia="Arial" w:hAnsi="Arial"/>
                <w:sz w:val="18"/>
                <w:szCs w:val="18"/>
                <w:color w:val="auto"/>
              </w:rPr>
              <w:t>Gross fee revenues</w:t>
            </w:r>
          </w:p>
        </w:tc>
        <w:tc>
          <w:tcPr>
            <w:tcW w:w="280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$940 million to $950 million</w:t>
            </w:r>
          </w:p>
        </w:tc>
        <w:tc>
          <w:tcPr>
            <w:tcW w:w="2740" w:type="dxa"/>
            <w:vAlign w:val="bottom"/>
            <w:gridSpan w:val="3"/>
          </w:tcPr>
          <w:p>
            <w:pPr>
              <w:jc w:val="center"/>
              <w:ind w:left="290"/>
              <w:spacing w:after="0"/>
              <w:rPr>
                <w:sz w:val="20"/>
                <w:szCs w:val="20"/>
                <w:color w:val="auto"/>
              </w:rPr>
            </w:pPr>
            <w:r>
              <w:rPr>
                <w:rFonts w:ascii="Arial" w:cs="Arial" w:eastAsia="Arial" w:hAnsi="Arial"/>
                <w:sz w:val="18"/>
                <w:szCs w:val="18"/>
                <w:color w:val="auto"/>
                <w:w w:val="95"/>
              </w:rPr>
              <w:t>$3,960 million to $4,040 million</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Contract investment amortization</w:t>
            </w:r>
          </w:p>
        </w:tc>
        <w:tc>
          <w:tcPr>
            <w:tcW w:w="600" w:type="dxa"/>
            <w:vAlign w:val="bottom"/>
          </w:tcPr>
          <w:p>
            <w:pPr>
              <w:spacing w:after="0"/>
              <w:rPr>
                <w:sz w:val="23"/>
                <w:szCs w:val="23"/>
                <w:color w:val="auto"/>
              </w:rPr>
            </w:pPr>
          </w:p>
        </w:tc>
        <w:tc>
          <w:tcPr>
            <w:tcW w:w="2200" w:type="dxa"/>
            <w:vAlign w:val="bottom"/>
            <w:gridSpan w:val="2"/>
          </w:tcPr>
          <w:p>
            <w:pPr>
              <w:jc w:val="center"/>
              <w:ind w:right="680"/>
              <w:spacing w:after="0"/>
              <w:rPr>
                <w:sz w:val="20"/>
                <w:szCs w:val="20"/>
                <w:color w:val="auto"/>
              </w:rPr>
            </w:pPr>
            <w:r>
              <w:rPr>
                <w:rFonts w:ascii="Arial" w:cs="Arial" w:eastAsia="Arial" w:hAnsi="Arial"/>
                <w:sz w:val="18"/>
                <w:szCs w:val="18"/>
                <w:color w:val="auto"/>
                <w:w w:val="96"/>
              </w:rPr>
              <w:t>Approx. $18 million</w:t>
            </w:r>
          </w:p>
        </w:tc>
        <w:tc>
          <w:tcPr>
            <w:tcW w:w="2740" w:type="dxa"/>
            <w:vAlign w:val="bottom"/>
            <w:gridSpan w:val="3"/>
          </w:tcPr>
          <w:p>
            <w:pPr>
              <w:jc w:val="center"/>
              <w:ind w:left="290"/>
              <w:spacing w:after="0"/>
              <w:rPr>
                <w:sz w:val="20"/>
                <w:szCs w:val="20"/>
                <w:color w:val="auto"/>
              </w:rPr>
            </w:pPr>
            <w:r>
              <w:rPr>
                <w:rFonts w:ascii="Arial" w:cs="Arial" w:eastAsia="Arial" w:hAnsi="Arial"/>
                <w:sz w:val="18"/>
                <w:szCs w:val="18"/>
                <w:color w:val="auto"/>
                <w:w w:val="96"/>
              </w:rPr>
              <w:t>Approx. $75 million</w:t>
            </w:r>
          </w:p>
        </w:tc>
      </w:tr>
      <w:tr>
        <w:trPr>
          <w:trHeight w:val="256"/>
        </w:trPr>
        <w:tc>
          <w:tcPr>
            <w:tcW w:w="2760" w:type="dxa"/>
            <w:vAlign w:val="bottom"/>
          </w:tcPr>
          <w:p>
            <w:pPr>
              <w:spacing w:after="0"/>
              <w:rPr>
                <w:sz w:val="20"/>
                <w:szCs w:val="20"/>
                <w:color w:val="auto"/>
              </w:rPr>
            </w:pPr>
            <w:r>
              <w:rPr>
                <w:rFonts w:ascii="Arial" w:cs="Arial" w:eastAsia="Arial" w:hAnsi="Arial"/>
                <w:sz w:val="18"/>
                <w:szCs w:val="18"/>
                <w:color w:val="auto"/>
                <w:w w:val="99"/>
              </w:rPr>
              <w:t>Owned, leased and other revenue,</w:t>
            </w:r>
          </w:p>
        </w:tc>
        <w:tc>
          <w:tcPr>
            <w:tcW w:w="6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net of direct expenses</w:t>
            </w:r>
          </w:p>
        </w:tc>
        <w:tc>
          <w:tcPr>
            <w:tcW w:w="600" w:type="dxa"/>
            <w:vAlign w:val="bottom"/>
          </w:tcPr>
          <w:p>
            <w:pPr>
              <w:spacing w:after="0"/>
              <w:rPr>
                <w:sz w:val="20"/>
                <w:szCs w:val="20"/>
                <w:color w:val="auto"/>
              </w:rPr>
            </w:pPr>
          </w:p>
        </w:tc>
        <w:tc>
          <w:tcPr>
            <w:tcW w:w="2200" w:type="dxa"/>
            <w:vAlign w:val="bottom"/>
            <w:gridSpan w:val="2"/>
          </w:tcPr>
          <w:p>
            <w:pPr>
              <w:jc w:val="center"/>
              <w:ind w:right="680"/>
              <w:spacing w:after="0"/>
              <w:rPr>
                <w:sz w:val="20"/>
                <w:szCs w:val="20"/>
                <w:color w:val="auto"/>
              </w:rPr>
            </w:pPr>
            <w:r>
              <w:rPr>
                <w:rFonts w:ascii="Arial" w:cs="Arial" w:eastAsia="Arial" w:hAnsi="Arial"/>
                <w:sz w:val="18"/>
                <w:szCs w:val="18"/>
                <w:color w:val="auto"/>
                <w:w w:val="96"/>
              </w:rPr>
              <w:t>Approx. $50 million</w:t>
            </w:r>
          </w:p>
        </w:tc>
        <w:tc>
          <w:tcPr>
            <w:tcW w:w="2740" w:type="dxa"/>
            <w:vAlign w:val="bottom"/>
            <w:gridSpan w:val="3"/>
          </w:tcPr>
          <w:p>
            <w:pPr>
              <w:jc w:val="center"/>
              <w:ind w:left="290"/>
              <w:spacing w:after="0"/>
              <w:rPr>
                <w:sz w:val="20"/>
                <w:szCs w:val="20"/>
                <w:color w:val="auto"/>
              </w:rPr>
            </w:pPr>
            <w:r>
              <w:rPr>
                <w:rFonts w:ascii="Arial" w:cs="Arial" w:eastAsia="Arial" w:hAnsi="Arial"/>
                <w:sz w:val="18"/>
                <w:szCs w:val="18"/>
                <w:color w:val="auto"/>
                <w:w w:val="95"/>
              </w:rPr>
              <w:t>$295 million to $305 million</w:t>
            </w:r>
          </w:p>
        </w:tc>
      </w:tr>
      <w:tr>
        <w:trPr>
          <w:trHeight w:val="256"/>
        </w:trPr>
        <w:tc>
          <w:tcPr>
            <w:tcW w:w="2760" w:type="dxa"/>
            <w:vAlign w:val="bottom"/>
          </w:tcPr>
          <w:p>
            <w:pPr>
              <w:spacing w:after="0"/>
              <w:rPr>
                <w:sz w:val="20"/>
                <w:szCs w:val="20"/>
                <w:color w:val="auto"/>
              </w:rPr>
            </w:pPr>
            <w:r>
              <w:rPr>
                <w:rFonts w:ascii="Arial" w:cs="Arial" w:eastAsia="Arial" w:hAnsi="Arial"/>
                <w:sz w:val="18"/>
                <w:szCs w:val="18"/>
                <w:color w:val="auto"/>
              </w:rPr>
              <w:t>Depreciation, amortization, and</w:t>
            </w:r>
          </w:p>
        </w:tc>
        <w:tc>
          <w:tcPr>
            <w:tcW w:w="6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other expenses</w:t>
            </w:r>
          </w:p>
        </w:tc>
        <w:tc>
          <w:tcPr>
            <w:tcW w:w="600" w:type="dxa"/>
            <w:vAlign w:val="bottom"/>
          </w:tcPr>
          <w:p>
            <w:pPr>
              <w:spacing w:after="0"/>
              <w:rPr>
                <w:sz w:val="20"/>
                <w:szCs w:val="20"/>
                <w:color w:val="auto"/>
              </w:rPr>
            </w:pPr>
          </w:p>
        </w:tc>
        <w:tc>
          <w:tcPr>
            <w:tcW w:w="2200" w:type="dxa"/>
            <w:vAlign w:val="bottom"/>
            <w:gridSpan w:val="2"/>
          </w:tcPr>
          <w:p>
            <w:pPr>
              <w:jc w:val="center"/>
              <w:ind w:right="680"/>
              <w:spacing w:after="0"/>
              <w:rPr>
                <w:sz w:val="20"/>
                <w:szCs w:val="20"/>
                <w:color w:val="auto"/>
              </w:rPr>
            </w:pPr>
            <w:r>
              <w:rPr>
                <w:rFonts w:ascii="Arial" w:cs="Arial" w:eastAsia="Arial" w:hAnsi="Arial"/>
                <w:sz w:val="18"/>
                <w:szCs w:val="18"/>
                <w:color w:val="auto"/>
                <w:w w:val="96"/>
              </w:rPr>
              <w:t>Approx. $53 million</w:t>
            </w:r>
          </w:p>
        </w:tc>
        <w:tc>
          <w:tcPr>
            <w:tcW w:w="2740" w:type="dxa"/>
            <w:vAlign w:val="bottom"/>
            <w:gridSpan w:val="3"/>
          </w:tcPr>
          <w:p>
            <w:pPr>
              <w:jc w:val="center"/>
              <w:ind w:left="290"/>
              <w:spacing w:after="0"/>
              <w:rPr>
                <w:sz w:val="20"/>
                <w:szCs w:val="20"/>
                <w:color w:val="auto"/>
              </w:rPr>
            </w:pPr>
            <w:r>
              <w:rPr>
                <w:rFonts w:ascii="Arial" w:cs="Arial" w:eastAsia="Arial" w:hAnsi="Arial"/>
                <w:sz w:val="18"/>
                <w:szCs w:val="18"/>
                <w:color w:val="auto"/>
                <w:w w:val="95"/>
              </w:rPr>
              <w:t>Approx. $225 million</w:t>
            </w:r>
          </w:p>
        </w:tc>
      </w:tr>
      <w:tr>
        <w:trPr>
          <w:trHeight w:val="256"/>
        </w:trPr>
        <w:tc>
          <w:tcPr>
            <w:tcW w:w="2760" w:type="dxa"/>
            <w:vAlign w:val="bottom"/>
          </w:tcPr>
          <w:p>
            <w:pPr>
              <w:spacing w:after="0"/>
              <w:rPr>
                <w:sz w:val="20"/>
                <w:szCs w:val="20"/>
                <w:color w:val="auto"/>
              </w:rPr>
            </w:pPr>
            <w:r>
              <w:rPr>
                <w:rFonts w:ascii="Arial" w:cs="Arial" w:eastAsia="Arial" w:hAnsi="Arial"/>
                <w:sz w:val="18"/>
                <w:szCs w:val="18"/>
                <w:color w:val="auto"/>
              </w:rPr>
              <w:t>General, administrative, and other</w:t>
            </w:r>
          </w:p>
        </w:tc>
        <w:tc>
          <w:tcPr>
            <w:tcW w:w="6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expenses</w:t>
            </w:r>
          </w:p>
        </w:tc>
        <w:tc>
          <w:tcPr>
            <w:tcW w:w="280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$230 million to $234 million</w:t>
            </w:r>
          </w:p>
        </w:tc>
        <w:tc>
          <w:tcPr>
            <w:tcW w:w="2740" w:type="dxa"/>
            <w:vAlign w:val="bottom"/>
            <w:gridSpan w:val="3"/>
          </w:tcPr>
          <w:p>
            <w:pPr>
              <w:jc w:val="center"/>
              <w:ind w:left="290"/>
              <w:spacing w:after="0"/>
              <w:rPr>
                <w:sz w:val="20"/>
                <w:szCs w:val="20"/>
                <w:color w:val="auto"/>
              </w:rPr>
            </w:pPr>
            <w:r>
              <w:rPr>
                <w:rFonts w:ascii="Arial" w:cs="Arial" w:eastAsia="Arial" w:hAnsi="Arial"/>
                <w:sz w:val="18"/>
                <w:szCs w:val="18"/>
                <w:color w:val="auto"/>
                <w:w w:val="95"/>
              </w:rPr>
              <w:t>$950 million to $960 million</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Operating income</w:t>
            </w:r>
          </w:p>
        </w:tc>
        <w:tc>
          <w:tcPr>
            <w:tcW w:w="280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$685 million to $699 million</w:t>
            </w:r>
          </w:p>
        </w:tc>
        <w:tc>
          <w:tcPr>
            <w:tcW w:w="2740" w:type="dxa"/>
            <w:vAlign w:val="bottom"/>
            <w:gridSpan w:val="3"/>
          </w:tcPr>
          <w:p>
            <w:pPr>
              <w:jc w:val="center"/>
              <w:ind w:left="290"/>
              <w:spacing w:after="0"/>
              <w:rPr>
                <w:sz w:val="20"/>
                <w:szCs w:val="20"/>
                <w:color w:val="auto"/>
              </w:rPr>
            </w:pPr>
            <w:r>
              <w:rPr>
                <w:rFonts w:ascii="Arial" w:cs="Arial" w:eastAsia="Arial" w:hAnsi="Arial"/>
                <w:sz w:val="18"/>
                <w:szCs w:val="18"/>
                <w:color w:val="auto"/>
                <w:w w:val="95"/>
              </w:rPr>
              <w:t>$2,995 million to $3,095 million</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Gains and other income</w:t>
            </w:r>
          </w:p>
        </w:tc>
        <w:tc>
          <w:tcPr>
            <w:tcW w:w="600" w:type="dxa"/>
            <w:vAlign w:val="bottom"/>
          </w:tcPr>
          <w:p>
            <w:pPr>
              <w:spacing w:after="0"/>
              <w:rPr>
                <w:sz w:val="23"/>
                <w:szCs w:val="23"/>
                <w:color w:val="auto"/>
              </w:rPr>
            </w:pPr>
          </w:p>
        </w:tc>
        <w:tc>
          <w:tcPr>
            <w:tcW w:w="2200" w:type="dxa"/>
            <w:vAlign w:val="bottom"/>
            <w:gridSpan w:val="2"/>
          </w:tcPr>
          <w:p>
            <w:pPr>
              <w:jc w:val="center"/>
              <w:ind w:right="680"/>
              <w:spacing w:after="0"/>
              <w:rPr>
                <w:sz w:val="20"/>
                <w:szCs w:val="20"/>
                <w:color w:val="auto"/>
              </w:rPr>
            </w:pPr>
            <w:r>
              <w:rPr>
                <w:rFonts w:ascii="Arial" w:cs="Arial" w:eastAsia="Arial" w:hAnsi="Arial"/>
                <w:sz w:val="18"/>
                <w:szCs w:val="18"/>
                <w:color w:val="auto"/>
                <w:w w:val="97"/>
              </w:rPr>
              <w:t>Approx. $2 million</w:t>
            </w:r>
          </w:p>
        </w:tc>
        <w:tc>
          <w:tcPr>
            <w:tcW w:w="2740" w:type="dxa"/>
            <w:vAlign w:val="bottom"/>
            <w:gridSpan w:val="3"/>
          </w:tcPr>
          <w:p>
            <w:pPr>
              <w:jc w:val="center"/>
              <w:ind w:left="290"/>
              <w:spacing w:after="0"/>
              <w:rPr>
                <w:sz w:val="20"/>
                <w:szCs w:val="20"/>
                <w:color w:val="auto"/>
              </w:rPr>
            </w:pPr>
            <w:r>
              <w:rPr>
                <w:rFonts w:ascii="Arial" w:cs="Arial" w:eastAsia="Arial" w:hAnsi="Arial"/>
                <w:sz w:val="18"/>
                <w:szCs w:val="18"/>
                <w:color w:val="auto"/>
                <w:w w:val="96"/>
              </w:rPr>
              <w:t>Approx. $10 million</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Net interest expense</w:t>
            </w:r>
          </w:p>
        </w:tc>
        <w:tc>
          <w:tcPr>
            <w:tcW w:w="600" w:type="dxa"/>
            <w:vAlign w:val="bottom"/>
          </w:tcPr>
          <w:p>
            <w:pPr>
              <w:spacing w:after="0"/>
              <w:rPr>
                <w:sz w:val="23"/>
                <w:szCs w:val="23"/>
                <w:color w:val="auto"/>
              </w:rPr>
            </w:pPr>
          </w:p>
        </w:tc>
        <w:tc>
          <w:tcPr>
            <w:tcW w:w="2200" w:type="dxa"/>
            <w:vAlign w:val="bottom"/>
            <w:gridSpan w:val="2"/>
          </w:tcPr>
          <w:p>
            <w:pPr>
              <w:jc w:val="center"/>
              <w:ind w:right="680"/>
              <w:spacing w:after="0"/>
              <w:rPr>
                <w:sz w:val="20"/>
                <w:szCs w:val="20"/>
                <w:color w:val="auto"/>
              </w:rPr>
            </w:pPr>
            <w:r>
              <w:rPr>
                <w:rFonts w:ascii="Arial" w:cs="Arial" w:eastAsia="Arial" w:hAnsi="Arial"/>
                <w:sz w:val="18"/>
                <w:szCs w:val="18"/>
                <w:color w:val="auto"/>
                <w:w w:val="96"/>
              </w:rPr>
              <w:t>Approx. $85 million</w:t>
            </w:r>
          </w:p>
        </w:tc>
        <w:tc>
          <w:tcPr>
            <w:tcW w:w="2740" w:type="dxa"/>
            <w:vAlign w:val="bottom"/>
            <w:gridSpan w:val="3"/>
          </w:tcPr>
          <w:p>
            <w:pPr>
              <w:jc w:val="center"/>
              <w:ind w:left="290"/>
              <w:spacing w:after="0"/>
              <w:rPr>
                <w:sz w:val="20"/>
                <w:szCs w:val="20"/>
                <w:color w:val="auto"/>
              </w:rPr>
            </w:pPr>
            <w:r>
              <w:rPr>
                <w:rFonts w:ascii="Arial" w:cs="Arial" w:eastAsia="Arial" w:hAnsi="Arial"/>
                <w:sz w:val="18"/>
                <w:szCs w:val="18"/>
                <w:color w:val="auto"/>
                <w:w w:val="95"/>
              </w:rPr>
              <w:t>Approx. $360 million</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Equity in earnings (losses)</w:t>
            </w:r>
          </w:p>
        </w:tc>
        <w:tc>
          <w:tcPr>
            <w:tcW w:w="600" w:type="dxa"/>
            <w:vAlign w:val="bottom"/>
          </w:tcPr>
          <w:p>
            <w:pPr>
              <w:spacing w:after="0"/>
              <w:rPr>
                <w:sz w:val="23"/>
                <w:szCs w:val="23"/>
                <w:color w:val="auto"/>
              </w:rPr>
            </w:pPr>
          </w:p>
        </w:tc>
        <w:tc>
          <w:tcPr>
            <w:tcW w:w="2200" w:type="dxa"/>
            <w:vAlign w:val="bottom"/>
            <w:gridSpan w:val="2"/>
          </w:tcPr>
          <w:p>
            <w:pPr>
              <w:jc w:val="center"/>
              <w:ind w:right="680"/>
              <w:spacing w:after="0"/>
              <w:rPr>
                <w:sz w:val="20"/>
                <w:szCs w:val="20"/>
                <w:color w:val="auto"/>
              </w:rPr>
            </w:pPr>
            <w:r>
              <w:rPr>
                <w:rFonts w:ascii="Arial" w:cs="Arial" w:eastAsia="Arial" w:hAnsi="Arial"/>
                <w:sz w:val="18"/>
                <w:szCs w:val="18"/>
                <w:color w:val="auto"/>
                <w:w w:val="97"/>
              </w:rPr>
              <w:t>Approx. $5 million</w:t>
            </w:r>
          </w:p>
        </w:tc>
        <w:tc>
          <w:tcPr>
            <w:tcW w:w="2740" w:type="dxa"/>
            <w:vAlign w:val="bottom"/>
            <w:gridSpan w:val="3"/>
          </w:tcPr>
          <w:p>
            <w:pPr>
              <w:jc w:val="center"/>
              <w:ind w:left="290"/>
              <w:spacing w:after="0"/>
              <w:rPr>
                <w:sz w:val="20"/>
                <w:szCs w:val="20"/>
                <w:color w:val="auto"/>
              </w:rPr>
            </w:pPr>
            <w:r>
              <w:rPr>
                <w:rFonts w:ascii="Arial" w:cs="Arial" w:eastAsia="Arial" w:hAnsi="Arial"/>
                <w:sz w:val="18"/>
                <w:szCs w:val="18"/>
                <w:color w:val="auto"/>
                <w:w w:val="96"/>
              </w:rPr>
              <w:t>Approx. $15 million</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600" w:type="dxa"/>
            <w:vAlign w:val="bottom"/>
          </w:tcPr>
          <w:p>
            <w:pPr>
              <w:spacing w:after="0"/>
              <w:rPr>
                <w:sz w:val="23"/>
                <w:szCs w:val="23"/>
                <w:color w:val="auto"/>
              </w:rPr>
            </w:pPr>
          </w:p>
        </w:tc>
        <w:tc>
          <w:tcPr>
            <w:tcW w:w="220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$1.47 to $1.50</w:t>
            </w:r>
          </w:p>
        </w:tc>
        <w:tc>
          <w:tcPr>
            <w:tcW w:w="980" w:type="dxa"/>
            <w:vAlign w:val="bottom"/>
          </w:tcPr>
          <w:p>
            <w:pPr>
              <w:spacing w:after="0"/>
              <w:rPr>
                <w:sz w:val="23"/>
                <w:szCs w:val="23"/>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$6.30 to $6.53</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Effective tax rate</w:t>
            </w:r>
          </w:p>
        </w:tc>
        <w:tc>
          <w:tcPr>
            <w:tcW w:w="600" w:type="dxa"/>
            <w:vAlign w:val="bottom"/>
          </w:tcPr>
          <w:p>
            <w:pPr>
              <w:spacing w:after="0"/>
              <w:rPr>
                <w:sz w:val="23"/>
                <w:szCs w:val="23"/>
                <w:color w:val="auto"/>
              </w:rPr>
            </w:pPr>
          </w:p>
        </w:tc>
        <w:tc>
          <w:tcPr>
            <w:tcW w:w="2200" w:type="dxa"/>
            <w:vAlign w:val="bottom"/>
            <w:gridSpan w:val="2"/>
          </w:tcPr>
          <w:p>
            <w:pPr>
              <w:jc w:val="center"/>
              <w:ind w:right="680"/>
              <w:spacing w:after="0"/>
              <w:rPr>
                <w:sz w:val="20"/>
                <w:szCs w:val="20"/>
                <w:color w:val="auto"/>
              </w:rPr>
            </w:pPr>
            <w:r>
              <w:rPr>
                <w:rFonts w:ascii="Arial" w:cs="Arial" w:eastAsia="Arial" w:hAnsi="Arial"/>
                <w:sz w:val="18"/>
                <w:szCs w:val="18"/>
                <w:color w:val="auto"/>
                <w:w w:val="87"/>
              </w:rPr>
              <w:t>20.8 percent</w:t>
            </w:r>
          </w:p>
        </w:tc>
        <w:tc>
          <w:tcPr>
            <w:tcW w:w="980" w:type="dxa"/>
            <w:vAlign w:val="bottom"/>
          </w:tcPr>
          <w:p>
            <w:pPr>
              <w:spacing w:after="0"/>
              <w:rPr>
                <w:sz w:val="23"/>
                <w:szCs w:val="23"/>
                <w:color w:val="auto"/>
              </w:rPr>
            </w:pPr>
          </w:p>
        </w:tc>
        <w:tc>
          <w:tcPr>
            <w:tcW w:w="176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23.3 percent</w:t>
            </w:r>
          </w:p>
        </w:tc>
      </w:tr>
    </w:tbl>
    <w:p>
      <w:pPr>
        <w:spacing w:after="0" w:line="13" w:lineRule="exact"/>
        <w:rPr>
          <w:sz w:val="20"/>
          <w:szCs w:val="20"/>
          <w:color w:val="auto"/>
        </w:rPr>
      </w:pPr>
    </w:p>
    <w:p>
      <w:pPr>
        <w:ind w:left="340" w:right="160" w:hanging="332"/>
        <w:spacing w:after="0" w:line="226" w:lineRule="auto"/>
        <w:tabs>
          <w:tab w:leader="none" w:pos="11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base case outlook provided in this table does not reflect any impact from the Coronavirus outbreak, merger-related costs and charges, cost reimbursement revenue, or reimbursed expenses, each of which the company cannot forecast with sufficient accuracy, and which may be significant. It also does not reflect any additional asset sales that may occur during the year.</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02" w:right="299" w:bottom="1440" w:gutter="0" w:footer="0" w:header="0"/>
        </w:sectPr>
      </w:pPr>
    </w:p>
    <w:bookmarkStart w:id="11" w:name="page12"/>
    <w:bookmarkEnd w:id="11"/>
    <w:p>
      <w:pPr>
        <w:spacing w:after="0" w:line="421" w:lineRule="auto"/>
        <w:rPr>
          <w:sz w:val="20"/>
          <w:szCs w:val="20"/>
          <w:color w:val="auto"/>
        </w:rPr>
      </w:pPr>
      <w:r>
        <w:rPr>
          <w:rFonts w:ascii="Arial" w:cs="Arial" w:eastAsia="Arial" w:hAnsi="Arial"/>
          <w:sz w:val="19"/>
          <w:szCs w:val="19"/>
          <w:color w:val="auto"/>
        </w:rPr>
        <w:t>The company assumes investment spending in 2020 will total approximately $700 million to $800 million, including approximately $200 million for maintenance capital. Investment spending also includes other capital expenditures (including property acquisitions), new mezzanine financing and mortgage notes, contract acquisition costs, and equity and other investments. The company estimates nearly 40 percent of its 2020 investment spending will be reimbursed or recycled over time.</w:t>
      </w:r>
    </w:p>
    <w:p>
      <w:pPr>
        <w:spacing w:after="0" w:line="290" w:lineRule="exact"/>
        <w:rPr>
          <w:sz w:val="20"/>
          <w:szCs w:val="20"/>
          <w:color w:val="auto"/>
        </w:rPr>
      </w:pPr>
    </w:p>
    <w:p>
      <w:pPr>
        <w:ind w:right="420"/>
        <w:spacing w:after="0" w:line="431" w:lineRule="auto"/>
        <w:rPr>
          <w:sz w:val="20"/>
          <w:szCs w:val="20"/>
          <w:color w:val="auto"/>
        </w:rPr>
      </w:pPr>
      <w:r>
        <w:rPr>
          <w:rFonts w:ascii="Arial" w:cs="Arial" w:eastAsia="Arial" w:hAnsi="Arial"/>
          <w:sz w:val="19"/>
          <w:szCs w:val="19"/>
          <w:color w:val="auto"/>
        </w:rPr>
        <w:t>In the first quarter, the company sold a hotel in North America for $268 million subject to a long-term management agreement. Assuming the level of investment spending noted above, no additional asset sales, and no impact from the Coronavirus, cash returned to shareholders through share repurchases and dividends could total more than $2.4 billion for full year 2020.</w:t>
      </w:r>
    </w:p>
    <w:p>
      <w:pPr>
        <w:spacing w:after="0" w:line="281" w:lineRule="exact"/>
        <w:rPr>
          <w:sz w:val="20"/>
          <w:szCs w:val="20"/>
          <w:color w:val="auto"/>
        </w:rPr>
      </w:pPr>
    </w:p>
    <w:p>
      <w:pPr>
        <w:ind w:right="220"/>
        <w:spacing w:after="0" w:line="421" w:lineRule="auto"/>
        <w:rPr>
          <w:sz w:val="20"/>
          <w:szCs w:val="20"/>
          <w:color w:val="auto"/>
        </w:rPr>
      </w:pPr>
      <w:r>
        <w:rPr>
          <w:rFonts w:ascii="Arial" w:cs="Arial" w:eastAsia="Arial" w:hAnsi="Arial"/>
          <w:sz w:val="19"/>
          <w:szCs w:val="19"/>
          <w:color w:val="auto"/>
        </w:rPr>
        <w:t>Marriott International, Inc. (NASDAQ: MAR) will conduct its quarterly earnings review for the investment community and news media on Thursday, February 27, 2020 at 10:00 a.m. Eastern Time (ET). The conference call will be webcast simultaneously via Marriott’s investor relations website at http://</w:t>
      </w:r>
      <w:r>
        <w:rPr>
          <w:rFonts w:ascii="Arial" w:cs="Arial" w:eastAsia="Arial" w:hAnsi="Arial"/>
          <w:sz w:val="19"/>
          <w:szCs w:val="19"/>
          <w:u w:val="single" w:color="auto"/>
          <w:color w:val="auto"/>
        </w:rPr>
        <w:t>www.marriott.com/investor</w:t>
      </w:r>
      <w:r>
        <w:rPr>
          <w:rFonts w:ascii="Arial" w:cs="Arial" w:eastAsia="Arial" w:hAnsi="Arial"/>
          <w:sz w:val="19"/>
          <w:szCs w:val="19"/>
          <w:color w:val="auto"/>
        </w:rPr>
        <w:t>, click on “Events &amp; Presentations” and click on the quarterly conference call link. A replay will be available at that same website until February 27, 2021.</w:t>
      </w:r>
    </w:p>
    <w:p>
      <w:pPr>
        <w:spacing w:after="0" w:line="290" w:lineRule="exact"/>
        <w:rPr>
          <w:sz w:val="20"/>
          <w:szCs w:val="20"/>
          <w:color w:val="auto"/>
        </w:rPr>
      </w:pPr>
    </w:p>
    <w:p>
      <w:pPr>
        <w:jc w:val="both"/>
        <w:ind w:right="100"/>
        <w:spacing w:after="0" w:line="378" w:lineRule="auto"/>
        <w:rPr>
          <w:sz w:val="20"/>
          <w:szCs w:val="20"/>
          <w:color w:val="auto"/>
        </w:rPr>
      </w:pPr>
      <w:r>
        <w:rPr>
          <w:rFonts w:ascii="Arial" w:cs="Arial" w:eastAsia="Arial" w:hAnsi="Arial"/>
          <w:sz w:val="21"/>
          <w:szCs w:val="21"/>
          <w:color w:val="auto"/>
        </w:rPr>
        <w:t>The telephone dial-in number for the conference call is 706-679-3455 and the conference ID is 1548644. A telephone replay of the conference call will be available from 2:00 p.m. ET, Thursday, February 27, 2020 until 8:00 p.m. ET, Thursday, March 5, 2020. To access the replay, call 404-537-3406. The conference ID for the recording is 1548644.</w:t>
      </w:r>
    </w:p>
    <w:p>
      <w:pPr>
        <w:spacing w:after="0" w:line="258"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b w:val="1"/>
          <w:bCs w:val="1"/>
          <w:u w:val="single" w:color="auto"/>
          <w:color w:val="auto"/>
        </w:rPr>
        <w:t>Note on forward-looking statements:</w:t>
      </w:r>
      <w:r>
        <w:rPr>
          <w:rFonts w:ascii="Arial" w:cs="Arial" w:eastAsia="Arial" w:hAnsi="Arial"/>
          <w:sz w:val="19"/>
          <w:szCs w:val="19"/>
          <w:b w:val="1"/>
          <w:bCs w:val="1"/>
          <w:color w:val="auto"/>
        </w:rPr>
        <w:t xml:space="preserve"> </w:t>
      </w:r>
      <w:r>
        <w:rPr>
          <w:rFonts w:ascii="Arial" w:cs="Arial" w:eastAsia="Arial" w:hAnsi="Arial"/>
          <w:sz w:val="19"/>
          <w:szCs w:val="19"/>
          <w:color w:val="auto"/>
        </w:rPr>
        <w:t>This press release and accompanying schedules contain “forward-looking statements”</w:t>
      </w:r>
      <w:r>
        <w:rPr>
          <w:rFonts w:ascii="Arial" w:cs="Arial" w:eastAsia="Arial" w:hAnsi="Arial"/>
          <w:sz w:val="19"/>
          <w:szCs w:val="19"/>
          <w:b w:val="1"/>
          <w:bCs w:val="1"/>
          <w:color w:val="auto"/>
        </w:rPr>
        <w:t xml:space="preserve"> </w:t>
      </w:r>
      <w:r>
        <w:rPr>
          <w:rFonts w:ascii="Arial" w:cs="Arial" w:eastAsia="Arial" w:hAnsi="Arial"/>
          <w:sz w:val="19"/>
          <w:szCs w:val="19"/>
          <w:color w:val="auto"/>
        </w:rPr>
        <w:t>within the meaning of federal securities laws, including our RevPAR, profit margin and earnings outlook and assumptions; the number of lodging properties we expect to add to or remove from our system in the future; our expectations about investment spending and tax rate; estimates about impact to fee revenue from the Coronavirus outbreak as compared to our 2020 base case outlook; and similar statements concerning anticipated future events and expectations that are not historical facts. We caution you that these statements are not guarantees of future performance and are subject to numerous risks and uncertainties, including those we identify below and other risk factors that we identify in our most recent quarterly report on Form 10-Q or annual report on Form 10-K. Risks that could affect forward-looking statements in this press release include changes in market conditions; changes in global and regional economies; supply and demand changes for hotel rooms; the impact of the Coronavirus outbreak, whether in Greater China, elsewhere in our Asia Pacific region or globally; competitive conditions in the lodging industry; relationships with clients and property owners; the availability of capital to finance hotel growth and refurbishment; the extent to which we experience adverse effects from the data security incident; changes in tax laws in countries in which we earn significant income; and changes to our estimates of the impact of new accounting standards. Any of these factors could cause actual results to differ materially from the expectations we express or imply in this press release. We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02" w:right="239" w:bottom="1440" w:gutter="0" w:footer="0" w:header="0"/>
        </w:sectPr>
      </w:pPr>
    </w:p>
    <w:bookmarkStart w:id="12" w:name="page13"/>
    <w:bookmarkEnd w:id="12"/>
    <w:p>
      <w:pPr>
        <w:ind w:right="500"/>
        <w:spacing w:after="0" w:line="287" w:lineRule="auto"/>
        <w:rPr>
          <w:sz w:val="20"/>
          <w:szCs w:val="20"/>
          <w:color w:val="auto"/>
        </w:rPr>
      </w:pPr>
      <w:r>
        <w:rPr>
          <w:rFonts w:ascii="Arial" w:cs="Arial" w:eastAsia="Arial" w:hAnsi="Arial"/>
          <w:sz w:val="21"/>
          <w:szCs w:val="21"/>
          <w:color w:val="auto"/>
        </w:rPr>
        <w:t>make these forward-looking statements as of February 26, 2020. We undertake no obligation to publicly update or revise any forward-looking statement, whether as a result of new information, future events or otherwise.</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 xml:space="preserve">Marriott International, Inc. </w:t>
      </w:r>
      <w:r>
        <w:rPr>
          <w:rFonts w:ascii="Arial" w:cs="Arial" w:eastAsia="Arial" w:hAnsi="Arial"/>
          <w:sz w:val="19"/>
          <w:szCs w:val="19"/>
          <w:color w:val="auto"/>
        </w:rPr>
        <w:t>(NASDAQ: MAR) is based in Bethesda, Maryland, USA, and encompasses a portfolio of more than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7,300 properties under 30 leading brands spanning 134 countries and territories. Marriott operates and franchises hotels and licenses vacation ownership resorts all around the world. The company offers Marriott Bonvoy™, its highly-awarded travel program. For more information, please visit our website at </w:t>
      </w:r>
      <w:r>
        <w:rPr>
          <w:rFonts w:ascii="Arial" w:cs="Arial" w:eastAsia="Arial" w:hAnsi="Arial"/>
          <w:sz w:val="19"/>
          <w:szCs w:val="19"/>
          <w:u w:val="single" w:color="auto"/>
          <w:color w:val="auto"/>
        </w:rPr>
        <w:t>www.marriott.com</w:t>
      </w:r>
      <w:r>
        <w:rPr>
          <w:rFonts w:ascii="Arial" w:cs="Arial" w:eastAsia="Arial" w:hAnsi="Arial"/>
          <w:sz w:val="19"/>
          <w:szCs w:val="19"/>
          <w:color w:val="auto"/>
        </w:rPr>
        <w:t xml:space="preserve">, and for the latest company news, visit </w:t>
      </w:r>
      <w:r>
        <w:rPr>
          <w:rFonts w:ascii="Arial" w:cs="Arial" w:eastAsia="Arial" w:hAnsi="Arial"/>
          <w:sz w:val="19"/>
          <w:szCs w:val="19"/>
          <w:u w:val="single" w:color="auto"/>
          <w:color w:val="auto"/>
        </w:rPr>
        <w:t>www.marriottnewscenter.com</w:t>
      </w:r>
      <w:r>
        <w:rPr>
          <w:rFonts w:ascii="Arial" w:cs="Arial" w:eastAsia="Arial" w:hAnsi="Arial"/>
          <w:sz w:val="19"/>
          <w:szCs w:val="19"/>
          <w:color w:val="auto"/>
        </w:rPr>
        <w:t xml:space="preserve">. </w:t>
      </w:r>
      <w:r>
        <w:rPr>
          <w:rFonts w:ascii="Arial" w:cs="Arial" w:eastAsia="Arial" w:hAnsi="Arial"/>
          <w:sz w:val="19"/>
          <w:szCs w:val="19"/>
          <w:color w:val="1C1C1C"/>
        </w:rPr>
        <w:t>In addition, connect with us</w:t>
      </w:r>
      <w:r>
        <w:rPr>
          <w:rFonts w:ascii="Arial" w:cs="Arial" w:eastAsia="Arial" w:hAnsi="Arial"/>
          <w:sz w:val="19"/>
          <w:szCs w:val="19"/>
          <w:color w:val="auto"/>
        </w:rPr>
        <w:t xml:space="preserve"> on </w:t>
      </w:r>
      <w:r>
        <w:rPr>
          <w:rFonts w:ascii="Arial" w:cs="Arial" w:eastAsia="Arial" w:hAnsi="Arial"/>
          <w:sz w:val="19"/>
          <w:szCs w:val="19"/>
          <w:u w:val="single" w:color="auto"/>
          <w:color w:val="auto"/>
        </w:rPr>
        <w:t>Facebook</w:t>
      </w:r>
      <w:r>
        <w:rPr>
          <w:rFonts w:ascii="Arial" w:cs="Arial" w:eastAsia="Arial" w:hAnsi="Arial"/>
          <w:sz w:val="19"/>
          <w:szCs w:val="19"/>
          <w:color w:val="auto"/>
        </w:rPr>
        <w:t xml:space="preserve"> and @MarriottIntl on </w:t>
      </w:r>
      <w:r>
        <w:rPr>
          <w:rFonts w:ascii="Arial" w:cs="Arial" w:eastAsia="Arial" w:hAnsi="Arial"/>
          <w:sz w:val="19"/>
          <w:szCs w:val="19"/>
          <w:u w:val="single" w:color="auto"/>
          <w:color w:val="auto"/>
        </w:rPr>
        <w:t>Twitter</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Instagram</w:t>
      </w:r>
      <w:r>
        <w:rPr>
          <w:rFonts w:ascii="Arial" w:cs="Arial" w:eastAsia="Arial" w:hAnsi="Arial"/>
          <w:sz w:val="19"/>
          <w:szCs w:val="19"/>
          <w:color w:val="auto"/>
        </w:rPr>
        <w:t>.</w:t>
      </w:r>
    </w:p>
    <w:p>
      <w:pPr>
        <w:spacing w:after="0" w:line="143" w:lineRule="exact"/>
        <w:rPr>
          <w:sz w:val="20"/>
          <w:szCs w:val="20"/>
          <w:color w:val="auto"/>
        </w:rPr>
      </w:pPr>
    </w:p>
    <w:p>
      <w:pPr>
        <w:jc w:val="right"/>
        <w:ind w:right="8320"/>
        <w:spacing w:after="0"/>
        <w:tabs>
          <w:tab w:leader="none" w:pos="9980" w:val="left"/>
        </w:tabs>
        <w:rPr>
          <w:sz w:val="20"/>
          <w:szCs w:val="20"/>
          <w:color w:val="auto"/>
        </w:rPr>
      </w:pPr>
      <w:r>
        <w:rPr>
          <w:rFonts w:ascii="Arial" w:cs="Arial" w:eastAsia="Arial" w:hAnsi="Arial"/>
          <w:sz w:val="22"/>
          <w:szCs w:val="22"/>
          <w:b w:val="1"/>
          <w:bCs w:val="1"/>
          <w:color w:val="auto"/>
        </w:rPr>
        <w:t>CONTACT:</w:t>
      </w:r>
      <w:r>
        <w:rPr>
          <w:sz w:val="20"/>
          <w:szCs w:val="20"/>
          <w:color w:val="auto"/>
        </w:rPr>
        <w:tab/>
      </w:r>
      <w:r>
        <w:rPr>
          <w:rFonts w:ascii="Arial" w:cs="Arial" w:eastAsia="Arial" w:hAnsi="Arial"/>
          <w:sz w:val="19"/>
          <w:szCs w:val="19"/>
          <w:color w:val="auto"/>
        </w:rPr>
        <w:t>Brendan McManus</w:t>
      </w:r>
    </w:p>
    <w:p>
      <w:pPr>
        <w:spacing w:after="0" w:line="28" w:lineRule="exact"/>
        <w:rPr>
          <w:sz w:val="20"/>
          <w:szCs w:val="20"/>
          <w:color w:val="auto"/>
        </w:rPr>
      </w:pPr>
    </w:p>
    <w:p>
      <w:pPr>
        <w:jc w:val="right"/>
        <w:ind w:right="8260"/>
        <w:spacing w:after="0"/>
        <w:rPr>
          <w:sz w:val="20"/>
          <w:szCs w:val="20"/>
          <w:color w:val="auto"/>
        </w:rPr>
      </w:pPr>
      <w:r>
        <w:rPr>
          <w:rFonts w:ascii="Arial" w:cs="Arial" w:eastAsia="Arial" w:hAnsi="Arial"/>
          <w:sz w:val="22"/>
          <w:szCs w:val="22"/>
          <w:color w:val="auto"/>
        </w:rPr>
        <w:t>Corporate Relations</w:t>
      </w:r>
    </w:p>
    <w:p>
      <w:pPr>
        <w:spacing w:after="0" w:line="17" w:lineRule="exact"/>
        <w:rPr>
          <w:sz w:val="20"/>
          <w:szCs w:val="20"/>
          <w:color w:val="auto"/>
        </w:rPr>
      </w:pPr>
    </w:p>
    <w:p>
      <w:pPr>
        <w:ind w:left="1300" w:right="7100" w:firstLine="5"/>
        <w:spacing w:after="0" w:line="323" w:lineRule="auto"/>
        <w:tabs>
          <w:tab w:leader="none" w:pos="1822"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380-4495 </w:t>
      </w:r>
      <w:r>
        <w:rPr>
          <w:rFonts w:ascii="Arial" w:cs="Arial" w:eastAsia="Arial" w:hAnsi="Arial"/>
          <w:sz w:val="19"/>
          <w:szCs w:val="19"/>
          <w:u w:val="single" w:color="auto"/>
          <w:color w:val="auto"/>
        </w:rPr>
        <w:t>brendan.mcmanus@marriott.com</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Jackie Burka McConagha</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Investor Relations</w:t>
      </w:r>
    </w:p>
    <w:p>
      <w:pPr>
        <w:spacing w:after="0" w:line="4" w:lineRule="exact"/>
        <w:rPr>
          <w:sz w:val="20"/>
          <w:szCs w:val="20"/>
          <w:color w:val="auto"/>
        </w:rPr>
      </w:pPr>
    </w:p>
    <w:p>
      <w:pPr>
        <w:ind w:left="1300" w:right="7620" w:firstLine="5"/>
        <w:spacing w:after="0" w:line="323" w:lineRule="auto"/>
        <w:tabs>
          <w:tab w:leader="none" w:pos="1822"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380-5126 </w:t>
      </w:r>
      <w:r>
        <w:rPr>
          <w:rFonts w:ascii="Arial" w:cs="Arial" w:eastAsia="Arial" w:hAnsi="Arial"/>
          <w:sz w:val="19"/>
          <w:szCs w:val="19"/>
          <w:u w:val="single" w:color="auto"/>
          <w:color w:val="auto"/>
        </w:rPr>
        <w:t>jackie.burka@marriott.com</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Betsy Dahm</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Investor Relations</w:t>
      </w:r>
    </w:p>
    <w:p>
      <w:pPr>
        <w:spacing w:after="0" w:line="4" w:lineRule="exact"/>
        <w:rPr>
          <w:sz w:val="20"/>
          <w:szCs w:val="20"/>
          <w:color w:val="auto"/>
        </w:rPr>
      </w:pPr>
    </w:p>
    <w:p>
      <w:pPr>
        <w:ind w:left="1300" w:right="7700" w:firstLine="5"/>
        <w:spacing w:after="0" w:line="323" w:lineRule="auto"/>
        <w:tabs>
          <w:tab w:leader="none" w:pos="1822"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380-3372 </w:t>
      </w:r>
      <w:r>
        <w:rPr>
          <w:rFonts w:ascii="Arial" w:cs="Arial" w:eastAsia="Arial" w:hAnsi="Arial"/>
          <w:sz w:val="19"/>
          <w:szCs w:val="19"/>
          <w:u w:val="single" w:color="auto"/>
          <w:color w:val="auto"/>
        </w:rPr>
        <w:t>betsy.dahm@marriott.com</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IRPR#1</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22"/>
          <w:szCs w:val="22"/>
          <w:i w:val="1"/>
          <w:iCs w:val="1"/>
          <w:color w:val="auto"/>
        </w:rPr>
        <w:t>Tables follow</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348"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10060" w:type="dxa"/>
            <w:vAlign w:val="bottom"/>
          </w:tcPr>
          <w:p>
            <w:pPr>
              <w:jc w:val="center"/>
              <w:ind w:left="610"/>
              <w:spacing w:after="0"/>
              <w:rPr>
                <w:sz w:val="20"/>
                <w:szCs w:val="20"/>
                <w:color w:val="auto"/>
              </w:rPr>
            </w:pPr>
            <w:r>
              <w:rPr>
                <w:rFonts w:ascii="Arial" w:cs="Arial" w:eastAsia="Arial" w:hAnsi="Arial"/>
                <w:sz w:val="18"/>
                <w:szCs w:val="18"/>
                <w:b w:val="1"/>
                <w:bCs w:val="1"/>
                <w:color w:val="auto"/>
              </w:rPr>
              <w:t>MARRIOTT INTERNATIONAL, INC.</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0"/>
        </w:trPr>
        <w:tc>
          <w:tcPr>
            <w:tcW w:w="10060" w:type="dxa"/>
            <w:vAlign w:val="bottom"/>
          </w:tcPr>
          <w:p>
            <w:pPr>
              <w:jc w:val="center"/>
              <w:ind w:left="590"/>
              <w:spacing w:after="0"/>
              <w:rPr>
                <w:sz w:val="20"/>
                <w:szCs w:val="20"/>
                <w:color w:val="auto"/>
              </w:rPr>
            </w:pPr>
            <w:r>
              <w:rPr>
                <w:rFonts w:ascii="Arial" w:cs="Arial" w:eastAsia="Arial" w:hAnsi="Arial"/>
                <w:sz w:val="18"/>
                <w:szCs w:val="18"/>
                <w:b w:val="1"/>
                <w:bCs w:val="1"/>
                <w:color w:val="auto"/>
                <w:w w:val="96"/>
              </w:rPr>
              <w:t>PRESS RELEASE SCHEDULES</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10060" w:type="dxa"/>
            <w:vAlign w:val="bottom"/>
          </w:tcPr>
          <w:p>
            <w:pPr>
              <w:jc w:val="center"/>
              <w:ind w:left="610"/>
              <w:spacing w:after="0"/>
              <w:rPr>
                <w:sz w:val="20"/>
                <w:szCs w:val="20"/>
                <w:color w:val="auto"/>
              </w:rPr>
            </w:pPr>
            <w:r>
              <w:rPr>
                <w:rFonts w:ascii="Arial" w:cs="Arial" w:eastAsia="Arial" w:hAnsi="Arial"/>
                <w:sz w:val="18"/>
                <w:szCs w:val="18"/>
                <w:b w:val="1"/>
                <w:bCs w:val="1"/>
                <w:color w:val="auto"/>
                <w:w w:val="98"/>
              </w:rPr>
              <w:t>TABLE OF CONTENTS</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10060" w:type="dxa"/>
            <w:vAlign w:val="bottom"/>
          </w:tcPr>
          <w:p>
            <w:pPr>
              <w:jc w:val="center"/>
              <w:ind w:left="610"/>
              <w:spacing w:after="0"/>
              <w:rPr>
                <w:sz w:val="20"/>
                <w:szCs w:val="20"/>
                <w:color w:val="auto"/>
              </w:rPr>
            </w:pPr>
            <w:r>
              <w:rPr>
                <w:rFonts w:ascii="Arial" w:cs="Arial" w:eastAsia="Arial" w:hAnsi="Arial"/>
                <w:sz w:val="18"/>
                <w:szCs w:val="18"/>
                <w:b w:val="1"/>
                <w:bCs w:val="1"/>
                <w:color w:val="auto"/>
                <w:w w:val="96"/>
              </w:rPr>
              <w:t>QUARTER 4, 2019</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54"/>
        </w:trPr>
        <w:tc>
          <w:tcPr>
            <w:tcW w:w="10060" w:type="dxa"/>
            <w:vAlign w:val="bottom"/>
          </w:tcPr>
          <w:p>
            <w:pPr>
              <w:spacing w:after="0"/>
              <w:rPr>
                <w:sz w:val="20"/>
                <w:szCs w:val="20"/>
                <w:color w:val="auto"/>
              </w:rPr>
            </w:pPr>
            <w:r>
              <w:rPr>
                <w:rFonts w:ascii="Arial" w:cs="Arial" w:eastAsia="Arial" w:hAnsi="Arial"/>
                <w:sz w:val="18"/>
                <w:szCs w:val="18"/>
                <w:color w:val="auto"/>
              </w:rPr>
              <w:t>Consolidated Statements of Income - As Reported</w:t>
            </w:r>
          </w:p>
        </w:tc>
        <w:tc>
          <w:tcPr>
            <w:tcW w:w="280" w:type="dxa"/>
            <w:vAlign w:val="bottom"/>
            <w:tcBorders>
              <w:bottom w:val="single" w:sz="8" w:color="0000EE"/>
            </w:tcBorders>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A-1</w:t>
              </w:r>
            </w:hyperlink>
          </w:p>
        </w:tc>
        <w:tc>
          <w:tcPr>
            <w:tcW w:w="80" w:type="dxa"/>
            <w:vAlign w:val="bottom"/>
          </w:tcPr>
          <w:p>
            <w:pPr>
              <w:spacing w:after="0"/>
              <w:rPr>
                <w:sz w:val="24"/>
                <w:szCs w:val="24"/>
                <w:color w:val="auto"/>
              </w:rPr>
            </w:pPr>
          </w:p>
        </w:tc>
      </w:tr>
      <w:tr>
        <w:trPr>
          <w:trHeight w:val="250"/>
        </w:trPr>
        <w:tc>
          <w:tcPr>
            <w:tcW w:w="10060" w:type="dxa"/>
            <w:vAlign w:val="bottom"/>
          </w:tcPr>
          <w:p>
            <w:pPr>
              <w:spacing w:after="0"/>
              <w:rPr>
                <w:sz w:val="20"/>
                <w:szCs w:val="20"/>
                <w:color w:val="auto"/>
              </w:rPr>
            </w:pPr>
            <w:r>
              <w:rPr>
                <w:rFonts w:ascii="Arial" w:cs="Arial" w:eastAsia="Arial" w:hAnsi="Arial"/>
                <w:sz w:val="18"/>
                <w:szCs w:val="18"/>
                <w:color w:val="auto"/>
              </w:rPr>
              <w:t>Non-GAAP Financial Measures</w:t>
            </w:r>
          </w:p>
        </w:tc>
        <w:tc>
          <w:tcPr>
            <w:tcW w:w="280" w:type="dxa"/>
            <w:vAlign w:val="bottom"/>
            <w:tcBorders>
              <w:bottom w:val="single" w:sz="8" w:color="0000EE"/>
            </w:tcBorders>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A-3</w:t>
              </w:r>
            </w:hyperlink>
          </w:p>
        </w:tc>
        <w:tc>
          <w:tcPr>
            <w:tcW w:w="80" w:type="dxa"/>
            <w:vAlign w:val="bottom"/>
          </w:tcPr>
          <w:p>
            <w:pPr>
              <w:spacing w:after="0"/>
              <w:rPr>
                <w:sz w:val="21"/>
                <w:szCs w:val="21"/>
                <w:color w:val="auto"/>
              </w:rPr>
            </w:pPr>
          </w:p>
        </w:tc>
      </w:tr>
      <w:tr>
        <w:trPr>
          <w:trHeight w:val="250"/>
        </w:trPr>
        <w:tc>
          <w:tcPr>
            <w:tcW w:w="10060" w:type="dxa"/>
            <w:vAlign w:val="bottom"/>
          </w:tcPr>
          <w:p>
            <w:pPr>
              <w:spacing w:after="0"/>
              <w:rPr>
                <w:sz w:val="20"/>
                <w:szCs w:val="20"/>
                <w:color w:val="auto"/>
              </w:rPr>
            </w:pPr>
            <w:r>
              <w:rPr>
                <w:rFonts w:ascii="Arial" w:cs="Arial" w:eastAsia="Arial" w:hAnsi="Arial"/>
                <w:sz w:val="18"/>
                <w:szCs w:val="18"/>
                <w:color w:val="auto"/>
              </w:rPr>
              <w:t>Total Lodging Products</w:t>
            </w:r>
          </w:p>
        </w:tc>
        <w:tc>
          <w:tcPr>
            <w:tcW w:w="280" w:type="dxa"/>
            <w:vAlign w:val="bottom"/>
            <w:tcBorders>
              <w:bottom w:val="single" w:sz="8" w:color="0000EE"/>
            </w:tcBorders>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A-4</w:t>
              </w:r>
            </w:hyperlink>
          </w:p>
        </w:tc>
        <w:tc>
          <w:tcPr>
            <w:tcW w:w="80" w:type="dxa"/>
            <w:vAlign w:val="bottom"/>
          </w:tcPr>
          <w:p>
            <w:pPr>
              <w:spacing w:after="0"/>
              <w:rPr>
                <w:sz w:val="21"/>
                <w:szCs w:val="21"/>
                <w:color w:val="auto"/>
              </w:rPr>
            </w:pPr>
          </w:p>
        </w:tc>
      </w:tr>
      <w:tr>
        <w:trPr>
          <w:trHeight w:val="250"/>
        </w:trPr>
        <w:tc>
          <w:tcPr>
            <w:tcW w:w="10060" w:type="dxa"/>
            <w:vAlign w:val="bottom"/>
          </w:tcPr>
          <w:p>
            <w:pPr>
              <w:spacing w:after="0"/>
              <w:rPr>
                <w:sz w:val="20"/>
                <w:szCs w:val="20"/>
                <w:color w:val="auto"/>
              </w:rPr>
            </w:pPr>
            <w:r>
              <w:rPr>
                <w:rFonts w:ascii="Arial" w:cs="Arial" w:eastAsia="Arial" w:hAnsi="Arial"/>
                <w:sz w:val="18"/>
                <w:szCs w:val="18"/>
                <w:color w:val="auto"/>
              </w:rPr>
              <w:t>Key Lodging Statistics</w:t>
            </w:r>
          </w:p>
        </w:tc>
        <w:tc>
          <w:tcPr>
            <w:tcW w:w="280" w:type="dxa"/>
            <w:vAlign w:val="bottom"/>
            <w:tcBorders>
              <w:bottom w:val="single" w:sz="8" w:color="0000EE"/>
            </w:tcBorders>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A-7</w:t>
              </w:r>
            </w:hyperlink>
          </w:p>
        </w:tc>
        <w:tc>
          <w:tcPr>
            <w:tcW w:w="80" w:type="dxa"/>
            <w:vAlign w:val="bottom"/>
          </w:tcPr>
          <w:p>
            <w:pPr>
              <w:spacing w:after="0"/>
              <w:rPr>
                <w:sz w:val="21"/>
                <w:szCs w:val="21"/>
                <w:color w:val="auto"/>
              </w:rPr>
            </w:pPr>
          </w:p>
        </w:tc>
      </w:tr>
      <w:tr>
        <w:trPr>
          <w:trHeight w:val="250"/>
        </w:trPr>
        <w:tc>
          <w:tcPr>
            <w:tcW w:w="10060" w:type="dxa"/>
            <w:vAlign w:val="bottom"/>
          </w:tcPr>
          <w:p>
            <w:pPr>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A-11</w:t>
              </w:r>
            </w:hyperlink>
          </w:p>
        </w:tc>
      </w:tr>
      <w:tr>
        <w:trPr>
          <w:trHeight w:val="250"/>
        </w:trPr>
        <w:tc>
          <w:tcPr>
            <w:tcW w:w="10060" w:type="dxa"/>
            <w:vAlign w:val="bottom"/>
          </w:tcPr>
          <w:p>
            <w:pPr>
              <w:spacing w:after="0"/>
              <w:rPr>
                <w:sz w:val="20"/>
                <w:szCs w:val="20"/>
                <w:color w:val="auto"/>
              </w:rPr>
            </w:pPr>
            <w:r>
              <w:rPr>
                <w:rFonts w:ascii="Arial" w:cs="Arial" w:eastAsia="Arial" w:hAnsi="Arial"/>
                <w:sz w:val="18"/>
                <w:szCs w:val="18"/>
                <w:color w:val="auto"/>
              </w:rPr>
              <w:t>Adjusted EBITDA Forecast - First Quarter 2020</w:t>
            </w:r>
          </w:p>
        </w:tc>
        <w:tc>
          <w:tcPr>
            <w:tcW w:w="3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A-12</w:t>
              </w:r>
            </w:hyperlink>
          </w:p>
        </w:tc>
      </w:tr>
      <w:tr>
        <w:trPr>
          <w:trHeight w:val="250"/>
        </w:trPr>
        <w:tc>
          <w:tcPr>
            <w:tcW w:w="10060" w:type="dxa"/>
            <w:vAlign w:val="bottom"/>
          </w:tcPr>
          <w:p>
            <w:pPr>
              <w:spacing w:after="0"/>
              <w:rPr>
                <w:sz w:val="20"/>
                <w:szCs w:val="20"/>
                <w:color w:val="auto"/>
              </w:rPr>
            </w:pPr>
            <w:r>
              <w:rPr>
                <w:rFonts w:ascii="Arial" w:cs="Arial" w:eastAsia="Arial" w:hAnsi="Arial"/>
                <w:sz w:val="18"/>
                <w:szCs w:val="18"/>
                <w:color w:val="auto"/>
              </w:rPr>
              <w:t>Adjusted EBITDA Forecast - Full Year 2020</w:t>
            </w:r>
          </w:p>
        </w:tc>
        <w:tc>
          <w:tcPr>
            <w:tcW w:w="3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A-13</w:t>
              </w:r>
            </w:hyperlink>
          </w:p>
        </w:tc>
      </w:tr>
      <w:tr>
        <w:trPr>
          <w:trHeight w:val="250"/>
        </w:trPr>
        <w:tc>
          <w:tcPr>
            <w:tcW w:w="10060" w:type="dxa"/>
            <w:vAlign w:val="bottom"/>
          </w:tcPr>
          <w:p>
            <w:pPr>
              <w:spacing w:after="0"/>
              <w:rPr>
                <w:sz w:val="20"/>
                <w:szCs w:val="20"/>
                <w:color w:val="auto"/>
              </w:rPr>
            </w:pPr>
            <w:r>
              <w:rPr>
                <w:rFonts w:ascii="Arial" w:cs="Arial" w:eastAsia="Arial" w:hAnsi="Arial"/>
                <w:sz w:val="18"/>
                <w:szCs w:val="18"/>
                <w:color w:val="auto"/>
              </w:rPr>
              <w:t>Explanation of Non-GAAP Financial and Performance Measures</w:t>
            </w:r>
          </w:p>
        </w:tc>
        <w:tc>
          <w:tcPr>
            <w:tcW w:w="3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A-14</w:t>
              </w:r>
            </w:hyperlink>
          </w:p>
        </w:tc>
      </w:tr>
    </w:tbl>
    <w:p>
      <w:pPr>
        <w:sectPr>
          <w:pgSz w:w="11900" w:h="16838" w:orient="portrait"/>
          <w:cols w:equalWidth="0" w:num="1">
            <w:col w:w="10420"/>
          </w:cols>
          <w:pgMar w:left="580" w:top="499" w:right="899" w:bottom="1440" w:gutter="0" w:footer="0" w:header="0"/>
        </w:sectPr>
      </w:pPr>
    </w:p>
    <w:bookmarkStart w:id="14" w:name="page15"/>
    <w:bookmarkEnd w:id="14"/>
    <w:p>
      <w:pPr>
        <w:jc w:val="center"/>
        <w:ind w:right="70"/>
        <w:spacing w:after="0"/>
        <w:rPr>
          <w:sz w:val="20"/>
          <w:szCs w:val="20"/>
          <w:color w:val="auto"/>
        </w:rPr>
      </w:pPr>
      <w:r>
        <w:rPr>
          <w:rFonts w:ascii="Arial" w:cs="Arial" w:eastAsia="Arial" w:hAnsi="Arial"/>
          <w:sz w:val="16"/>
          <w:szCs w:val="16"/>
          <w:b w:val="1"/>
          <w:bCs w:val="1"/>
          <w:color w:val="auto"/>
        </w:rPr>
        <w:t>MARRIOTT INTERNATIONAL, INC.</w:t>
      </w:r>
    </w:p>
    <w:p>
      <w:pPr>
        <w:spacing w:after="0" w:line="23" w:lineRule="exact"/>
        <w:rPr>
          <w:sz w:val="20"/>
          <w:szCs w:val="20"/>
          <w:color w:val="auto"/>
        </w:rPr>
      </w:pPr>
    </w:p>
    <w:p>
      <w:pPr>
        <w:jc w:val="center"/>
        <w:ind w:right="70"/>
        <w:spacing w:after="0"/>
        <w:rPr>
          <w:sz w:val="20"/>
          <w:szCs w:val="20"/>
          <w:color w:val="auto"/>
        </w:rPr>
      </w:pPr>
      <w:r>
        <w:rPr>
          <w:rFonts w:ascii="Arial" w:cs="Arial" w:eastAsia="Arial" w:hAnsi="Arial"/>
          <w:sz w:val="16"/>
          <w:szCs w:val="16"/>
          <w:b w:val="1"/>
          <w:bCs w:val="1"/>
          <w:color w:val="auto"/>
        </w:rPr>
        <w:t>CONSOLIDATED STATEMENTS OF INCOME - AS REPORTED</w:t>
      </w:r>
    </w:p>
    <w:p>
      <w:pPr>
        <w:jc w:val="center"/>
        <w:ind w:right="70"/>
        <w:spacing w:after="0"/>
        <w:rPr>
          <w:sz w:val="20"/>
          <w:szCs w:val="20"/>
          <w:color w:val="auto"/>
        </w:rPr>
      </w:pPr>
      <w:r>
        <w:rPr>
          <w:rFonts w:ascii="Arial" w:cs="Arial" w:eastAsia="Arial" w:hAnsi="Arial"/>
          <w:sz w:val="16"/>
          <w:szCs w:val="16"/>
          <w:b w:val="1"/>
          <w:bCs w:val="1"/>
          <w:color w:val="auto"/>
        </w:rPr>
        <w:t>FOURTH QUARTER 2019 AND 2018</w:t>
      </w:r>
    </w:p>
    <w:p>
      <w:pPr>
        <w:jc w:val="center"/>
        <w:ind w:right="70"/>
        <w:spacing w:after="0"/>
        <w:rPr>
          <w:sz w:val="20"/>
          <w:szCs w:val="20"/>
          <w:color w:val="auto"/>
        </w:rPr>
      </w:pPr>
      <w:r>
        <w:rPr>
          <w:rFonts w:ascii="Arial" w:cs="Arial" w:eastAsia="Arial" w:hAnsi="Arial"/>
          <w:sz w:val="14"/>
          <w:szCs w:val="14"/>
          <w:color w:val="auto"/>
        </w:rPr>
        <w:t>(in millions except per share amounts, unaudited)</w:t>
      </w:r>
    </w:p>
    <w:p>
      <w:pPr>
        <w:spacing w:after="0" w:line="215" w:lineRule="exact"/>
        <w:rPr>
          <w:sz w:val="20"/>
          <w:szCs w:val="20"/>
          <w:color w:val="auto"/>
        </w:rPr>
      </w:pPr>
    </w:p>
    <w:tbl>
      <w:tblPr>
        <w:tblLayout w:type="fixed"/>
        <w:tblInd w:w="13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As Reported</w:t>
            </w:r>
          </w:p>
        </w:tc>
        <w:tc>
          <w:tcPr>
            <w:tcW w:w="240" w:type="dxa"/>
            <w:vAlign w:val="bottom"/>
          </w:tcPr>
          <w:p>
            <w:pPr>
              <w:spacing w:after="0"/>
              <w:rPr>
                <w:sz w:val="16"/>
                <w:szCs w:val="16"/>
                <w:color w:val="auto"/>
              </w:rPr>
            </w:pPr>
          </w:p>
        </w:tc>
        <w:tc>
          <w:tcPr>
            <w:tcW w:w="182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As Reported</w:t>
            </w:r>
          </w:p>
        </w:tc>
        <w:tc>
          <w:tcPr>
            <w:tcW w:w="10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9"/>
                <w:szCs w:val="19"/>
                <w:color w:val="auto"/>
              </w:rPr>
            </w:pPr>
          </w:p>
        </w:tc>
        <w:tc>
          <w:tcPr>
            <w:tcW w:w="182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5"/>
              </w:rPr>
              <w:t>Better/(Worse)</w:t>
            </w:r>
          </w:p>
        </w:tc>
        <w:tc>
          <w:tcPr>
            <w:tcW w:w="0" w:type="dxa"/>
            <w:vAlign w:val="bottom"/>
          </w:tcPr>
          <w:p>
            <w:pPr>
              <w:spacing w:after="0"/>
              <w:rPr>
                <w:sz w:val="1"/>
                <w:szCs w:val="1"/>
                <w:color w:val="auto"/>
              </w:rPr>
            </w:pPr>
          </w:p>
        </w:tc>
      </w:tr>
      <w:tr>
        <w:trPr>
          <w:trHeight w:val="316"/>
        </w:trPr>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Pr>
          <w:p>
            <w:pPr>
              <w:spacing w:after="0"/>
              <w:rPr>
                <w:sz w:val="24"/>
                <w:szCs w:val="24"/>
                <w:color w:val="auto"/>
              </w:rPr>
            </w:pPr>
          </w:p>
        </w:tc>
        <w:tc>
          <w:tcPr>
            <w:tcW w:w="1820" w:type="dxa"/>
            <w:vAlign w:val="bottom"/>
          </w:tcPr>
          <w:p>
            <w:pPr>
              <w:jc w:val="center"/>
              <w:ind w:right="188"/>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1"/>
              </w:rPr>
              <w:t>Reported 2019 vs. 2018</w:t>
            </w: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4"/>
                <w:szCs w:val="14"/>
                <w:color w:val="auto"/>
              </w:rPr>
              <w:t>Base management fees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288</w:t>
            </w:r>
          </w:p>
        </w:tc>
        <w:tc>
          <w:tcPr>
            <w:tcW w:w="3020" w:type="dxa"/>
            <w:vAlign w:val="bottom"/>
            <w:gridSpan w:val="2"/>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4"/>
                <w:szCs w:val="14"/>
                <w:color w:val="auto"/>
              </w:rPr>
              <w:t xml:space="preserve">Franchise fees </w:t>
            </w:r>
            <w:r>
              <w:rPr>
                <w:rFonts w:ascii="Arial" w:cs="Arial" w:eastAsia="Arial" w:hAnsi="Arial"/>
                <w:sz w:val="8"/>
                <w:szCs w:val="8"/>
                <w:color w:val="auto"/>
              </w:rPr>
              <w:t>1</w:t>
            </w:r>
          </w:p>
        </w:tc>
        <w:tc>
          <w:tcPr>
            <w:tcW w:w="24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455</w:t>
            </w:r>
          </w:p>
        </w:tc>
        <w:tc>
          <w:tcPr>
            <w:tcW w:w="3020" w:type="dxa"/>
            <w:vAlign w:val="bottom"/>
            <w:gridSpan w:val="2"/>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3580" w:type="dxa"/>
            <w:vAlign w:val="bottom"/>
          </w:tcPr>
          <w:p>
            <w:pPr>
              <w:spacing w:after="0"/>
              <w:rPr>
                <w:sz w:val="20"/>
                <w:szCs w:val="20"/>
                <w:color w:val="auto"/>
              </w:rPr>
            </w:pPr>
            <w:r>
              <w:rPr>
                <w:rFonts w:ascii="Arial" w:cs="Arial" w:eastAsia="Arial" w:hAnsi="Arial"/>
                <w:sz w:val="14"/>
                <w:szCs w:val="14"/>
                <w:color w:val="auto"/>
              </w:rPr>
              <w:t>Incentive management fees</w:t>
            </w: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w:t>
            </w:r>
          </w:p>
        </w:tc>
        <w:tc>
          <w:tcPr>
            <w:tcW w:w="3020" w:type="dxa"/>
            <w:vAlign w:val="bottom"/>
            <w:gridSpan w:val="2"/>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4"/>
        </w:trPr>
        <w:tc>
          <w:tcPr>
            <w:tcW w:w="3580" w:type="dxa"/>
            <w:vAlign w:val="bottom"/>
          </w:tcPr>
          <w:p>
            <w:pPr>
              <w:ind w:left="120"/>
              <w:spacing w:after="0"/>
              <w:rPr>
                <w:sz w:val="20"/>
                <w:szCs w:val="20"/>
                <w:color w:val="auto"/>
              </w:rPr>
            </w:pPr>
            <w:r>
              <w:rPr>
                <w:rFonts w:ascii="Arial" w:cs="Arial" w:eastAsia="Arial" w:hAnsi="Arial"/>
                <w:sz w:val="14"/>
                <w:szCs w:val="14"/>
                <w:b w:val="1"/>
                <w:bCs w:val="1"/>
                <w:color w:val="auto"/>
              </w:rPr>
              <w:t>Gross Fee Revenues</w:t>
            </w:r>
          </w:p>
        </w:tc>
        <w:tc>
          <w:tcPr>
            <w:tcW w:w="240" w:type="dxa"/>
            <w:vAlign w:val="bottom"/>
          </w:tcPr>
          <w:p>
            <w:pPr>
              <w:spacing w:after="0"/>
              <w:rPr>
                <w:sz w:val="21"/>
                <w:szCs w:val="21"/>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974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b w:val="1"/>
                <w:bCs w:val="1"/>
                <w:color w:val="auto"/>
              </w:rPr>
              <w:t>910</w:t>
            </w:r>
          </w:p>
        </w:tc>
        <w:tc>
          <w:tcPr>
            <w:tcW w:w="30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276"/>
        </w:trPr>
        <w:tc>
          <w:tcPr>
            <w:tcW w:w="3580" w:type="dxa"/>
            <w:vAlign w:val="bottom"/>
          </w:tcPr>
          <w:p>
            <w:pPr>
              <w:spacing w:after="0"/>
              <w:rPr>
                <w:sz w:val="20"/>
                <w:szCs w:val="20"/>
                <w:color w:val="auto"/>
              </w:rPr>
            </w:pPr>
            <w:r>
              <w:rPr>
                <w:rFonts w:ascii="Arial" w:cs="Arial" w:eastAsia="Arial" w:hAnsi="Arial"/>
                <w:sz w:val="14"/>
                <w:szCs w:val="14"/>
                <w:color w:val="auto"/>
              </w:rPr>
              <w:t xml:space="preserve">Contract investment amortization </w:t>
            </w:r>
            <w:r>
              <w:rPr>
                <w:rFonts w:ascii="Arial" w:cs="Arial" w:eastAsia="Arial" w:hAnsi="Arial"/>
                <w:sz w:val="8"/>
                <w:szCs w:val="8"/>
                <w:color w:val="auto"/>
              </w:rPr>
              <w:t>2</w:t>
            </w: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44"/>
        </w:trPr>
        <w:tc>
          <w:tcPr>
            <w:tcW w:w="3580" w:type="dxa"/>
            <w:vAlign w:val="bottom"/>
          </w:tcPr>
          <w:p>
            <w:pPr>
              <w:ind w:left="120"/>
              <w:spacing w:after="0"/>
              <w:rPr>
                <w:sz w:val="20"/>
                <w:szCs w:val="20"/>
                <w:color w:val="auto"/>
              </w:rPr>
            </w:pPr>
            <w:r>
              <w:rPr>
                <w:rFonts w:ascii="Arial" w:cs="Arial" w:eastAsia="Arial" w:hAnsi="Arial"/>
                <w:sz w:val="14"/>
                <w:szCs w:val="14"/>
                <w:b w:val="1"/>
                <w:bCs w:val="1"/>
                <w:color w:val="auto"/>
              </w:rPr>
              <w:t>Net Fee Revenues</w:t>
            </w:r>
          </w:p>
        </w:tc>
        <w:tc>
          <w:tcPr>
            <w:tcW w:w="240" w:type="dxa"/>
            <w:vAlign w:val="bottom"/>
          </w:tcPr>
          <w:p>
            <w:pPr>
              <w:spacing w:after="0"/>
              <w:rPr>
                <w:sz w:val="21"/>
                <w:szCs w:val="21"/>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957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b w:val="1"/>
                <w:bCs w:val="1"/>
                <w:color w:val="auto"/>
              </w:rPr>
              <w:t>896</w:t>
            </w:r>
          </w:p>
        </w:tc>
        <w:tc>
          <w:tcPr>
            <w:tcW w:w="30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4"/>
                <w:szCs w:val="14"/>
                <w:color w:val="auto"/>
              </w:rPr>
              <w:t xml:space="preserve">Owned, leased, and other revenue </w:t>
            </w:r>
            <w:r>
              <w:rPr>
                <w:rFonts w:ascii="Arial" w:cs="Arial" w:eastAsia="Arial" w:hAnsi="Arial"/>
                <w:sz w:val="8"/>
                <w:szCs w:val="8"/>
                <w:color w:val="auto"/>
              </w:rPr>
              <w:t>3</w:t>
            </w:r>
          </w:p>
        </w:tc>
        <w:tc>
          <w:tcPr>
            <w:tcW w:w="24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3020" w:type="dxa"/>
            <w:vAlign w:val="bottom"/>
            <w:gridSpan w:val="2"/>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3580" w:type="dxa"/>
            <w:vAlign w:val="bottom"/>
          </w:tcPr>
          <w:p>
            <w:pPr>
              <w:spacing w:after="0"/>
              <w:rPr>
                <w:sz w:val="20"/>
                <w:szCs w:val="20"/>
                <w:color w:val="auto"/>
              </w:rPr>
            </w:pPr>
            <w:r>
              <w:rPr>
                <w:rFonts w:ascii="Arial" w:cs="Arial" w:eastAsia="Arial" w:hAnsi="Arial"/>
                <w:sz w:val="14"/>
                <w:szCs w:val="14"/>
                <w:color w:val="auto"/>
              </w:rPr>
              <w:t xml:space="preserve">Cost reimbursement revenue </w:t>
            </w:r>
            <w:r>
              <w:rPr>
                <w:rFonts w:ascii="Arial" w:cs="Arial" w:eastAsia="Arial" w:hAnsi="Arial"/>
                <w:sz w:val="8"/>
                <w:szCs w:val="8"/>
                <w:color w:val="auto"/>
              </w:rPr>
              <w:t>4</w:t>
            </w: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3,984</w:t>
            </w:r>
          </w:p>
        </w:tc>
        <w:tc>
          <w:tcPr>
            <w:tcW w:w="100" w:type="dxa"/>
            <w:vAlign w:val="bottom"/>
          </w:tcPr>
          <w:p>
            <w:pPr>
              <w:spacing w:after="0"/>
              <w:rPr>
                <w:sz w:val="24"/>
                <w:szCs w:val="24"/>
                <w:color w:val="auto"/>
              </w:rPr>
            </w:pPr>
          </w:p>
        </w:tc>
        <w:tc>
          <w:tcPr>
            <w:tcW w:w="2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3580" w:type="dxa"/>
            <w:vAlign w:val="bottom"/>
          </w:tcPr>
          <w:p>
            <w:pPr>
              <w:ind w:left="1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Pr>
          <w:p>
            <w:pPr>
              <w:spacing w:after="0"/>
              <w:rPr>
                <w:sz w:val="21"/>
                <w:szCs w:val="21"/>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5,371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b w:val="1"/>
                <w:bCs w:val="1"/>
                <w:color w:val="auto"/>
              </w:rPr>
              <w:t>5,289</w:t>
            </w:r>
          </w:p>
        </w:tc>
        <w:tc>
          <w:tcPr>
            <w:tcW w:w="30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4"/>
                <w:szCs w:val="14"/>
                <w:b w:val="1"/>
                <w:bCs w:val="1"/>
                <w:color w:val="auto"/>
              </w:rPr>
              <w:t>OPERATING COSTS AND EXPENSES</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4"/>
                <w:szCs w:val="14"/>
                <w:color w:val="auto"/>
              </w:rPr>
              <w:t xml:space="preserve">Owned, leased, and other - direct </w:t>
            </w:r>
            <w:r>
              <w:rPr>
                <w:rFonts w:ascii="Arial" w:cs="Arial" w:eastAsia="Arial" w:hAnsi="Arial"/>
                <w:sz w:val="8"/>
                <w:szCs w:val="8"/>
                <w:color w:val="auto"/>
              </w:rPr>
              <w:t>5</w:t>
            </w:r>
          </w:p>
        </w:tc>
        <w:tc>
          <w:tcPr>
            <w:tcW w:w="24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4"/>
                <w:szCs w:val="14"/>
                <w:color w:val="auto"/>
              </w:rPr>
              <w:t xml:space="preserve">Depreciation, amortization, and other </w:t>
            </w:r>
            <w:r>
              <w:rPr>
                <w:rFonts w:ascii="Arial" w:cs="Arial" w:eastAsia="Arial" w:hAnsi="Arial"/>
                <w:sz w:val="8"/>
                <w:szCs w:val="8"/>
                <w:color w:val="auto"/>
              </w:rPr>
              <w:t>6</w:t>
            </w:r>
          </w:p>
        </w:tc>
        <w:tc>
          <w:tcPr>
            <w:tcW w:w="24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4"/>
                <w:szCs w:val="14"/>
                <w:color w:val="auto"/>
              </w:rPr>
              <w:t xml:space="preserve">General, administrative, and other </w:t>
            </w:r>
            <w:r>
              <w:rPr>
                <w:rFonts w:ascii="Arial" w:cs="Arial" w:eastAsia="Arial" w:hAnsi="Arial"/>
                <w:sz w:val="8"/>
                <w:szCs w:val="8"/>
                <w:color w:val="auto"/>
              </w:rPr>
              <w:t>7</w:t>
            </w:r>
          </w:p>
        </w:tc>
        <w:tc>
          <w:tcPr>
            <w:tcW w:w="24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4"/>
                <w:szCs w:val="14"/>
                <w:color w:val="auto"/>
              </w:rPr>
              <w:t>Merger-related costs and charges (credits)</w:t>
            </w:r>
          </w:p>
        </w:tc>
        <w:tc>
          <w:tcPr>
            <w:tcW w:w="2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3020" w:type="dxa"/>
            <w:vAlign w:val="bottom"/>
            <w:gridSpan w:val="2"/>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76"/>
        </w:trPr>
        <w:tc>
          <w:tcPr>
            <w:tcW w:w="3580" w:type="dxa"/>
            <w:vAlign w:val="bottom"/>
          </w:tcPr>
          <w:p>
            <w:pPr>
              <w:spacing w:after="0"/>
              <w:rPr>
                <w:sz w:val="20"/>
                <w:szCs w:val="20"/>
                <w:color w:val="auto"/>
              </w:rPr>
            </w:pPr>
            <w:r>
              <w:rPr>
                <w:rFonts w:ascii="Arial" w:cs="Arial" w:eastAsia="Arial" w:hAnsi="Arial"/>
                <w:sz w:val="14"/>
                <w:szCs w:val="14"/>
                <w:color w:val="auto"/>
              </w:rPr>
              <w:t xml:space="preserve">Reimbursed expenses </w:t>
            </w:r>
            <w:r>
              <w:rPr>
                <w:rFonts w:ascii="Arial" w:cs="Arial" w:eastAsia="Arial" w:hAnsi="Arial"/>
                <w:sz w:val="8"/>
                <w:szCs w:val="8"/>
                <w:color w:val="auto"/>
              </w:rPr>
              <w:t>4</w:t>
            </w: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4,370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4,151</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4"/>
        </w:trPr>
        <w:tc>
          <w:tcPr>
            <w:tcW w:w="3580" w:type="dxa"/>
            <w:vAlign w:val="bottom"/>
          </w:tcPr>
          <w:p>
            <w:pPr>
              <w:ind w:left="1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Pr>
          <w:p>
            <w:pPr>
              <w:spacing w:after="0"/>
              <w:rPr>
                <w:sz w:val="21"/>
                <w:szCs w:val="21"/>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5,097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b w:val="1"/>
                <w:bCs w:val="1"/>
                <w:color w:val="auto"/>
              </w:rPr>
              <w:t>4,867</w:t>
            </w:r>
          </w:p>
        </w:tc>
        <w:tc>
          <w:tcPr>
            <w:tcW w:w="3020" w:type="dxa"/>
            <w:vAlign w:val="bottom"/>
            <w:gridSpan w:val="2"/>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240" w:type="dxa"/>
            <w:vAlign w:val="bottom"/>
          </w:tcPr>
          <w:p>
            <w:pPr>
              <w:spacing w:after="0"/>
              <w:rPr>
                <w:sz w:val="24"/>
                <w:szCs w:val="24"/>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274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b w:val="1"/>
                <w:bCs w:val="1"/>
                <w:color w:val="auto"/>
              </w:rPr>
              <w:t>422</w:t>
            </w:r>
          </w:p>
        </w:tc>
        <w:tc>
          <w:tcPr>
            <w:tcW w:w="3020" w:type="dxa"/>
            <w:vAlign w:val="bottom"/>
            <w:gridSpan w:val="2"/>
          </w:tcPr>
          <w:p>
            <w:pPr>
              <w:jc w:val="right"/>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4"/>
                <w:szCs w:val="14"/>
                <w:color w:val="auto"/>
              </w:rPr>
              <w:t xml:space="preserve">Gains and other income, net </w:t>
            </w:r>
            <w:r>
              <w:rPr>
                <w:rFonts w:ascii="Arial" w:cs="Arial" w:eastAsia="Arial" w:hAnsi="Arial"/>
                <w:sz w:val="8"/>
                <w:szCs w:val="8"/>
                <w:color w:val="auto"/>
              </w:rPr>
              <w:t>8</w:t>
            </w:r>
          </w:p>
        </w:tc>
        <w:tc>
          <w:tcPr>
            <w:tcW w:w="240" w:type="dxa"/>
            <w:vAlign w:val="bottom"/>
          </w:tcPr>
          <w:p>
            <w:pPr>
              <w:spacing w:after="0"/>
              <w:rPr>
                <w:sz w:val="24"/>
                <w:szCs w:val="24"/>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3020" w:type="dxa"/>
            <w:vAlign w:val="bottom"/>
            <w:gridSpan w:val="2"/>
          </w:tcPr>
          <w:p>
            <w:pPr>
              <w:jc w:val="right"/>
              <w:ind w:right="28"/>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(94)</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2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80" w:type="dxa"/>
            <w:vAlign w:val="bottom"/>
          </w:tcPr>
          <w:p>
            <w:pPr>
              <w:spacing w:after="0"/>
              <w:rPr>
                <w:sz w:val="20"/>
                <w:szCs w:val="20"/>
                <w:color w:val="auto"/>
              </w:rPr>
            </w:pPr>
            <w:r>
              <w:rPr>
                <w:rFonts w:ascii="Arial" w:cs="Arial" w:eastAsia="Arial" w:hAnsi="Arial"/>
                <w:sz w:val="14"/>
                <w:szCs w:val="14"/>
                <w:color w:val="auto"/>
              </w:rPr>
              <w:t xml:space="preserve">Equity in earnings </w:t>
            </w:r>
            <w:r>
              <w:rPr>
                <w:rFonts w:ascii="Arial" w:cs="Arial" w:eastAsia="Arial" w:hAnsi="Arial"/>
                <w:sz w:val="8"/>
                <w:szCs w:val="8"/>
                <w:color w:val="auto"/>
              </w:rPr>
              <w:t>9</w:t>
            </w: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44"/>
        </w:trPr>
        <w:tc>
          <w:tcPr>
            <w:tcW w:w="3580" w:type="dxa"/>
            <w:vAlign w:val="bottom"/>
          </w:tcPr>
          <w:p>
            <w:pPr>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tcPr>
          <w:p>
            <w:pPr>
              <w:spacing w:after="0"/>
              <w:rPr>
                <w:sz w:val="21"/>
                <w:szCs w:val="21"/>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b w:val="1"/>
                <w:bCs w:val="1"/>
                <w:color w:val="auto"/>
              </w:rPr>
              <w:t>345</w:t>
            </w:r>
          </w:p>
        </w:tc>
        <w:tc>
          <w:tcPr>
            <w:tcW w:w="3020" w:type="dxa"/>
            <w:vAlign w:val="bottom"/>
            <w:gridSpan w:val="2"/>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276"/>
        </w:trPr>
        <w:tc>
          <w:tcPr>
            <w:tcW w:w="358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317</w:t>
            </w:r>
          </w:p>
        </w:tc>
        <w:tc>
          <w:tcPr>
            <w:tcW w:w="3020" w:type="dxa"/>
            <w:vAlign w:val="bottom"/>
            <w:gridSpan w:val="2"/>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EARNINGS PER SHARE</w:t>
            </w: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120"/>
              <w:spacing w:after="0"/>
              <w:rPr>
                <w:sz w:val="20"/>
                <w:szCs w:val="20"/>
                <w:color w:val="auto"/>
              </w:rPr>
            </w:pPr>
            <w:r>
              <w:rPr>
                <w:rFonts w:ascii="Arial" w:cs="Arial" w:eastAsia="Arial" w:hAnsi="Arial"/>
                <w:sz w:val="14"/>
                <w:szCs w:val="14"/>
                <w:color w:val="auto"/>
              </w:rPr>
              <w:t>Earnings per share - basic</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0.85</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0.93</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0"/>
        </w:trPr>
        <w:tc>
          <w:tcPr>
            <w:tcW w:w="3580" w:type="dxa"/>
            <w:vAlign w:val="bottom"/>
          </w:tcPr>
          <w:p>
            <w:pPr>
              <w:ind w:left="120"/>
              <w:spacing w:after="0"/>
              <w:rPr>
                <w:sz w:val="20"/>
                <w:szCs w:val="20"/>
                <w:color w:val="auto"/>
              </w:rPr>
            </w:pPr>
            <w:r>
              <w:rPr>
                <w:rFonts w:ascii="Arial" w:cs="Arial" w:eastAsia="Arial" w:hAnsi="Arial"/>
                <w:sz w:val="14"/>
                <w:szCs w:val="14"/>
                <w:color w:val="auto"/>
              </w:rPr>
              <w:t>Earnings per share - diluted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0.85</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0.92</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4"/>
                <w:szCs w:val="14"/>
                <w:color w:val="auto"/>
              </w:rPr>
              <w:t>Basic Shares</w:t>
            </w:r>
          </w:p>
        </w:tc>
        <w:tc>
          <w:tcPr>
            <w:tcW w:w="240" w:type="dxa"/>
            <w:vAlign w:val="bottom"/>
          </w:tcPr>
          <w:p>
            <w:pPr>
              <w:spacing w:after="0"/>
              <w:rPr>
                <w:sz w:val="24"/>
                <w:szCs w:val="24"/>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327.7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341.9</w:t>
            </w: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4"/>
                <w:szCs w:val="14"/>
                <w:color w:val="auto"/>
              </w:rPr>
              <w:t>Diluted Shares</w:t>
            </w:r>
          </w:p>
        </w:tc>
        <w:tc>
          <w:tcPr>
            <w:tcW w:w="24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330.4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345.7</w:t>
            </w:r>
          </w:p>
        </w:tc>
        <w:tc>
          <w:tcPr>
            <w:tcW w:w="10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70" w:hanging="170"/>
        <w:spacing w:after="0"/>
        <w:tabs>
          <w:tab w:leader="none" w:pos="170" w:val="left"/>
        </w:tabs>
        <w:numPr>
          <w:ilvl w:val="0"/>
          <w:numId w:val="10"/>
        </w:numPr>
        <w:rPr>
          <w:rFonts w:ascii="Arial" w:cs="Arial" w:eastAsia="Arial" w:hAnsi="Arial"/>
          <w:sz w:val="8"/>
          <w:szCs w:val="8"/>
          <w:color w:val="auto"/>
        </w:rPr>
      </w:pPr>
      <w:r>
        <w:rPr>
          <w:rFonts w:ascii="Arial" w:cs="Arial" w:eastAsia="Arial" w:hAnsi="Arial"/>
          <w:sz w:val="13"/>
          <w:szCs w:val="13"/>
          <w:i w:val="1"/>
          <w:iCs w:val="1"/>
          <w:color w:val="auto"/>
        </w:rPr>
        <w:t xml:space="preserve">Franchise fees </w:t>
      </w:r>
      <w:r>
        <w:rPr>
          <w:rFonts w:ascii="Arial" w:cs="Arial" w:eastAsia="Arial" w:hAnsi="Arial"/>
          <w:sz w:val="13"/>
          <w:szCs w:val="13"/>
          <w:color w:val="auto"/>
        </w:rPr>
        <w:t>include fees from our franchise agreements, application and relicensing fees, licensing fees from our timeshare, credit card programs, and residential branding fees.</w:t>
      </w:r>
    </w:p>
    <w:p>
      <w:pPr>
        <w:spacing w:after="0" w:line="25" w:lineRule="exact"/>
        <w:rPr>
          <w:sz w:val="20"/>
          <w:szCs w:val="20"/>
          <w:color w:val="auto"/>
        </w:rPr>
      </w:pPr>
    </w:p>
    <w:p>
      <w:pPr>
        <w:ind w:left="170" w:right="40" w:hanging="170"/>
        <w:spacing w:after="0" w:line="241" w:lineRule="auto"/>
        <w:tabs>
          <w:tab w:leader="none" w:pos="170" w:val="left"/>
        </w:tabs>
        <w:numPr>
          <w:ilvl w:val="0"/>
          <w:numId w:val="11"/>
        </w:numPr>
        <w:rPr>
          <w:rFonts w:ascii="Arial" w:cs="Arial" w:eastAsia="Arial" w:hAnsi="Arial"/>
          <w:sz w:val="9"/>
          <w:szCs w:val="9"/>
          <w:color w:val="auto"/>
        </w:rPr>
      </w:pPr>
      <w:r>
        <w:rPr>
          <w:rFonts w:ascii="Arial" w:cs="Arial" w:eastAsia="Arial" w:hAnsi="Arial"/>
          <w:sz w:val="14"/>
          <w:szCs w:val="14"/>
          <w:i w:val="1"/>
          <w:iCs w:val="1"/>
          <w:color w:val="auto"/>
        </w:rPr>
        <w:t xml:space="preserve">Contract investment amortization </w:t>
      </w:r>
      <w:r>
        <w:rPr>
          <w:rFonts w:ascii="Arial" w:cs="Arial" w:eastAsia="Arial" w:hAnsi="Arial"/>
          <w:sz w:val="14"/>
          <w:szCs w:val="14"/>
          <w:color w:val="auto"/>
        </w:rPr>
        <w:t>includes amortization of capitalized costs to obtain contracts with our owner and franchisee customers, and any related impairments, accelerations, or write-offs.</w:t>
      </w:r>
    </w:p>
    <w:p>
      <w:pPr>
        <w:spacing w:after="0" w:line="1" w:lineRule="exact"/>
        <w:rPr>
          <w:sz w:val="20"/>
          <w:szCs w:val="20"/>
          <w:color w:val="auto"/>
        </w:rPr>
      </w:pPr>
    </w:p>
    <w:p>
      <w:pPr>
        <w:ind w:left="170" w:hanging="170"/>
        <w:spacing w:after="0"/>
        <w:tabs>
          <w:tab w:leader="none" w:pos="170" w:val="left"/>
        </w:tabs>
        <w:numPr>
          <w:ilvl w:val="0"/>
          <w:numId w:val="12"/>
        </w:numPr>
        <w:rPr>
          <w:rFonts w:ascii="Arial" w:cs="Arial" w:eastAsia="Arial" w:hAnsi="Arial"/>
          <w:sz w:val="9"/>
          <w:szCs w:val="9"/>
          <w:color w:val="auto"/>
        </w:rPr>
      </w:pPr>
      <w:r>
        <w:rPr>
          <w:rFonts w:ascii="Arial" w:cs="Arial" w:eastAsia="Arial" w:hAnsi="Arial"/>
          <w:sz w:val="14"/>
          <w:szCs w:val="14"/>
          <w:i w:val="1"/>
          <w:iCs w:val="1"/>
          <w:color w:val="auto"/>
        </w:rPr>
        <w:t xml:space="preserve">Owned, leased, and other revenue </w:t>
      </w:r>
      <w:r>
        <w:rPr>
          <w:rFonts w:ascii="Arial" w:cs="Arial" w:eastAsia="Arial" w:hAnsi="Arial"/>
          <w:sz w:val="14"/>
          <w:szCs w:val="14"/>
          <w:color w:val="auto"/>
        </w:rPr>
        <w:t>includes revenue from the properties we own or lease, termination fees, and other revenue.</w:t>
      </w:r>
    </w:p>
    <w:p>
      <w:pPr>
        <w:spacing w:after="0" w:line="1" w:lineRule="exact"/>
        <w:rPr>
          <w:sz w:val="20"/>
          <w:szCs w:val="20"/>
          <w:color w:val="auto"/>
        </w:rPr>
      </w:pPr>
    </w:p>
    <w:p>
      <w:pPr>
        <w:ind w:left="170" w:hanging="170"/>
        <w:spacing w:after="0" w:line="241" w:lineRule="auto"/>
        <w:tabs>
          <w:tab w:leader="none" w:pos="170" w:val="left"/>
        </w:tabs>
        <w:numPr>
          <w:ilvl w:val="0"/>
          <w:numId w:val="13"/>
        </w:numPr>
        <w:rPr>
          <w:rFonts w:ascii="Arial" w:cs="Arial" w:eastAsia="Arial" w:hAnsi="Arial"/>
          <w:sz w:val="9"/>
          <w:szCs w:val="9"/>
          <w:color w:val="auto"/>
        </w:rPr>
      </w:pPr>
      <w:r>
        <w:rPr>
          <w:rFonts w:ascii="Arial" w:cs="Arial" w:eastAsia="Arial" w:hAnsi="Arial"/>
          <w:sz w:val="14"/>
          <w:szCs w:val="14"/>
          <w:i w:val="1"/>
          <w:iCs w:val="1"/>
          <w:color w:val="auto"/>
        </w:rPr>
        <w:t xml:space="preserve">Cost reimbursement revenue </w:t>
      </w:r>
      <w:r>
        <w:rPr>
          <w:rFonts w:ascii="Arial" w:cs="Arial" w:eastAsia="Arial" w:hAnsi="Arial"/>
          <w:sz w:val="14"/>
          <w:szCs w:val="14"/>
          <w:color w:val="auto"/>
        </w:rPr>
        <w:t>includes reimbursements from properties for property-level and centralized programs and services that we operate for the benefit of our hotel owners.</w:t>
      </w:r>
      <w:r>
        <w:rPr>
          <w:rFonts w:ascii="Arial" w:cs="Arial" w:eastAsia="Arial" w:hAnsi="Arial"/>
          <w:sz w:val="14"/>
          <w:szCs w:val="14"/>
          <w:i w:val="1"/>
          <w:iCs w:val="1"/>
          <w:color w:val="auto"/>
        </w:rPr>
        <w:t xml:space="preserve"> Reimbursed expenses </w:t>
      </w:r>
      <w:r>
        <w:rPr>
          <w:rFonts w:ascii="Arial" w:cs="Arial" w:eastAsia="Arial" w:hAnsi="Arial"/>
          <w:sz w:val="14"/>
          <w:szCs w:val="14"/>
          <w:color w:val="auto"/>
        </w:rPr>
        <w:t>include costs incurred by Marriott for certain property-level operating expenses and centralized programs and services.</w:t>
      </w:r>
    </w:p>
    <w:p>
      <w:pPr>
        <w:spacing w:after="0" w:line="1" w:lineRule="exact"/>
        <w:rPr>
          <w:sz w:val="20"/>
          <w:szCs w:val="20"/>
          <w:color w:val="auto"/>
        </w:rPr>
      </w:pPr>
    </w:p>
    <w:p>
      <w:pPr>
        <w:ind w:left="170" w:hanging="170"/>
        <w:spacing w:after="0"/>
        <w:tabs>
          <w:tab w:leader="none" w:pos="170" w:val="left"/>
        </w:tabs>
        <w:numPr>
          <w:ilvl w:val="0"/>
          <w:numId w:val="14"/>
        </w:numPr>
        <w:rPr>
          <w:rFonts w:ascii="Arial" w:cs="Arial" w:eastAsia="Arial" w:hAnsi="Arial"/>
          <w:sz w:val="9"/>
          <w:szCs w:val="9"/>
          <w:color w:val="auto"/>
        </w:rPr>
      </w:pPr>
      <w:r>
        <w:rPr>
          <w:rFonts w:ascii="Arial" w:cs="Arial" w:eastAsia="Arial" w:hAnsi="Arial"/>
          <w:sz w:val="14"/>
          <w:szCs w:val="14"/>
          <w:i w:val="1"/>
          <w:iCs w:val="1"/>
          <w:color w:val="auto"/>
        </w:rPr>
        <w:t xml:space="preserve">Owned, leased, and other - direct </w:t>
      </w:r>
      <w:r>
        <w:rPr>
          <w:rFonts w:ascii="Arial" w:cs="Arial" w:eastAsia="Arial" w:hAnsi="Arial"/>
          <w:sz w:val="14"/>
          <w:szCs w:val="14"/>
          <w:color w:val="auto"/>
        </w:rPr>
        <w:t>expenses include operating expenses related to our owned or leased hotels, including lease payments and pre-opening expenses.</w:t>
      </w:r>
    </w:p>
    <w:p>
      <w:pPr>
        <w:spacing w:after="0" w:line="1" w:lineRule="exact"/>
        <w:rPr>
          <w:sz w:val="20"/>
          <w:szCs w:val="20"/>
          <w:color w:val="auto"/>
        </w:rPr>
      </w:pPr>
    </w:p>
    <w:p>
      <w:pPr>
        <w:ind w:left="170" w:right="40" w:hanging="170"/>
        <w:spacing w:after="0" w:line="241" w:lineRule="auto"/>
        <w:tabs>
          <w:tab w:leader="none" w:pos="170" w:val="left"/>
        </w:tabs>
        <w:numPr>
          <w:ilvl w:val="0"/>
          <w:numId w:val="15"/>
        </w:numPr>
        <w:rPr>
          <w:rFonts w:ascii="Arial" w:cs="Arial" w:eastAsia="Arial" w:hAnsi="Arial"/>
          <w:sz w:val="9"/>
          <w:szCs w:val="9"/>
          <w:color w:val="auto"/>
        </w:rPr>
      </w:pPr>
      <w:r>
        <w:rPr>
          <w:rFonts w:ascii="Arial" w:cs="Arial" w:eastAsia="Arial" w:hAnsi="Arial"/>
          <w:sz w:val="14"/>
          <w:szCs w:val="14"/>
          <w:i w:val="1"/>
          <w:iCs w:val="1"/>
          <w:color w:val="auto"/>
        </w:rPr>
        <w:t xml:space="preserve">Depreciation, amortization, and other </w:t>
      </w:r>
      <w:r>
        <w:rPr>
          <w:rFonts w:ascii="Arial" w:cs="Arial" w:eastAsia="Arial" w:hAnsi="Arial"/>
          <w:sz w:val="14"/>
          <w:szCs w:val="14"/>
          <w:color w:val="auto"/>
        </w:rPr>
        <w:t>expenses include depreciation for fixed assets, amortization of capitalized costs incurred to acquire management, franchise, and license agreements, and</w:t>
      </w:r>
      <w:r>
        <w:rPr>
          <w:rFonts w:ascii="Arial" w:cs="Arial" w:eastAsia="Arial" w:hAnsi="Arial"/>
          <w:sz w:val="14"/>
          <w:szCs w:val="14"/>
          <w:i w:val="1"/>
          <w:iCs w:val="1"/>
          <w:color w:val="auto"/>
        </w:rPr>
        <w:t xml:space="preserve"> </w:t>
      </w:r>
      <w:r>
        <w:rPr>
          <w:rFonts w:ascii="Arial" w:cs="Arial" w:eastAsia="Arial" w:hAnsi="Arial"/>
          <w:sz w:val="14"/>
          <w:szCs w:val="14"/>
          <w:color w:val="auto"/>
        </w:rPr>
        <w:t>any related impairments, accelerations, or write-offs.</w:t>
      </w:r>
    </w:p>
    <w:p>
      <w:pPr>
        <w:spacing w:after="0" w:line="1" w:lineRule="exact"/>
        <w:rPr>
          <w:sz w:val="20"/>
          <w:szCs w:val="20"/>
          <w:color w:val="auto"/>
        </w:rPr>
      </w:pPr>
    </w:p>
    <w:p>
      <w:pPr>
        <w:ind w:left="170" w:hanging="170"/>
        <w:spacing w:after="0"/>
        <w:tabs>
          <w:tab w:leader="none" w:pos="170" w:val="left"/>
        </w:tabs>
        <w:numPr>
          <w:ilvl w:val="0"/>
          <w:numId w:val="16"/>
        </w:numPr>
        <w:rPr>
          <w:rFonts w:ascii="Arial" w:cs="Arial" w:eastAsia="Arial" w:hAnsi="Arial"/>
          <w:sz w:val="9"/>
          <w:szCs w:val="9"/>
          <w:color w:val="auto"/>
        </w:rPr>
      </w:pPr>
      <w:r>
        <w:rPr>
          <w:rFonts w:ascii="Arial" w:cs="Arial" w:eastAsia="Arial" w:hAnsi="Arial"/>
          <w:sz w:val="14"/>
          <w:szCs w:val="14"/>
          <w:i w:val="1"/>
          <w:iCs w:val="1"/>
          <w:color w:val="auto"/>
        </w:rPr>
        <w:t xml:space="preserve">General, administrative, and other </w:t>
      </w:r>
      <w:r>
        <w:rPr>
          <w:rFonts w:ascii="Arial" w:cs="Arial" w:eastAsia="Arial" w:hAnsi="Arial"/>
          <w:sz w:val="14"/>
          <w:szCs w:val="14"/>
          <w:color w:val="auto"/>
        </w:rPr>
        <w:t>expenses include our corporate and business segments overhead costs and general expenses.</w:t>
      </w:r>
    </w:p>
    <w:p>
      <w:pPr>
        <w:spacing w:after="0" w:line="1" w:lineRule="exact"/>
        <w:rPr>
          <w:sz w:val="20"/>
          <w:szCs w:val="20"/>
          <w:color w:val="auto"/>
        </w:rPr>
      </w:pPr>
    </w:p>
    <w:p>
      <w:pPr>
        <w:ind w:left="170" w:hanging="170"/>
        <w:spacing w:after="0"/>
        <w:tabs>
          <w:tab w:leader="none" w:pos="170" w:val="left"/>
        </w:tabs>
        <w:numPr>
          <w:ilvl w:val="0"/>
          <w:numId w:val="17"/>
        </w:numPr>
        <w:rPr>
          <w:rFonts w:ascii="Arial" w:cs="Arial" w:eastAsia="Arial" w:hAnsi="Arial"/>
          <w:sz w:val="8"/>
          <w:szCs w:val="8"/>
          <w:color w:val="auto"/>
        </w:rPr>
      </w:pPr>
      <w:r>
        <w:rPr>
          <w:rFonts w:ascii="Arial" w:cs="Arial" w:eastAsia="Arial" w:hAnsi="Arial"/>
          <w:sz w:val="13"/>
          <w:szCs w:val="13"/>
          <w:i w:val="1"/>
          <w:iCs w:val="1"/>
          <w:color w:val="auto"/>
        </w:rPr>
        <w:t xml:space="preserve">Gains and other income, net </w:t>
      </w:r>
      <w:r>
        <w:rPr>
          <w:rFonts w:ascii="Arial" w:cs="Arial" w:eastAsia="Arial" w:hAnsi="Arial"/>
          <w:sz w:val="13"/>
          <w:szCs w:val="13"/>
          <w:color w:val="auto"/>
        </w:rPr>
        <w:t>includes gains and losses on the sale of real estate, the sale of joint venture interests and other investments, and adjustments from other equity investments.</w:t>
      </w:r>
    </w:p>
    <w:p>
      <w:pPr>
        <w:spacing w:after="0" w:line="13" w:lineRule="exact"/>
        <w:rPr>
          <w:sz w:val="20"/>
          <w:szCs w:val="20"/>
          <w:color w:val="auto"/>
        </w:rPr>
      </w:pPr>
    </w:p>
    <w:p>
      <w:pPr>
        <w:ind w:left="170" w:hanging="170"/>
        <w:spacing w:after="0"/>
        <w:tabs>
          <w:tab w:leader="none" w:pos="170" w:val="left"/>
        </w:tabs>
        <w:numPr>
          <w:ilvl w:val="0"/>
          <w:numId w:val="18"/>
        </w:numPr>
        <w:rPr>
          <w:rFonts w:ascii="Arial" w:cs="Arial" w:eastAsia="Arial" w:hAnsi="Arial"/>
          <w:sz w:val="9"/>
          <w:szCs w:val="9"/>
          <w:color w:val="auto"/>
        </w:rPr>
      </w:pPr>
      <w:r>
        <w:rPr>
          <w:rFonts w:ascii="Arial" w:cs="Arial" w:eastAsia="Arial" w:hAnsi="Arial"/>
          <w:sz w:val="14"/>
          <w:szCs w:val="14"/>
          <w:i w:val="1"/>
          <w:iCs w:val="1"/>
          <w:color w:val="auto"/>
        </w:rPr>
        <w:t xml:space="preserve">Equity in earnings </w:t>
      </w:r>
      <w:r>
        <w:rPr>
          <w:rFonts w:ascii="Arial" w:cs="Arial" w:eastAsia="Arial" w:hAnsi="Arial"/>
          <w:sz w:val="14"/>
          <w:szCs w:val="14"/>
          <w:color w:val="auto"/>
        </w:rPr>
        <w:t>include our equity in earnings or losses of unconsolidated equity method investments.</w:t>
      </w:r>
    </w:p>
    <w:p>
      <w:pPr>
        <w:sectPr>
          <w:pgSz w:w="11900" w:h="16838" w:orient="portrait"/>
          <w:cols w:equalWidth="0" w:num="1">
            <w:col w:w="11170"/>
          </w:cols>
          <w:pgMar w:left="410" w:top="342" w:right="319" w:bottom="1440" w:gutter="0" w:footer="0" w:header="0"/>
        </w:sectPr>
      </w:pPr>
    </w:p>
    <w:p>
      <w:pPr>
        <w:spacing w:after="0" w:line="372" w:lineRule="exact"/>
        <w:rPr>
          <w:sz w:val="20"/>
          <w:szCs w:val="20"/>
          <w:color w:val="auto"/>
        </w:rPr>
      </w:pPr>
    </w:p>
    <w:p>
      <w:pPr>
        <w:jc w:val="center"/>
        <w:ind w:right="70"/>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170"/>
          </w:cols>
          <w:pgMar w:left="410" w:top="342" w:right="319" w:bottom="1440" w:gutter="0" w:footer="0" w:header="0"/>
          <w:type w:val="continuous"/>
        </w:sectPr>
      </w:pPr>
    </w:p>
    <w:bookmarkStart w:id="15" w:name="page16"/>
    <w:bookmarkEnd w:id="15"/>
    <w:p>
      <w:pPr>
        <w:jc w:val="center"/>
        <w:ind w:right="70"/>
        <w:spacing w:after="0"/>
        <w:rPr>
          <w:sz w:val="20"/>
          <w:szCs w:val="20"/>
          <w:color w:val="auto"/>
        </w:rPr>
      </w:pPr>
      <w:r>
        <w:rPr>
          <w:rFonts w:ascii="Arial" w:cs="Arial" w:eastAsia="Arial" w:hAnsi="Arial"/>
          <w:sz w:val="16"/>
          <w:szCs w:val="16"/>
          <w:b w:val="1"/>
          <w:bCs w:val="1"/>
          <w:color w:val="auto"/>
        </w:rPr>
        <w:t>MARRIOTT INTERNATIONAL, INC.</w:t>
      </w:r>
    </w:p>
    <w:p>
      <w:pPr>
        <w:spacing w:after="0" w:line="23" w:lineRule="exact"/>
        <w:rPr>
          <w:sz w:val="20"/>
          <w:szCs w:val="20"/>
          <w:color w:val="auto"/>
        </w:rPr>
      </w:pPr>
    </w:p>
    <w:p>
      <w:pPr>
        <w:jc w:val="center"/>
        <w:ind w:right="70"/>
        <w:spacing w:after="0"/>
        <w:rPr>
          <w:sz w:val="20"/>
          <w:szCs w:val="20"/>
          <w:color w:val="auto"/>
        </w:rPr>
      </w:pPr>
      <w:r>
        <w:rPr>
          <w:rFonts w:ascii="Arial" w:cs="Arial" w:eastAsia="Arial" w:hAnsi="Arial"/>
          <w:sz w:val="16"/>
          <w:szCs w:val="16"/>
          <w:b w:val="1"/>
          <w:bCs w:val="1"/>
          <w:color w:val="auto"/>
        </w:rPr>
        <w:t>CONSOLIDATED STATEMENTS OF INCOME - AS REPORTED</w:t>
      </w:r>
    </w:p>
    <w:p>
      <w:pPr>
        <w:spacing w:after="0" w:line="8" w:lineRule="exact"/>
        <w:rPr>
          <w:sz w:val="20"/>
          <w:szCs w:val="20"/>
          <w:color w:val="auto"/>
        </w:rPr>
      </w:pPr>
    </w:p>
    <w:p>
      <w:pPr>
        <w:jc w:val="center"/>
        <w:ind w:right="70"/>
        <w:spacing w:after="0"/>
        <w:rPr>
          <w:sz w:val="20"/>
          <w:szCs w:val="20"/>
          <w:color w:val="auto"/>
        </w:rPr>
      </w:pPr>
      <w:r>
        <w:rPr>
          <w:rFonts w:ascii="Arial" w:cs="Arial" w:eastAsia="Arial" w:hAnsi="Arial"/>
          <w:sz w:val="16"/>
          <w:szCs w:val="16"/>
          <w:b w:val="1"/>
          <w:bCs w:val="1"/>
          <w:color w:val="auto"/>
        </w:rPr>
        <w:t>FOURTH QUARTER YEAR-TO-DATE 2019 AND 2018</w:t>
      </w:r>
    </w:p>
    <w:p>
      <w:pPr>
        <w:spacing w:after="0" w:line="18" w:lineRule="exact"/>
        <w:rPr>
          <w:sz w:val="20"/>
          <w:szCs w:val="20"/>
          <w:color w:val="auto"/>
        </w:rPr>
      </w:pPr>
    </w:p>
    <w:p>
      <w:pPr>
        <w:jc w:val="center"/>
        <w:ind w:right="70"/>
        <w:spacing w:after="0"/>
        <w:rPr>
          <w:sz w:val="20"/>
          <w:szCs w:val="20"/>
          <w:color w:val="auto"/>
        </w:rPr>
      </w:pPr>
      <w:r>
        <w:rPr>
          <w:rFonts w:ascii="Arial" w:cs="Arial" w:eastAsia="Arial" w:hAnsi="Arial"/>
          <w:sz w:val="14"/>
          <w:szCs w:val="14"/>
          <w:color w:val="auto"/>
        </w:rPr>
        <w:t>(in millions except per share amounts, unaudited)</w:t>
      </w:r>
    </w:p>
    <w:p>
      <w:pPr>
        <w:spacing w:after="0" w:line="215" w:lineRule="exact"/>
        <w:rPr>
          <w:sz w:val="20"/>
          <w:szCs w:val="20"/>
          <w:color w:val="auto"/>
        </w:rPr>
      </w:pPr>
    </w:p>
    <w:tbl>
      <w:tblPr>
        <w:tblLayout w:type="fixed"/>
        <w:tblInd w:w="15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As Reported</w:t>
            </w:r>
          </w:p>
        </w:tc>
        <w:tc>
          <w:tcPr>
            <w:tcW w:w="220" w:type="dxa"/>
            <w:vAlign w:val="bottom"/>
          </w:tcPr>
          <w:p>
            <w:pPr>
              <w:spacing w:after="0"/>
              <w:rPr>
                <w:sz w:val="16"/>
                <w:szCs w:val="16"/>
                <w:color w:val="auto"/>
              </w:rPr>
            </w:pPr>
          </w:p>
        </w:tc>
        <w:tc>
          <w:tcPr>
            <w:tcW w:w="1840" w:type="dxa"/>
            <w:vAlign w:val="bottom"/>
          </w:tcPr>
          <w:p>
            <w:pPr>
              <w:jc w:val="center"/>
              <w:ind w:right="188"/>
              <w:spacing w:after="0"/>
              <w:rPr>
                <w:sz w:val="20"/>
                <w:szCs w:val="20"/>
                <w:color w:val="auto"/>
              </w:rPr>
            </w:pPr>
            <w:r>
              <w:rPr>
                <w:rFonts w:ascii="Arial" w:cs="Arial" w:eastAsia="Arial" w:hAnsi="Arial"/>
                <w:sz w:val="14"/>
                <w:szCs w:val="14"/>
                <w:b w:val="1"/>
                <w:bCs w:val="1"/>
                <w:color w:val="auto"/>
                <w:w w:val="93"/>
              </w:rPr>
              <w:t xml:space="preserve">As Reported </w:t>
            </w:r>
            <w:r>
              <w:rPr>
                <w:rFonts w:ascii="Arial" w:cs="Arial" w:eastAsia="Arial" w:hAnsi="Arial"/>
                <w:sz w:val="8"/>
                <w:szCs w:val="8"/>
                <w:b w:val="1"/>
                <w:bCs w:val="1"/>
                <w:color w:val="auto"/>
                <w:w w:val="93"/>
              </w:rPr>
              <w:t>10</w:t>
            </w:r>
          </w:p>
        </w:tc>
        <w:tc>
          <w:tcPr>
            <w:tcW w:w="10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Twelve Months Ended</w:t>
            </w:r>
          </w:p>
        </w:tc>
        <w:tc>
          <w:tcPr>
            <w:tcW w:w="220" w:type="dxa"/>
            <w:vAlign w:val="bottom"/>
          </w:tcPr>
          <w:p>
            <w:pPr>
              <w:spacing w:after="0"/>
              <w:rPr>
                <w:sz w:val="19"/>
                <w:szCs w:val="19"/>
                <w:color w:val="auto"/>
              </w:rPr>
            </w:pPr>
          </w:p>
        </w:tc>
        <w:tc>
          <w:tcPr>
            <w:tcW w:w="184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Twelve Months Ended</w:t>
            </w:r>
          </w:p>
        </w:tc>
        <w:tc>
          <w:tcPr>
            <w:tcW w:w="10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3"/>
              </w:rPr>
              <w:t>Better/(Worse)</w:t>
            </w:r>
          </w:p>
        </w:tc>
        <w:tc>
          <w:tcPr>
            <w:tcW w:w="0" w:type="dxa"/>
            <w:vAlign w:val="bottom"/>
          </w:tcPr>
          <w:p>
            <w:pPr>
              <w:spacing w:after="0"/>
              <w:rPr>
                <w:sz w:val="1"/>
                <w:szCs w:val="1"/>
                <w:color w:val="auto"/>
              </w:rPr>
            </w:pPr>
          </w:p>
        </w:tc>
      </w:tr>
      <w:tr>
        <w:trPr>
          <w:trHeight w:val="316"/>
        </w:trPr>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2019</w:t>
            </w:r>
          </w:p>
        </w:tc>
        <w:tc>
          <w:tcPr>
            <w:tcW w:w="220" w:type="dxa"/>
            <w:vAlign w:val="bottom"/>
          </w:tcPr>
          <w:p>
            <w:pPr>
              <w:spacing w:after="0"/>
              <w:rPr>
                <w:sz w:val="24"/>
                <w:szCs w:val="24"/>
                <w:color w:val="auto"/>
              </w:rPr>
            </w:pPr>
          </w:p>
        </w:tc>
        <w:tc>
          <w:tcPr>
            <w:tcW w:w="1840" w:type="dxa"/>
            <w:vAlign w:val="bottom"/>
          </w:tcPr>
          <w:p>
            <w:pPr>
              <w:jc w:val="center"/>
              <w:ind w:right="168"/>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1"/>
              </w:rPr>
              <w:t>Reported 2019 vs. 2018</w:t>
            </w: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Base management fees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1,180</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1,140</w:t>
            </w:r>
          </w:p>
        </w:tc>
        <w:tc>
          <w:tcPr>
            <w:tcW w:w="3020" w:type="dxa"/>
            <w:vAlign w:val="bottom"/>
            <w:gridSpan w:val="2"/>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 xml:space="preserve">Franchise fees </w:t>
            </w:r>
            <w:r>
              <w:rPr>
                <w:rFonts w:ascii="Arial" w:cs="Arial" w:eastAsia="Arial" w:hAnsi="Arial"/>
                <w:sz w:val="8"/>
                <w:szCs w:val="8"/>
                <w:color w:val="auto"/>
              </w:rPr>
              <w:t>1</w:t>
            </w:r>
          </w:p>
        </w:tc>
        <w:tc>
          <w:tcPr>
            <w:tcW w:w="220" w:type="dxa"/>
            <w:vAlign w:val="bottom"/>
          </w:tcPr>
          <w:p>
            <w:pPr>
              <w:spacing w:after="0"/>
              <w:rPr>
                <w:sz w:val="23"/>
                <w:szCs w:val="23"/>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1,849</w:t>
            </w:r>
          </w:p>
        </w:tc>
        <w:tc>
          <w:tcPr>
            <w:tcW w:w="3020" w:type="dxa"/>
            <w:vAlign w:val="bottom"/>
            <w:gridSpan w:val="2"/>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3560" w:type="dxa"/>
            <w:vAlign w:val="bottom"/>
          </w:tcPr>
          <w:p>
            <w:pPr>
              <w:spacing w:after="0"/>
              <w:rPr>
                <w:sz w:val="20"/>
                <w:szCs w:val="20"/>
                <w:color w:val="auto"/>
              </w:rPr>
            </w:pPr>
            <w:r>
              <w:rPr>
                <w:rFonts w:ascii="Arial" w:cs="Arial" w:eastAsia="Arial" w:hAnsi="Arial"/>
                <w:sz w:val="14"/>
                <w:szCs w:val="14"/>
                <w:color w:val="auto"/>
              </w:rPr>
              <w:t>Incentive management fees</w:t>
            </w: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649</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4"/>
        </w:trPr>
        <w:tc>
          <w:tcPr>
            <w:tcW w:w="3560" w:type="dxa"/>
            <w:vAlign w:val="bottom"/>
          </w:tcPr>
          <w:p>
            <w:pPr>
              <w:ind w:left="120"/>
              <w:spacing w:after="0"/>
              <w:rPr>
                <w:sz w:val="20"/>
                <w:szCs w:val="20"/>
                <w:color w:val="auto"/>
              </w:rPr>
            </w:pPr>
            <w:r>
              <w:rPr>
                <w:rFonts w:ascii="Arial" w:cs="Arial" w:eastAsia="Arial" w:hAnsi="Arial"/>
                <w:sz w:val="14"/>
                <w:szCs w:val="14"/>
                <w:b w:val="1"/>
                <w:bCs w:val="1"/>
                <w:color w:val="auto"/>
              </w:rPr>
              <w:t>Gross Fee Revenues</w:t>
            </w:r>
          </w:p>
        </w:tc>
        <w:tc>
          <w:tcPr>
            <w:tcW w:w="220" w:type="dxa"/>
            <w:vAlign w:val="bottom"/>
          </w:tcPr>
          <w:p>
            <w:pPr>
              <w:spacing w:after="0"/>
              <w:rPr>
                <w:sz w:val="21"/>
                <w:szCs w:val="21"/>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b w:val="1"/>
                <w:bCs w:val="1"/>
                <w:color w:val="auto"/>
              </w:rPr>
              <w:t>3,823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3,638</w:t>
            </w:r>
          </w:p>
        </w:tc>
        <w:tc>
          <w:tcPr>
            <w:tcW w:w="30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76"/>
        </w:trPr>
        <w:tc>
          <w:tcPr>
            <w:tcW w:w="3560" w:type="dxa"/>
            <w:vAlign w:val="bottom"/>
          </w:tcPr>
          <w:p>
            <w:pPr>
              <w:spacing w:after="0"/>
              <w:rPr>
                <w:sz w:val="20"/>
                <w:szCs w:val="20"/>
                <w:color w:val="auto"/>
              </w:rPr>
            </w:pPr>
            <w:r>
              <w:rPr>
                <w:rFonts w:ascii="Arial" w:cs="Arial" w:eastAsia="Arial" w:hAnsi="Arial"/>
                <w:sz w:val="14"/>
                <w:szCs w:val="14"/>
                <w:color w:val="auto"/>
              </w:rPr>
              <w:t xml:space="preserve">Contract investment amortization </w:t>
            </w:r>
            <w:r>
              <w:rPr>
                <w:rFonts w:ascii="Arial" w:cs="Arial" w:eastAsia="Arial" w:hAnsi="Arial"/>
                <w:sz w:val="8"/>
                <w:szCs w:val="8"/>
                <w:color w:val="auto"/>
              </w:rPr>
              <w:t>2</w:t>
            </w: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44"/>
        </w:trPr>
        <w:tc>
          <w:tcPr>
            <w:tcW w:w="3560" w:type="dxa"/>
            <w:vAlign w:val="bottom"/>
          </w:tcPr>
          <w:p>
            <w:pPr>
              <w:ind w:left="120"/>
              <w:spacing w:after="0"/>
              <w:rPr>
                <w:sz w:val="20"/>
                <w:szCs w:val="20"/>
                <w:color w:val="auto"/>
              </w:rPr>
            </w:pPr>
            <w:r>
              <w:rPr>
                <w:rFonts w:ascii="Arial" w:cs="Arial" w:eastAsia="Arial" w:hAnsi="Arial"/>
                <w:sz w:val="14"/>
                <w:szCs w:val="14"/>
                <w:b w:val="1"/>
                <w:bCs w:val="1"/>
                <w:color w:val="auto"/>
              </w:rPr>
              <w:t>Net Fee Revenues</w:t>
            </w:r>
          </w:p>
        </w:tc>
        <w:tc>
          <w:tcPr>
            <w:tcW w:w="220" w:type="dxa"/>
            <w:vAlign w:val="bottom"/>
          </w:tcPr>
          <w:p>
            <w:pPr>
              <w:spacing w:after="0"/>
              <w:rPr>
                <w:sz w:val="21"/>
                <w:szCs w:val="21"/>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b w:val="1"/>
                <w:bCs w:val="1"/>
                <w:color w:val="auto"/>
              </w:rPr>
              <w:t>3,761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3,580</w:t>
            </w:r>
          </w:p>
        </w:tc>
        <w:tc>
          <w:tcPr>
            <w:tcW w:w="30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 xml:space="preserve">Owned, leased, and other revenue </w:t>
            </w:r>
            <w:r>
              <w:rPr>
                <w:rFonts w:ascii="Arial" w:cs="Arial" w:eastAsia="Arial" w:hAnsi="Arial"/>
                <w:sz w:val="8"/>
                <w:szCs w:val="8"/>
                <w:color w:val="auto"/>
              </w:rPr>
              <w:t>3</w:t>
            </w:r>
          </w:p>
        </w:tc>
        <w:tc>
          <w:tcPr>
            <w:tcW w:w="220" w:type="dxa"/>
            <w:vAlign w:val="bottom"/>
          </w:tcPr>
          <w:p>
            <w:pPr>
              <w:spacing w:after="0"/>
              <w:rPr>
                <w:sz w:val="23"/>
                <w:szCs w:val="23"/>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1,612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1,635</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560" w:type="dxa"/>
            <w:vAlign w:val="bottom"/>
          </w:tcPr>
          <w:p>
            <w:pPr>
              <w:spacing w:after="0"/>
              <w:rPr>
                <w:sz w:val="20"/>
                <w:szCs w:val="20"/>
                <w:color w:val="auto"/>
              </w:rPr>
            </w:pPr>
            <w:r>
              <w:rPr>
                <w:rFonts w:ascii="Arial" w:cs="Arial" w:eastAsia="Arial" w:hAnsi="Arial"/>
                <w:sz w:val="14"/>
                <w:szCs w:val="14"/>
                <w:color w:val="auto"/>
              </w:rPr>
              <w:t xml:space="preserve">Cost reimbursement revenue </w:t>
            </w:r>
            <w:r>
              <w:rPr>
                <w:rFonts w:ascii="Arial" w:cs="Arial" w:eastAsia="Arial" w:hAnsi="Arial"/>
                <w:sz w:val="8"/>
                <w:szCs w:val="8"/>
                <w:color w:val="auto"/>
              </w:rPr>
              <w:t>4</w:t>
            </w: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15,599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15,543</w:t>
            </w:r>
          </w:p>
        </w:tc>
        <w:tc>
          <w:tcPr>
            <w:tcW w:w="100" w:type="dxa"/>
            <w:vAlign w:val="bottom"/>
          </w:tcPr>
          <w:p>
            <w:pPr>
              <w:spacing w:after="0"/>
              <w:rPr>
                <w:sz w:val="24"/>
                <w:szCs w:val="24"/>
                <w:color w:val="auto"/>
              </w:rPr>
            </w:pPr>
          </w:p>
        </w:tc>
        <w:tc>
          <w:tcPr>
            <w:tcW w:w="2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3560" w:type="dxa"/>
            <w:vAlign w:val="bottom"/>
          </w:tcPr>
          <w:p>
            <w:pPr>
              <w:ind w:left="1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Pr>
          <w:p>
            <w:pPr>
              <w:spacing w:after="0"/>
              <w:rPr>
                <w:sz w:val="21"/>
                <w:szCs w:val="21"/>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b w:val="1"/>
                <w:bCs w:val="1"/>
                <w:color w:val="auto"/>
              </w:rPr>
              <w:t>20,972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20,758</w:t>
            </w:r>
          </w:p>
        </w:tc>
        <w:tc>
          <w:tcPr>
            <w:tcW w:w="30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4"/>
                <w:szCs w:val="14"/>
                <w:b w:val="1"/>
                <w:bCs w:val="1"/>
                <w:color w:val="auto"/>
              </w:rPr>
              <w:t>OPERATING COSTS AND EXPENSES</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 xml:space="preserve">Owned, leased, and other - direct </w:t>
            </w:r>
            <w:r>
              <w:rPr>
                <w:rFonts w:ascii="Arial" w:cs="Arial" w:eastAsia="Arial" w:hAnsi="Arial"/>
                <w:sz w:val="8"/>
                <w:szCs w:val="8"/>
                <w:color w:val="auto"/>
              </w:rPr>
              <w:t>5</w:t>
            </w:r>
          </w:p>
        </w:tc>
        <w:tc>
          <w:tcPr>
            <w:tcW w:w="220" w:type="dxa"/>
            <w:vAlign w:val="bottom"/>
          </w:tcPr>
          <w:p>
            <w:pPr>
              <w:spacing w:after="0"/>
              <w:rPr>
                <w:sz w:val="23"/>
                <w:szCs w:val="23"/>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1,306</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 xml:space="preserve">Depreciation, amortization, and other </w:t>
            </w:r>
            <w:r>
              <w:rPr>
                <w:rFonts w:ascii="Arial" w:cs="Arial" w:eastAsia="Arial" w:hAnsi="Arial"/>
                <w:sz w:val="8"/>
                <w:szCs w:val="8"/>
                <w:color w:val="auto"/>
              </w:rPr>
              <w:t>6</w:t>
            </w:r>
          </w:p>
        </w:tc>
        <w:tc>
          <w:tcPr>
            <w:tcW w:w="220" w:type="dxa"/>
            <w:vAlign w:val="bottom"/>
          </w:tcPr>
          <w:p>
            <w:pPr>
              <w:spacing w:after="0"/>
              <w:rPr>
                <w:sz w:val="23"/>
                <w:szCs w:val="23"/>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 xml:space="preserve">General, administrative, and other </w:t>
            </w:r>
            <w:r>
              <w:rPr>
                <w:rFonts w:ascii="Arial" w:cs="Arial" w:eastAsia="Arial" w:hAnsi="Arial"/>
                <w:sz w:val="8"/>
                <w:szCs w:val="8"/>
                <w:color w:val="auto"/>
              </w:rPr>
              <w:t>7</w:t>
            </w:r>
          </w:p>
        </w:tc>
        <w:tc>
          <w:tcPr>
            <w:tcW w:w="220" w:type="dxa"/>
            <w:vAlign w:val="bottom"/>
          </w:tcPr>
          <w:p>
            <w:pPr>
              <w:spacing w:after="0"/>
              <w:rPr>
                <w:sz w:val="23"/>
                <w:szCs w:val="23"/>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927</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Merger-related costs and charges</w:t>
            </w:r>
          </w:p>
        </w:tc>
        <w:tc>
          <w:tcPr>
            <w:tcW w:w="220" w:type="dxa"/>
            <w:vAlign w:val="bottom"/>
          </w:tcPr>
          <w:p>
            <w:pPr>
              <w:spacing w:after="0"/>
              <w:rPr>
                <w:sz w:val="23"/>
                <w:szCs w:val="23"/>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3020" w:type="dxa"/>
            <w:vAlign w:val="bottom"/>
            <w:gridSpan w:val="2"/>
          </w:tcPr>
          <w:p>
            <w:pPr>
              <w:jc w:val="right"/>
              <w:ind w:right="4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3560" w:type="dxa"/>
            <w:vAlign w:val="bottom"/>
          </w:tcPr>
          <w:p>
            <w:pPr>
              <w:spacing w:after="0"/>
              <w:rPr>
                <w:sz w:val="20"/>
                <w:szCs w:val="20"/>
                <w:color w:val="auto"/>
              </w:rPr>
            </w:pPr>
            <w:r>
              <w:rPr>
                <w:rFonts w:ascii="Arial" w:cs="Arial" w:eastAsia="Arial" w:hAnsi="Arial"/>
                <w:sz w:val="14"/>
                <w:szCs w:val="14"/>
                <w:color w:val="auto"/>
              </w:rPr>
              <w:t xml:space="preserve">Reimbursed expenses </w:t>
            </w:r>
            <w:r>
              <w:rPr>
                <w:rFonts w:ascii="Arial" w:cs="Arial" w:eastAsia="Arial" w:hAnsi="Arial"/>
                <w:sz w:val="8"/>
                <w:szCs w:val="8"/>
                <w:color w:val="auto"/>
              </w:rPr>
              <w:t>4</w:t>
            </w: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16,439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15,778</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4"/>
        </w:trPr>
        <w:tc>
          <w:tcPr>
            <w:tcW w:w="3560" w:type="dxa"/>
            <w:vAlign w:val="bottom"/>
          </w:tcPr>
          <w:p>
            <w:pPr>
              <w:ind w:left="1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Pr>
          <w:p>
            <w:pPr>
              <w:spacing w:after="0"/>
              <w:rPr>
                <w:sz w:val="21"/>
                <w:szCs w:val="21"/>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b w:val="1"/>
                <w:bCs w:val="1"/>
                <w:color w:val="auto"/>
              </w:rPr>
              <w:t>19,172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18,392</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220" w:type="dxa"/>
            <w:vAlign w:val="bottom"/>
          </w:tcPr>
          <w:p>
            <w:pPr>
              <w:spacing w:after="0"/>
              <w:rPr>
                <w:sz w:val="24"/>
                <w:szCs w:val="24"/>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b w:val="1"/>
                <w:bCs w:val="1"/>
                <w:color w:val="auto"/>
              </w:rPr>
              <w:t>1,800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2,366</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4"/>
                <w:szCs w:val="14"/>
                <w:color w:val="auto"/>
              </w:rPr>
              <w:t xml:space="preserve">Gains and other income, net </w:t>
            </w:r>
            <w:r>
              <w:rPr>
                <w:rFonts w:ascii="Arial" w:cs="Arial" w:eastAsia="Arial" w:hAnsi="Arial"/>
                <w:sz w:val="8"/>
                <w:szCs w:val="8"/>
                <w:color w:val="auto"/>
              </w:rPr>
              <w:t>8</w:t>
            </w:r>
          </w:p>
        </w:tc>
        <w:tc>
          <w:tcPr>
            <w:tcW w:w="220" w:type="dxa"/>
            <w:vAlign w:val="bottom"/>
          </w:tcPr>
          <w:p>
            <w:pPr>
              <w:spacing w:after="0"/>
              <w:rPr>
                <w:sz w:val="24"/>
                <w:szCs w:val="24"/>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23"/>
                <w:szCs w:val="23"/>
                <w:color w:val="auto"/>
              </w:rPr>
            </w:pPr>
          </w:p>
        </w:tc>
        <w:tc>
          <w:tcPr>
            <w:tcW w:w="1860" w:type="dxa"/>
            <w:vAlign w:val="bottom"/>
          </w:tcPr>
          <w:p>
            <w:pPr>
              <w:jc w:val="right"/>
              <w:ind w:right="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(340)</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23"/>
                <w:szCs w:val="23"/>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3020" w:type="dxa"/>
            <w:vAlign w:val="bottom"/>
            <w:gridSpan w:val="2"/>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3560" w:type="dxa"/>
            <w:vAlign w:val="bottom"/>
          </w:tcPr>
          <w:p>
            <w:pPr>
              <w:spacing w:after="0"/>
              <w:rPr>
                <w:sz w:val="20"/>
                <w:szCs w:val="20"/>
                <w:color w:val="auto"/>
              </w:rPr>
            </w:pPr>
            <w:r>
              <w:rPr>
                <w:rFonts w:ascii="Arial" w:cs="Arial" w:eastAsia="Arial" w:hAnsi="Arial"/>
                <w:sz w:val="14"/>
                <w:szCs w:val="14"/>
                <w:color w:val="auto"/>
              </w:rPr>
              <w:t xml:space="preserve">Equity in earnings </w:t>
            </w:r>
            <w:r>
              <w:rPr>
                <w:rFonts w:ascii="Arial" w:cs="Arial" w:eastAsia="Arial" w:hAnsi="Arial"/>
                <w:sz w:val="8"/>
                <w:szCs w:val="8"/>
                <w:color w:val="auto"/>
              </w:rPr>
              <w:t>9</w:t>
            </w: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44"/>
        </w:trPr>
        <w:tc>
          <w:tcPr>
            <w:tcW w:w="3560" w:type="dxa"/>
            <w:vAlign w:val="bottom"/>
          </w:tcPr>
          <w:p>
            <w:pPr>
              <w:spacing w:after="0"/>
              <w:rPr>
                <w:sz w:val="20"/>
                <w:szCs w:val="20"/>
                <w:color w:val="auto"/>
              </w:rPr>
            </w:pPr>
            <w:r>
              <w:rPr>
                <w:rFonts w:ascii="Arial" w:cs="Arial" w:eastAsia="Arial" w:hAnsi="Arial"/>
                <w:sz w:val="14"/>
                <w:szCs w:val="14"/>
                <w:b w:val="1"/>
                <w:bCs w:val="1"/>
                <w:color w:val="auto"/>
              </w:rPr>
              <w:t>INCOME BEFORE INCOME TAXES</w:t>
            </w:r>
          </w:p>
        </w:tc>
        <w:tc>
          <w:tcPr>
            <w:tcW w:w="220" w:type="dxa"/>
            <w:vAlign w:val="bottom"/>
          </w:tcPr>
          <w:p>
            <w:pPr>
              <w:spacing w:after="0"/>
              <w:rPr>
                <w:sz w:val="21"/>
                <w:szCs w:val="21"/>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b w:val="1"/>
                <w:bCs w:val="1"/>
                <w:color w:val="auto"/>
              </w:rPr>
              <w:t>1,599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2,345</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76"/>
        </w:trPr>
        <w:tc>
          <w:tcPr>
            <w:tcW w:w="35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(438)</w:t>
            </w:r>
          </w:p>
        </w:tc>
        <w:tc>
          <w:tcPr>
            <w:tcW w:w="3020" w:type="dxa"/>
            <w:vAlign w:val="bottom"/>
            <w:gridSpan w:val="2"/>
          </w:tcPr>
          <w:p>
            <w:pPr>
              <w:jc w:val="right"/>
              <w:ind w:right="4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1,273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1,907</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120"/>
              <w:spacing w:after="0"/>
              <w:rPr>
                <w:sz w:val="20"/>
                <w:szCs w:val="20"/>
                <w:color w:val="auto"/>
              </w:rPr>
            </w:pPr>
            <w:r>
              <w:rPr>
                <w:rFonts w:ascii="Arial" w:cs="Arial" w:eastAsia="Arial" w:hAnsi="Arial"/>
                <w:sz w:val="14"/>
                <w:szCs w:val="14"/>
                <w:color w:val="auto"/>
              </w:rPr>
              <w:t>Earnings per share - basic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5.45</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3560" w:type="dxa"/>
            <w:vAlign w:val="bottom"/>
          </w:tcPr>
          <w:p>
            <w:pPr>
              <w:ind w:left="120"/>
              <w:spacing w:after="0"/>
              <w:rPr>
                <w:sz w:val="20"/>
                <w:szCs w:val="20"/>
                <w:color w:val="auto"/>
              </w:rPr>
            </w:pPr>
            <w:r>
              <w:rPr>
                <w:rFonts w:ascii="Arial" w:cs="Arial" w:eastAsia="Arial" w:hAnsi="Arial"/>
                <w:sz w:val="14"/>
                <w:szCs w:val="14"/>
                <w:color w:val="auto"/>
              </w:rPr>
              <w:t>Earnings per share - diluted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5.38</w:t>
            </w:r>
          </w:p>
        </w:tc>
        <w:tc>
          <w:tcPr>
            <w:tcW w:w="3020" w:type="dxa"/>
            <w:vAlign w:val="bottom"/>
            <w:gridSpan w:val="2"/>
          </w:tcPr>
          <w:p>
            <w:pPr>
              <w:jc w:val="right"/>
              <w:ind w:right="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4"/>
                <w:szCs w:val="14"/>
                <w:color w:val="auto"/>
              </w:rPr>
              <w:t>Basic Shares</w:t>
            </w:r>
          </w:p>
        </w:tc>
        <w:tc>
          <w:tcPr>
            <w:tcW w:w="220" w:type="dxa"/>
            <w:vAlign w:val="bottom"/>
          </w:tcPr>
          <w:p>
            <w:pPr>
              <w:spacing w:after="0"/>
              <w:rPr>
                <w:sz w:val="24"/>
                <w:szCs w:val="24"/>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332.7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350.1</w:t>
            </w: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Diluted Shares</w:t>
            </w:r>
          </w:p>
        </w:tc>
        <w:tc>
          <w:tcPr>
            <w:tcW w:w="220" w:type="dxa"/>
            <w:vAlign w:val="bottom"/>
          </w:tcPr>
          <w:p>
            <w:pPr>
              <w:spacing w:after="0"/>
              <w:rPr>
                <w:sz w:val="23"/>
                <w:szCs w:val="23"/>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335.5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354.2</w:t>
            </w:r>
          </w:p>
        </w:tc>
        <w:tc>
          <w:tcPr>
            <w:tcW w:w="10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70" w:hanging="170"/>
        <w:spacing w:after="0"/>
        <w:tabs>
          <w:tab w:leader="none" w:pos="170" w:val="left"/>
        </w:tabs>
        <w:numPr>
          <w:ilvl w:val="0"/>
          <w:numId w:val="19"/>
        </w:numPr>
        <w:rPr>
          <w:rFonts w:ascii="Arial" w:cs="Arial" w:eastAsia="Arial" w:hAnsi="Arial"/>
          <w:sz w:val="8"/>
          <w:szCs w:val="8"/>
          <w:color w:val="auto"/>
        </w:rPr>
      </w:pPr>
      <w:r>
        <w:rPr>
          <w:rFonts w:ascii="Arial" w:cs="Arial" w:eastAsia="Arial" w:hAnsi="Arial"/>
          <w:sz w:val="13"/>
          <w:szCs w:val="13"/>
          <w:i w:val="1"/>
          <w:iCs w:val="1"/>
          <w:color w:val="auto"/>
        </w:rPr>
        <w:t xml:space="preserve">Franchise fees </w:t>
      </w:r>
      <w:r>
        <w:rPr>
          <w:rFonts w:ascii="Arial" w:cs="Arial" w:eastAsia="Arial" w:hAnsi="Arial"/>
          <w:sz w:val="13"/>
          <w:szCs w:val="13"/>
          <w:color w:val="auto"/>
        </w:rPr>
        <w:t>include fees from our franchise agreements, application and relicensing fees, licensing fees from our timeshare, credit card programs, and residential branding fees.</w:t>
      </w:r>
    </w:p>
    <w:p>
      <w:pPr>
        <w:spacing w:after="0" w:line="25" w:lineRule="exact"/>
        <w:rPr>
          <w:sz w:val="20"/>
          <w:szCs w:val="20"/>
          <w:color w:val="auto"/>
        </w:rPr>
      </w:pPr>
    </w:p>
    <w:p>
      <w:pPr>
        <w:ind w:left="170" w:right="40" w:hanging="170"/>
        <w:spacing w:after="0" w:line="241" w:lineRule="auto"/>
        <w:tabs>
          <w:tab w:leader="none" w:pos="170" w:val="left"/>
        </w:tabs>
        <w:numPr>
          <w:ilvl w:val="0"/>
          <w:numId w:val="20"/>
        </w:numPr>
        <w:rPr>
          <w:rFonts w:ascii="Arial" w:cs="Arial" w:eastAsia="Arial" w:hAnsi="Arial"/>
          <w:sz w:val="9"/>
          <w:szCs w:val="9"/>
          <w:color w:val="auto"/>
        </w:rPr>
      </w:pPr>
      <w:r>
        <w:rPr>
          <w:rFonts w:ascii="Arial" w:cs="Arial" w:eastAsia="Arial" w:hAnsi="Arial"/>
          <w:sz w:val="14"/>
          <w:szCs w:val="14"/>
          <w:i w:val="1"/>
          <w:iCs w:val="1"/>
          <w:color w:val="auto"/>
        </w:rPr>
        <w:t xml:space="preserve">Contract investment amortization </w:t>
      </w:r>
      <w:r>
        <w:rPr>
          <w:rFonts w:ascii="Arial" w:cs="Arial" w:eastAsia="Arial" w:hAnsi="Arial"/>
          <w:sz w:val="14"/>
          <w:szCs w:val="14"/>
          <w:color w:val="auto"/>
        </w:rPr>
        <w:t>includes amortization of capitalized costs to obtain contracts with our owner and franchisee customers, and any related impairments, accelerations, or write-offs.</w:t>
      </w:r>
    </w:p>
    <w:p>
      <w:pPr>
        <w:spacing w:after="0" w:line="1" w:lineRule="exact"/>
        <w:rPr>
          <w:sz w:val="20"/>
          <w:szCs w:val="20"/>
          <w:color w:val="auto"/>
        </w:rPr>
      </w:pPr>
    </w:p>
    <w:p>
      <w:pPr>
        <w:ind w:left="170" w:hanging="170"/>
        <w:spacing w:after="0"/>
        <w:tabs>
          <w:tab w:leader="none" w:pos="170" w:val="left"/>
        </w:tabs>
        <w:numPr>
          <w:ilvl w:val="0"/>
          <w:numId w:val="21"/>
        </w:numPr>
        <w:rPr>
          <w:rFonts w:ascii="Arial" w:cs="Arial" w:eastAsia="Arial" w:hAnsi="Arial"/>
          <w:sz w:val="9"/>
          <w:szCs w:val="9"/>
          <w:color w:val="auto"/>
        </w:rPr>
      </w:pPr>
      <w:r>
        <w:rPr>
          <w:rFonts w:ascii="Arial" w:cs="Arial" w:eastAsia="Arial" w:hAnsi="Arial"/>
          <w:sz w:val="14"/>
          <w:szCs w:val="14"/>
          <w:i w:val="1"/>
          <w:iCs w:val="1"/>
          <w:color w:val="auto"/>
        </w:rPr>
        <w:t xml:space="preserve">Owned, leased, and other revenue </w:t>
      </w:r>
      <w:r>
        <w:rPr>
          <w:rFonts w:ascii="Arial" w:cs="Arial" w:eastAsia="Arial" w:hAnsi="Arial"/>
          <w:sz w:val="14"/>
          <w:szCs w:val="14"/>
          <w:color w:val="auto"/>
        </w:rPr>
        <w:t>includes revenue from the properties we own or lease, termination fees, and other revenue.</w:t>
      </w:r>
    </w:p>
    <w:p>
      <w:pPr>
        <w:spacing w:after="0" w:line="1" w:lineRule="exact"/>
        <w:rPr>
          <w:sz w:val="20"/>
          <w:szCs w:val="20"/>
          <w:color w:val="auto"/>
        </w:rPr>
      </w:pPr>
    </w:p>
    <w:p>
      <w:pPr>
        <w:ind w:left="170" w:hanging="170"/>
        <w:spacing w:after="0" w:line="241" w:lineRule="auto"/>
        <w:tabs>
          <w:tab w:leader="none" w:pos="170" w:val="left"/>
        </w:tabs>
        <w:numPr>
          <w:ilvl w:val="0"/>
          <w:numId w:val="22"/>
        </w:numPr>
        <w:rPr>
          <w:rFonts w:ascii="Arial" w:cs="Arial" w:eastAsia="Arial" w:hAnsi="Arial"/>
          <w:sz w:val="9"/>
          <w:szCs w:val="9"/>
          <w:color w:val="auto"/>
        </w:rPr>
      </w:pPr>
      <w:r>
        <w:rPr>
          <w:rFonts w:ascii="Arial" w:cs="Arial" w:eastAsia="Arial" w:hAnsi="Arial"/>
          <w:sz w:val="14"/>
          <w:szCs w:val="14"/>
          <w:i w:val="1"/>
          <w:iCs w:val="1"/>
          <w:color w:val="auto"/>
        </w:rPr>
        <w:t xml:space="preserve">Cost reimbursement revenue </w:t>
      </w:r>
      <w:r>
        <w:rPr>
          <w:rFonts w:ascii="Arial" w:cs="Arial" w:eastAsia="Arial" w:hAnsi="Arial"/>
          <w:sz w:val="14"/>
          <w:szCs w:val="14"/>
          <w:color w:val="auto"/>
        </w:rPr>
        <w:t>includes reimbursements from properties for property-level and centralized programs and services that we operate for the benefit of our hotel owners.</w:t>
      </w:r>
      <w:r>
        <w:rPr>
          <w:rFonts w:ascii="Arial" w:cs="Arial" w:eastAsia="Arial" w:hAnsi="Arial"/>
          <w:sz w:val="14"/>
          <w:szCs w:val="14"/>
          <w:i w:val="1"/>
          <w:iCs w:val="1"/>
          <w:color w:val="auto"/>
        </w:rPr>
        <w:t xml:space="preserve"> Reimbursed expenses </w:t>
      </w:r>
      <w:r>
        <w:rPr>
          <w:rFonts w:ascii="Arial" w:cs="Arial" w:eastAsia="Arial" w:hAnsi="Arial"/>
          <w:sz w:val="14"/>
          <w:szCs w:val="14"/>
          <w:color w:val="auto"/>
        </w:rPr>
        <w:t>include costs incurred by Marriott for certain property-level operating expenses and centralized programs and services.</w:t>
      </w:r>
    </w:p>
    <w:p>
      <w:pPr>
        <w:spacing w:after="0" w:line="1" w:lineRule="exact"/>
        <w:rPr>
          <w:sz w:val="20"/>
          <w:szCs w:val="20"/>
          <w:color w:val="auto"/>
        </w:rPr>
      </w:pPr>
    </w:p>
    <w:p>
      <w:pPr>
        <w:ind w:left="170" w:hanging="170"/>
        <w:spacing w:after="0"/>
        <w:tabs>
          <w:tab w:leader="none" w:pos="170" w:val="left"/>
        </w:tabs>
        <w:numPr>
          <w:ilvl w:val="0"/>
          <w:numId w:val="23"/>
        </w:numPr>
        <w:rPr>
          <w:rFonts w:ascii="Arial" w:cs="Arial" w:eastAsia="Arial" w:hAnsi="Arial"/>
          <w:sz w:val="9"/>
          <w:szCs w:val="9"/>
          <w:color w:val="auto"/>
        </w:rPr>
      </w:pPr>
      <w:r>
        <w:rPr>
          <w:rFonts w:ascii="Arial" w:cs="Arial" w:eastAsia="Arial" w:hAnsi="Arial"/>
          <w:sz w:val="14"/>
          <w:szCs w:val="14"/>
          <w:i w:val="1"/>
          <w:iCs w:val="1"/>
          <w:color w:val="auto"/>
        </w:rPr>
        <w:t xml:space="preserve">Owned, leased, and other - direct </w:t>
      </w:r>
      <w:r>
        <w:rPr>
          <w:rFonts w:ascii="Arial" w:cs="Arial" w:eastAsia="Arial" w:hAnsi="Arial"/>
          <w:sz w:val="14"/>
          <w:szCs w:val="14"/>
          <w:color w:val="auto"/>
        </w:rPr>
        <w:t>expenses include operating expenses related to our owned or leased hotels, including lease payments and pre-opening expenses.</w:t>
      </w:r>
    </w:p>
    <w:p>
      <w:pPr>
        <w:spacing w:after="0" w:line="1" w:lineRule="exact"/>
        <w:rPr>
          <w:sz w:val="20"/>
          <w:szCs w:val="20"/>
          <w:color w:val="auto"/>
        </w:rPr>
      </w:pPr>
    </w:p>
    <w:p>
      <w:pPr>
        <w:ind w:left="170" w:right="40" w:hanging="170"/>
        <w:spacing w:after="0" w:line="241" w:lineRule="auto"/>
        <w:tabs>
          <w:tab w:leader="none" w:pos="170" w:val="left"/>
        </w:tabs>
        <w:numPr>
          <w:ilvl w:val="0"/>
          <w:numId w:val="24"/>
        </w:numPr>
        <w:rPr>
          <w:rFonts w:ascii="Arial" w:cs="Arial" w:eastAsia="Arial" w:hAnsi="Arial"/>
          <w:sz w:val="9"/>
          <w:szCs w:val="9"/>
          <w:color w:val="auto"/>
        </w:rPr>
      </w:pPr>
      <w:r>
        <w:rPr>
          <w:rFonts w:ascii="Arial" w:cs="Arial" w:eastAsia="Arial" w:hAnsi="Arial"/>
          <w:sz w:val="14"/>
          <w:szCs w:val="14"/>
          <w:i w:val="1"/>
          <w:iCs w:val="1"/>
          <w:color w:val="auto"/>
        </w:rPr>
        <w:t xml:space="preserve">Depreciation, amortization, and other </w:t>
      </w:r>
      <w:r>
        <w:rPr>
          <w:rFonts w:ascii="Arial" w:cs="Arial" w:eastAsia="Arial" w:hAnsi="Arial"/>
          <w:sz w:val="14"/>
          <w:szCs w:val="14"/>
          <w:color w:val="auto"/>
        </w:rPr>
        <w:t>expenses include depreciation for fixed assets, amortization of capitalized costs incurred to acquire management, franchise, and license agreements, and</w:t>
      </w:r>
      <w:r>
        <w:rPr>
          <w:rFonts w:ascii="Arial" w:cs="Arial" w:eastAsia="Arial" w:hAnsi="Arial"/>
          <w:sz w:val="14"/>
          <w:szCs w:val="14"/>
          <w:i w:val="1"/>
          <w:iCs w:val="1"/>
          <w:color w:val="auto"/>
        </w:rPr>
        <w:t xml:space="preserve"> </w:t>
      </w:r>
      <w:r>
        <w:rPr>
          <w:rFonts w:ascii="Arial" w:cs="Arial" w:eastAsia="Arial" w:hAnsi="Arial"/>
          <w:sz w:val="14"/>
          <w:szCs w:val="14"/>
          <w:color w:val="auto"/>
        </w:rPr>
        <w:t>any related impairments, accelerations, or write-offs.</w:t>
      </w:r>
    </w:p>
    <w:p>
      <w:pPr>
        <w:spacing w:after="0" w:line="1" w:lineRule="exact"/>
        <w:rPr>
          <w:sz w:val="20"/>
          <w:szCs w:val="20"/>
          <w:color w:val="auto"/>
        </w:rPr>
      </w:pPr>
    </w:p>
    <w:p>
      <w:pPr>
        <w:ind w:left="170" w:hanging="170"/>
        <w:spacing w:after="0"/>
        <w:tabs>
          <w:tab w:leader="none" w:pos="170" w:val="left"/>
        </w:tabs>
        <w:numPr>
          <w:ilvl w:val="0"/>
          <w:numId w:val="25"/>
        </w:numPr>
        <w:rPr>
          <w:rFonts w:ascii="Arial" w:cs="Arial" w:eastAsia="Arial" w:hAnsi="Arial"/>
          <w:sz w:val="9"/>
          <w:szCs w:val="9"/>
          <w:color w:val="auto"/>
        </w:rPr>
      </w:pPr>
      <w:r>
        <w:rPr>
          <w:rFonts w:ascii="Arial" w:cs="Arial" w:eastAsia="Arial" w:hAnsi="Arial"/>
          <w:sz w:val="14"/>
          <w:szCs w:val="14"/>
          <w:i w:val="1"/>
          <w:iCs w:val="1"/>
          <w:color w:val="auto"/>
        </w:rPr>
        <w:t xml:space="preserve">General, administrative, and other </w:t>
      </w:r>
      <w:r>
        <w:rPr>
          <w:rFonts w:ascii="Arial" w:cs="Arial" w:eastAsia="Arial" w:hAnsi="Arial"/>
          <w:sz w:val="14"/>
          <w:szCs w:val="14"/>
          <w:color w:val="auto"/>
        </w:rPr>
        <w:t>expenses include our corporate and business segments overhead costs and general expenses.</w:t>
      </w:r>
    </w:p>
    <w:p>
      <w:pPr>
        <w:spacing w:after="0" w:line="1" w:lineRule="exact"/>
        <w:rPr>
          <w:sz w:val="20"/>
          <w:szCs w:val="20"/>
          <w:color w:val="auto"/>
        </w:rPr>
      </w:pPr>
    </w:p>
    <w:p>
      <w:pPr>
        <w:ind w:left="170" w:hanging="170"/>
        <w:spacing w:after="0"/>
        <w:tabs>
          <w:tab w:leader="none" w:pos="170" w:val="left"/>
        </w:tabs>
        <w:numPr>
          <w:ilvl w:val="0"/>
          <w:numId w:val="26"/>
        </w:numPr>
        <w:rPr>
          <w:rFonts w:ascii="Arial" w:cs="Arial" w:eastAsia="Arial" w:hAnsi="Arial"/>
          <w:sz w:val="8"/>
          <w:szCs w:val="8"/>
          <w:color w:val="auto"/>
        </w:rPr>
      </w:pPr>
      <w:r>
        <w:rPr>
          <w:rFonts w:ascii="Arial" w:cs="Arial" w:eastAsia="Arial" w:hAnsi="Arial"/>
          <w:sz w:val="13"/>
          <w:szCs w:val="13"/>
          <w:i w:val="1"/>
          <w:iCs w:val="1"/>
          <w:color w:val="auto"/>
        </w:rPr>
        <w:t xml:space="preserve">Gains and other income, net </w:t>
      </w:r>
      <w:r>
        <w:rPr>
          <w:rFonts w:ascii="Arial" w:cs="Arial" w:eastAsia="Arial" w:hAnsi="Arial"/>
          <w:sz w:val="13"/>
          <w:szCs w:val="13"/>
          <w:color w:val="auto"/>
        </w:rPr>
        <w:t>includes gains and losses on the sale of real estate, the sale of joint venture interests and other investments, and adjustments from other equity investments.</w:t>
      </w:r>
    </w:p>
    <w:p>
      <w:pPr>
        <w:spacing w:after="0" w:line="13" w:lineRule="exact"/>
        <w:rPr>
          <w:sz w:val="20"/>
          <w:szCs w:val="20"/>
          <w:color w:val="auto"/>
        </w:rPr>
      </w:pPr>
    </w:p>
    <w:p>
      <w:pPr>
        <w:ind w:left="170" w:hanging="170"/>
        <w:spacing w:after="0"/>
        <w:tabs>
          <w:tab w:leader="none" w:pos="170" w:val="left"/>
        </w:tabs>
        <w:numPr>
          <w:ilvl w:val="0"/>
          <w:numId w:val="27"/>
        </w:numPr>
        <w:rPr>
          <w:rFonts w:ascii="Arial" w:cs="Arial" w:eastAsia="Arial" w:hAnsi="Arial"/>
          <w:sz w:val="9"/>
          <w:szCs w:val="9"/>
          <w:color w:val="auto"/>
        </w:rPr>
      </w:pPr>
      <w:r>
        <w:rPr>
          <w:rFonts w:ascii="Arial" w:cs="Arial" w:eastAsia="Arial" w:hAnsi="Arial"/>
          <w:sz w:val="14"/>
          <w:szCs w:val="14"/>
          <w:i w:val="1"/>
          <w:iCs w:val="1"/>
          <w:color w:val="auto"/>
        </w:rPr>
        <w:t xml:space="preserve">Equity in earnings </w:t>
      </w:r>
      <w:r>
        <w:rPr>
          <w:rFonts w:ascii="Arial" w:cs="Arial" w:eastAsia="Arial" w:hAnsi="Arial"/>
          <w:sz w:val="14"/>
          <w:szCs w:val="14"/>
          <w:color w:val="auto"/>
        </w:rPr>
        <w:t>include our equity in earnings or losses of unconsolidated equity method investments.</w:t>
      </w:r>
    </w:p>
    <w:p>
      <w:pPr>
        <w:spacing w:after="0" w:line="1" w:lineRule="exact"/>
        <w:rPr>
          <w:sz w:val="20"/>
          <w:szCs w:val="20"/>
          <w:color w:val="auto"/>
        </w:rPr>
      </w:pPr>
    </w:p>
    <w:p>
      <w:pPr>
        <w:ind w:left="170" w:hanging="170"/>
        <w:spacing w:after="0"/>
        <w:tabs>
          <w:tab w:leader="none" w:pos="170" w:val="left"/>
        </w:tabs>
        <w:numPr>
          <w:ilvl w:val="0"/>
          <w:numId w:val="28"/>
        </w:numPr>
        <w:rPr>
          <w:rFonts w:ascii="Arial" w:cs="Arial" w:eastAsia="Arial" w:hAnsi="Arial"/>
          <w:sz w:val="9"/>
          <w:szCs w:val="9"/>
          <w:color w:val="auto"/>
        </w:rPr>
      </w:pPr>
      <w:r>
        <w:rPr>
          <w:rFonts w:ascii="Arial" w:cs="Arial" w:eastAsia="Arial" w:hAnsi="Arial"/>
          <w:sz w:val="14"/>
          <w:szCs w:val="14"/>
          <w:color w:val="auto"/>
        </w:rPr>
        <w:t>Reflects revised information for our 2018 first, second and third quarters as presented in our 2018 Annual Report on Form 10-K.</w:t>
      </w:r>
    </w:p>
    <w:p>
      <w:pPr>
        <w:sectPr>
          <w:pgSz w:w="11900" w:h="16838" w:orient="portrait"/>
          <w:cols w:equalWidth="0" w:num="1">
            <w:col w:w="11170"/>
          </w:cols>
          <w:pgMar w:left="410" w:top="342" w:right="319" w:bottom="1440" w:gutter="0" w:footer="0" w:header="0"/>
        </w:sectPr>
      </w:pPr>
    </w:p>
    <w:p>
      <w:pPr>
        <w:spacing w:after="0" w:line="210" w:lineRule="exact"/>
        <w:rPr>
          <w:sz w:val="20"/>
          <w:szCs w:val="20"/>
          <w:color w:val="auto"/>
        </w:rPr>
      </w:pPr>
    </w:p>
    <w:p>
      <w:pPr>
        <w:jc w:val="center"/>
        <w:ind w:right="70"/>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170"/>
          </w:cols>
          <w:pgMar w:left="410" w:top="342" w:right="319" w:bottom="1440" w:gutter="0" w:footer="0" w:header="0"/>
          <w:type w:val="continuous"/>
        </w:sectPr>
      </w:pPr>
    </w:p>
    <w:bookmarkStart w:id="16" w:name="page17"/>
    <w:bookmarkEnd w:id="16"/>
    <w:p>
      <w:pPr>
        <w:ind w:left="4200"/>
        <w:spacing w:after="0"/>
        <w:rPr>
          <w:sz w:val="20"/>
          <w:szCs w:val="20"/>
          <w:color w:val="auto"/>
        </w:rPr>
      </w:pPr>
      <w:r>
        <w:rPr>
          <w:rFonts w:ascii="Arial" w:cs="Arial" w:eastAsia="Arial" w:hAnsi="Arial"/>
          <w:sz w:val="18"/>
          <w:szCs w:val="18"/>
          <w:b w:val="1"/>
          <w:bCs w:val="1"/>
          <w:color w:val="auto"/>
        </w:rPr>
        <w:t>MARRIOTT INTERNATIONAL, INC.</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NON-GAAP FINANCIAL MEASURES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in millions except per share amounts)</w:t>
      </w:r>
    </w:p>
    <w:p>
      <w:pPr>
        <w:spacing w:after="0" w:line="200" w:lineRule="exact"/>
        <w:rPr>
          <w:sz w:val="20"/>
          <w:szCs w:val="20"/>
          <w:color w:val="auto"/>
        </w:rPr>
      </w:pPr>
    </w:p>
    <w:p>
      <w:pPr>
        <w:spacing w:after="0" w:line="242" w:lineRule="exact"/>
        <w:rPr>
          <w:sz w:val="20"/>
          <w:szCs w:val="20"/>
          <w:color w:val="auto"/>
        </w:rPr>
      </w:pPr>
    </w:p>
    <w:p>
      <w:pPr>
        <w:ind w:right="160"/>
        <w:spacing w:after="0" w:line="286" w:lineRule="auto"/>
        <w:rPr>
          <w:sz w:val="20"/>
          <w:szCs w:val="20"/>
          <w:color w:val="auto"/>
        </w:rPr>
      </w:pPr>
      <w:r>
        <w:rPr>
          <w:rFonts w:ascii="Arial" w:cs="Arial" w:eastAsia="Arial" w:hAnsi="Arial"/>
          <w:sz w:val="15"/>
          <w:szCs w:val="15"/>
          <w:color w:val="auto"/>
        </w:rPr>
        <w:t>The following table presents our reconciliations of Adjusted operating income, Adjusted operating income margin, Adjusted net income, Adjusted diluted EPS, and Adjusted net income and Adjusted diluted EPS excluding Asset impairments, Gain on asset dispositions, Gain on investee’s property sales, and the income tax effect of these adjustments, to the most directly comparable GAAP measure. Adjusted total revenues is used in the determination of Adjusted operating income margin.</w:t>
      </w: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Twelve Months Ended</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120" w:type="dxa"/>
            <w:vAlign w:val="bottom"/>
          </w:tcPr>
          <w:p>
            <w:pPr>
              <w:spacing w:after="0"/>
              <w:rPr>
                <w:sz w:val="16"/>
                <w:szCs w:val="16"/>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December 31, 2018</w:t>
            </w:r>
          </w:p>
        </w:tc>
        <w:tc>
          <w:tcPr>
            <w:tcW w:w="120" w:type="dxa"/>
            <w:vAlign w:val="bottom"/>
          </w:tcPr>
          <w:p>
            <w:pPr>
              <w:spacing w:after="0"/>
              <w:rPr>
                <w:sz w:val="16"/>
                <w:szCs w:val="16"/>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Percent</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12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9"/>
              </w:rPr>
              <w:t>Better/(Worse)</w:t>
            </w:r>
          </w:p>
        </w:tc>
        <w:tc>
          <w:tcPr>
            <w:tcW w:w="100" w:type="dxa"/>
            <w:vAlign w:val="bottom"/>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29"/>
              <w:spacing w:after="0"/>
              <w:rPr>
                <w:sz w:val="20"/>
                <w:szCs w:val="20"/>
                <w:color w:val="auto"/>
              </w:rPr>
            </w:pPr>
            <w:r>
              <w:rPr>
                <w:rFonts w:ascii="Arial" w:cs="Arial" w:eastAsia="Arial" w:hAnsi="Arial"/>
                <w:sz w:val="9"/>
                <w:szCs w:val="9"/>
                <w:b w:val="1"/>
                <w:bCs w:val="1"/>
                <w:color w:val="auto"/>
              </w:rPr>
              <w:t>1</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9"/>
              </w:rPr>
              <w:t>Better/(Worse)</w:t>
            </w:r>
          </w:p>
        </w:tc>
        <w:tc>
          <w:tcPr>
            <w:tcW w:w="0" w:type="dxa"/>
            <w:vAlign w:val="bottom"/>
          </w:tcPr>
          <w:p>
            <w:pPr>
              <w:spacing w:after="0"/>
              <w:rPr>
                <w:sz w:val="1"/>
                <w:szCs w:val="1"/>
                <w:color w:val="auto"/>
              </w:rPr>
            </w:pPr>
          </w:p>
        </w:tc>
      </w:tr>
      <w:tr>
        <w:trPr>
          <w:trHeight w:val="252"/>
        </w:trPr>
        <w:tc>
          <w:tcPr>
            <w:tcW w:w="3660" w:type="dxa"/>
            <w:vAlign w:val="bottom"/>
          </w:tcPr>
          <w:p>
            <w:pPr>
              <w:spacing w:after="0"/>
              <w:rPr>
                <w:sz w:val="20"/>
                <w:szCs w:val="20"/>
                <w:color w:val="auto"/>
              </w:rPr>
            </w:pPr>
            <w:r>
              <w:rPr>
                <w:rFonts w:ascii="Arial" w:cs="Arial" w:eastAsia="Arial" w:hAnsi="Arial"/>
                <w:sz w:val="14"/>
                <w:szCs w:val="14"/>
                <w:color w:val="auto"/>
              </w:rPr>
              <w:t>Total revenues, as reported</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5,371</w:t>
            </w:r>
          </w:p>
        </w:tc>
        <w:tc>
          <w:tcPr>
            <w:tcW w:w="5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5,289</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20,972</w:t>
            </w:r>
          </w:p>
        </w:tc>
        <w:tc>
          <w:tcPr>
            <w:tcW w:w="50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20,758</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0"/>
                <w:szCs w:val="20"/>
                <w:color w:val="auto"/>
              </w:rPr>
            </w:pPr>
            <w:r>
              <w:rPr>
                <w:rFonts w:ascii="Arial" w:cs="Arial" w:eastAsia="Arial" w:hAnsi="Arial"/>
                <w:sz w:val="14"/>
                <w:szCs w:val="14"/>
                <w:color w:val="auto"/>
              </w:rPr>
              <w:t>Less: Cost reimbursement revenue</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(3,988)</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(3,984)</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(15,599)</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(15,543)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0"/>
                <w:szCs w:val="20"/>
                <w:color w:val="auto"/>
              </w:rPr>
            </w:pPr>
            <w:r>
              <w:rPr>
                <w:rFonts w:ascii="Arial" w:cs="Arial" w:eastAsia="Arial" w:hAnsi="Arial"/>
                <w:sz w:val="14"/>
                <w:szCs w:val="14"/>
                <w:color w:val="auto"/>
              </w:rPr>
              <w:t>Adjusted total revenues**</w:t>
            </w:r>
          </w:p>
        </w:tc>
        <w:tc>
          <w:tcPr>
            <w:tcW w:w="400" w:type="dxa"/>
            <w:vAlign w:val="bottom"/>
          </w:tcPr>
          <w:p>
            <w:pPr>
              <w:spacing w:after="0"/>
              <w:rPr>
                <w:sz w:val="21"/>
                <w:szCs w:val="21"/>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1,383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1,305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5,373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5,215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3660" w:type="dxa"/>
            <w:vAlign w:val="bottom"/>
          </w:tcPr>
          <w:p>
            <w:pPr>
              <w:spacing w:after="0"/>
              <w:rPr>
                <w:sz w:val="20"/>
                <w:szCs w:val="20"/>
                <w:color w:val="auto"/>
              </w:rPr>
            </w:pPr>
            <w:r>
              <w:rPr>
                <w:rFonts w:ascii="Arial" w:cs="Arial" w:eastAsia="Arial" w:hAnsi="Arial"/>
                <w:sz w:val="14"/>
                <w:szCs w:val="14"/>
                <w:color w:val="auto"/>
              </w:rPr>
              <w:t>Operating income, as reported</w:t>
            </w:r>
          </w:p>
        </w:tc>
        <w:tc>
          <w:tcPr>
            <w:tcW w:w="4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1,800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2,366</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Less: Cost reimbursement revenue</w:t>
            </w: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(3,988)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(3,984)</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(15,599)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(15,543)</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Add: Reimbursed expenses</w:t>
            </w:r>
          </w:p>
        </w:tc>
        <w:tc>
          <w:tcPr>
            <w:tcW w:w="400" w:type="dxa"/>
            <w:vAlign w:val="bottom"/>
          </w:tcPr>
          <w:p>
            <w:pPr>
              <w:spacing w:after="0"/>
              <w:rPr>
                <w:sz w:val="23"/>
                <w:szCs w:val="23"/>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4,370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4,151</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16,439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15,778</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0"/>
                <w:szCs w:val="20"/>
                <w:color w:val="auto"/>
              </w:rPr>
            </w:pPr>
            <w:r>
              <w:rPr>
                <w:rFonts w:ascii="Arial" w:cs="Arial" w:eastAsia="Arial" w:hAnsi="Arial"/>
                <w:sz w:val="14"/>
                <w:szCs w:val="14"/>
                <w:color w:val="auto"/>
              </w:rPr>
              <w:t>Add: Merger-related costs and charges (credits)</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138</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0"/>
                <w:szCs w:val="20"/>
                <w:color w:val="auto"/>
              </w:rPr>
            </w:pPr>
            <w:r>
              <w:rPr>
                <w:rFonts w:ascii="Arial" w:cs="Arial" w:eastAsia="Arial" w:hAnsi="Arial"/>
                <w:sz w:val="14"/>
                <w:szCs w:val="14"/>
                <w:b w:val="1"/>
                <w:bCs w:val="1"/>
                <w:color w:val="auto"/>
              </w:rPr>
              <w:t>Adjusted operating income **</w:t>
            </w:r>
          </w:p>
        </w:tc>
        <w:tc>
          <w:tcPr>
            <w:tcW w:w="400" w:type="dxa"/>
            <w:vAlign w:val="bottom"/>
          </w:tcPr>
          <w:p>
            <w:pPr>
              <w:spacing w:after="0"/>
              <w:rPr>
                <w:sz w:val="21"/>
                <w:szCs w:val="21"/>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603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680</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-11 %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2,778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rPr>
              <w:t>2,756</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1 %</w:t>
            </w:r>
          </w:p>
        </w:tc>
        <w:tc>
          <w:tcPr>
            <w:tcW w:w="0" w:type="dxa"/>
            <w:vAlign w:val="bottom"/>
          </w:tcPr>
          <w:p>
            <w:pPr>
              <w:spacing w:after="0"/>
              <w:rPr>
                <w:sz w:val="1"/>
                <w:szCs w:val="1"/>
                <w:color w:val="auto"/>
              </w:rPr>
            </w:pPr>
          </w:p>
        </w:tc>
      </w:tr>
      <w:tr>
        <w:trPr>
          <w:trHeight w:val="500"/>
        </w:trPr>
        <w:tc>
          <w:tcPr>
            <w:tcW w:w="3660" w:type="dxa"/>
            <w:vAlign w:val="bottom"/>
          </w:tcPr>
          <w:p>
            <w:pPr>
              <w:spacing w:after="0"/>
              <w:rPr>
                <w:sz w:val="20"/>
                <w:szCs w:val="20"/>
                <w:color w:val="auto"/>
              </w:rPr>
            </w:pPr>
            <w:r>
              <w:rPr>
                <w:rFonts w:ascii="Arial" w:cs="Arial" w:eastAsia="Arial" w:hAnsi="Arial"/>
                <w:sz w:val="14"/>
                <w:szCs w:val="14"/>
                <w:b w:val="1"/>
                <w:bCs w:val="1"/>
                <w:color w:val="auto"/>
              </w:rPr>
              <w:t>Operating income margin</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b w:val="1"/>
                <w:bCs w:val="1"/>
                <w:color w:val="auto"/>
              </w:rPr>
              <w:t>Adjusted operating income margin **</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8"/>
        </w:trPr>
        <w:tc>
          <w:tcPr>
            <w:tcW w:w="3660" w:type="dxa"/>
            <w:vAlign w:val="bottom"/>
          </w:tcPr>
          <w:p>
            <w:pPr>
              <w:spacing w:after="0"/>
              <w:rPr>
                <w:sz w:val="20"/>
                <w:szCs w:val="20"/>
                <w:color w:val="auto"/>
              </w:rPr>
            </w:pPr>
            <w:r>
              <w:rPr>
                <w:rFonts w:ascii="Arial" w:cs="Arial" w:eastAsia="Arial" w:hAnsi="Arial"/>
                <w:sz w:val="14"/>
                <w:szCs w:val="14"/>
                <w:color w:val="auto"/>
              </w:rPr>
              <w:t>Net income, as reported</w:t>
            </w:r>
          </w:p>
        </w:tc>
        <w:tc>
          <w:tcPr>
            <w:tcW w:w="4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1,273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Less: Cost reimbursement revenue</w:t>
            </w: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(3,988)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(3,984)</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(15,599)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(15,543)</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Add: Reimbursed expenses</w:t>
            </w:r>
          </w:p>
        </w:tc>
        <w:tc>
          <w:tcPr>
            <w:tcW w:w="400" w:type="dxa"/>
            <w:vAlign w:val="bottom"/>
          </w:tcPr>
          <w:p>
            <w:pPr>
              <w:spacing w:after="0"/>
              <w:rPr>
                <w:sz w:val="23"/>
                <w:szCs w:val="23"/>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4,370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4,151</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16,439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15,778</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Add: Merger-related costs and charges (credits)</w:t>
            </w: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138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Less: Gain on sale of Avendra</w:t>
            </w:r>
          </w:p>
        </w:tc>
        <w:tc>
          <w:tcPr>
            <w:tcW w:w="400" w:type="dxa"/>
            <w:vAlign w:val="bottom"/>
          </w:tcPr>
          <w:p>
            <w:pPr>
              <w:spacing w:after="0"/>
              <w:rPr>
                <w:sz w:val="23"/>
                <w:szCs w:val="23"/>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Income tax effect of above adjustments</w:t>
            </w: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0"/>
                <w:szCs w:val="20"/>
                <w:color w:val="auto"/>
              </w:rPr>
            </w:pPr>
            <w:r>
              <w:rPr>
                <w:rFonts w:ascii="Arial" w:cs="Arial" w:eastAsia="Arial" w:hAnsi="Arial"/>
                <w:sz w:val="14"/>
                <w:szCs w:val="14"/>
                <w:color w:val="auto"/>
              </w:rPr>
              <w:t>Add: U.S. Tax Cuts and Jobs Act of 2017</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0"/>
                <w:szCs w:val="20"/>
                <w:color w:val="auto"/>
              </w:rPr>
            </w:pPr>
            <w:r>
              <w:rPr>
                <w:rFonts w:ascii="Arial" w:cs="Arial" w:eastAsia="Arial" w:hAnsi="Arial"/>
                <w:sz w:val="14"/>
                <w:szCs w:val="14"/>
                <w:b w:val="1"/>
                <w:bCs w:val="1"/>
                <w:color w:val="auto"/>
              </w:rPr>
              <w:t>Adjusted net income **</w:t>
            </w:r>
          </w:p>
        </w:tc>
        <w:tc>
          <w:tcPr>
            <w:tcW w:w="400" w:type="dxa"/>
            <w:vAlign w:val="bottom"/>
          </w:tcPr>
          <w:p>
            <w:pPr>
              <w:spacing w:after="0"/>
              <w:rPr>
                <w:sz w:val="21"/>
                <w:szCs w:val="21"/>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517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497</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4 %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rPr>
              <w:t>2,201</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-9 %</w:t>
            </w:r>
          </w:p>
        </w:tc>
        <w:tc>
          <w:tcPr>
            <w:tcW w:w="0" w:type="dxa"/>
            <w:vAlign w:val="bottom"/>
          </w:tcPr>
          <w:p>
            <w:pPr>
              <w:spacing w:after="0"/>
              <w:rPr>
                <w:sz w:val="1"/>
                <w:szCs w:val="1"/>
                <w:color w:val="auto"/>
              </w:rPr>
            </w:pPr>
          </w:p>
        </w:tc>
      </w:tr>
      <w:tr>
        <w:trPr>
          <w:trHeight w:val="554"/>
        </w:trPr>
        <w:tc>
          <w:tcPr>
            <w:tcW w:w="3660" w:type="dxa"/>
            <w:vAlign w:val="bottom"/>
          </w:tcPr>
          <w:p>
            <w:pPr>
              <w:spacing w:after="0"/>
              <w:rPr>
                <w:sz w:val="20"/>
                <w:szCs w:val="20"/>
                <w:color w:val="auto"/>
              </w:rPr>
            </w:pPr>
            <w:r>
              <w:rPr>
                <w:rFonts w:ascii="Arial" w:cs="Arial" w:eastAsia="Arial" w:hAnsi="Arial"/>
                <w:sz w:val="14"/>
                <w:szCs w:val="14"/>
                <w:color w:val="auto"/>
              </w:rPr>
              <w:t>Add: Asset impairments</w:t>
            </w:r>
          </w:p>
        </w:tc>
        <w:tc>
          <w:tcPr>
            <w:tcW w:w="4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Less: Gain on asset dispositions</w:t>
            </w: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Less: Gain on investee’s property sales</w:t>
            </w:r>
          </w:p>
        </w:tc>
        <w:tc>
          <w:tcPr>
            <w:tcW w:w="400" w:type="dxa"/>
            <w:vAlign w:val="bottom"/>
          </w:tcPr>
          <w:p>
            <w:pPr>
              <w:spacing w:after="0"/>
              <w:rPr>
                <w:sz w:val="23"/>
                <w:szCs w:val="23"/>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0"/>
                <w:szCs w:val="20"/>
                <w:color w:val="auto"/>
              </w:rPr>
            </w:pPr>
            <w:r>
              <w:rPr>
                <w:rFonts w:ascii="Arial" w:cs="Arial" w:eastAsia="Arial" w:hAnsi="Arial"/>
                <w:sz w:val="14"/>
                <w:szCs w:val="14"/>
                <w:color w:val="auto"/>
              </w:rPr>
              <w:t>Income tax effect of above adjustments</w:t>
            </w: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3660" w:type="dxa"/>
            <w:vAlign w:val="bottom"/>
          </w:tcPr>
          <w:p>
            <w:pPr>
              <w:spacing w:after="0" w:line="139" w:lineRule="exact"/>
              <w:rPr>
                <w:sz w:val="20"/>
                <w:szCs w:val="20"/>
                <w:color w:val="auto"/>
              </w:rPr>
            </w:pPr>
            <w:r>
              <w:rPr>
                <w:rFonts w:ascii="Arial" w:cs="Arial" w:eastAsia="Arial" w:hAnsi="Arial"/>
                <w:sz w:val="14"/>
                <w:szCs w:val="14"/>
                <w:b w:val="1"/>
                <w:bCs w:val="1"/>
                <w:color w:val="auto"/>
                <w:w w:val="96"/>
              </w:rPr>
              <w:t>Adjusted net income, excluding Asset impairments, Gain</w:t>
            </w: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b w:val="1"/>
                <w:bCs w:val="1"/>
                <w:color w:val="auto"/>
                <w:w w:val="89"/>
              </w:rPr>
              <w:t>on asset dispositions, Gain on investee's property sales, and</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498</w:t>
            </w:r>
          </w:p>
        </w:tc>
        <w:tc>
          <w:tcPr>
            <w:tcW w:w="120" w:type="dxa"/>
            <w:vAlign w:val="bottom"/>
            <w:vMerge w:val="restart"/>
          </w:tcPr>
          <w:p>
            <w:pPr>
              <w:spacing w:after="0"/>
              <w:rPr>
                <w:sz w:val="12"/>
                <w:szCs w:val="12"/>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489</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2 %</w:t>
            </w:r>
          </w:p>
        </w:tc>
        <w:tc>
          <w:tcPr>
            <w:tcW w:w="100" w:type="dxa"/>
            <w:vAlign w:val="bottom"/>
          </w:tcPr>
          <w:p>
            <w:pPr>
              <w:spacing w:after="0"/>
              <w:rPr>
                <w:sz w:val="12"/>
                <w:szCs w:val="12"/>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1,986</w:t>
            </w:r>
          </w:p>
        </w:tc>
        <w:tc>
          <w:tcPr>
            <w:tcW w:w="4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1,968</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1 %</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20"/>
                <w:szCs w:val="20"/>
                <w:color w:val="auto"/>
              </w:rPr>
            </w:pPr>
            <w:r>
              <w:rPr>
                <w:rFonts w:ascii="Arial" w:cs="Arial" w:eastAsia="Arial" w:hAnsi="Arial"/>
                <w:sz w:val="14"/>
                <w:szCs w:val="14"/>
                <w:b w:val="1"/>
                <w:bCs w:val="1"/>
                <w:color w:val="auto"/>
              </w:rPr>
              <w:t>the income tax effect of these adjustments **</w:t>
            </w:r>
          </w:p>
        </w:tc>
        <w:tc>
          <w:tcPr>
            <w:tcW w:w="4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660" w:type="dxa"/>
            <w:vAlign w:val="bottom"/>
          </w:tcPr>
          <w:p>
            <w:pPr>
              <w:spacing w:after="0"/>
              <w:rPr>
                <w:sz w:val="20"/>
                <w:szCs w:val="20"/>
                <w:color w:val="auto"/>
              </w:rPr>
            </w:pPr>
            <w:r>
              <w:rPr>
                <w:rFonts w:ascii="Arial" w:cs="Arial" w:eastAsia="Arial" w:hAnsi="Arial"/>
                <w:sz w:val="14"/>
                <w:szCs w:val="14"/>
                <w:b w:val="1"/>
                <w:bCs w:val="1"/>
                <w:color w:val="auto"/>
              </w:rPr>
              <w:t>Diluted EPS, as reported</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0.85</w:t>
            </w:r>
          </w:p>
        </w:tc>
        <w:tc>
          <w:tcPr>
            <w:tcW w:w="5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0.92</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3.80</w:t>
            </w:r>
          </w:p>
        </w:tc>
        <w:tc>
          <w:tcPr>
            <w:tcW w:w="50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rPr>
              <w:t>5.38</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b w:val="1"/>
                <w:bCs w:val="1"/>
                <w:color w:val="auto"/>
              </w:rPr>
              <w:t>Adjusted Diluted EPS**</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1.57</w:t>
            </w:r>
          </w:p>
        </w:tc>
        <w:tc>
          <w:tcPr>
            <w:tcW w:w="5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1.44</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9 %</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6.00</w:t>
            </w:r>
          </w:p>
        </w:tc>
        <w:tc>
          <w:tcPr>
            <w:tcW w:w="50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rPr>
              <w:t>6.21</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-3 %</w:t>
            </w:r>
          </w:p>
        </w:tc>
        <w:tc>
          <w:tcPr>
            <w:tcW w:w="0" w:type="dxa"/>
            <w:vAlign w:val="bottom"/>
          </w:tcPr>
          <w:p>
            <w:pPr>
              <w:spacing w:after="0"/>
              <w:rPr>
                <w:sz w:val="1"/>
                <w:szCs w:val="1"/>
                <w:color w:val="auto"/>
              </w:rPr>
            </w:pPr>
          </w:p>
        </w:tc>
      </w:tr>
      <w:tr>
        <w:trPr>
          <w:trHeight w:val="489"/>
        </w:trPr>
        <w:tc>
          <w:tcPr>
            <w:tcW w:w="3660" w:type="dxa"/>
            <w:vAlign w:val="bottom"/>
          </w:tcPr>
          <w:p>
            <w:pPr>
              <w:spacing w:after="0"/>
              <w:rPr>
                <w:sz w:val="20"/>
                <w:szCs w:val="20"/>
                <w:color w:val="auto"/>
              </w:rPr>
            </w:pPr>
            <w:r>
              <w:rPr>
                <w:rFonts w:ascii="Arial" w:cs="Arial" w:eastAsia="Arial" w:hAnsi="Arial"/>
                <w:sz w:val="14"/>
                <w:szCs w:val="14"/>
                <w:b w:val="1"/>
                <w:bCs w:val="1"/>
                <w:color w:val="auto"/>
                <w:w w:val="94"/>
              </w:rPr>
              <w:t>Adjusted Diluted EPS, excluding Asset impairments, Gain</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b w:val="1"/>
                <w:bCs w:val="1"/>
                <w:color w:val="auto"/>
                <w:w w:val="89"/>
              </w:rPr>
              <w:t>on asset dispositions, Gain on investee's property sales, and</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1.51</w:t>
            </w:r>
          </w:p>
        </w:tc>
        <w:tc>
          <w:tcPr>
            <w:tcW w:w="52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1.42</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6 %</w:t>
            </w:r>
          </w:p>
        </w:tc>
        <w:tc>
          <w:tcPr>
            <w:tcW w:w="100" w:type="dxa"/>
            <w:vAlign w:val="bottom"/>
          </w:tcPr>
          <w:p>
            <w:pPr>
              <w:spacing w:after="0"/>
              <w:rPr>
                <w:sz w:val="12"/>
                <w:szCs w:val="12"/>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5.92</w:t>
            </w:r>
          </w:p>
        </w:tc>
        <w:tc>
          <w:tcPr>
            <w:tcW w:w="50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5.56</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20"/>
                <w:szCs w:val="20"/>
                <w:color w:val="auto"/>
              </w:rPr>
            </w:pPr>
            <w:r>
              <w:rPr>
                <w:rFonts w:ascii="Arial" w:cs="Arial" w:eastAsia="Arial" w:hAnsi="Arial"/>
                <w:sz w:val="14"/>
                <w:szCs w:val="14"/>
                <w:b w:val="1"/>
                <w:bCs w:val="1"/>
                <w:color w:val="auto"/>
              </w:rPr>
              <w:t>the income tax effect of these adjustments **</w:t>
            </w:r>
          </w:p>
        </w:tc>
        <w:tc>
          <w:tcPr>
            <w:tcW w:w="4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**Denotes non-GAAP financial measures. Please see pages A-14 and A-15 for information about our reasons for providing these alternative financial measures and the limitations on their use.</w:t>
      </w:r>
    </w:p>
    <w:p>
      <w:pPr>
        <w:spacing w:after="0" w:line="67"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9"/>
          <w:szCs w:val="9"/>
          <w:color w:val="auto"/>
        </w:rPr>
      </w:pPr>
      <w:r>
        <w:rPr>
          <w:rFonts w:ascii="Arial" w:cs="Arial" w:eastAsia="Arial" w:hAnsi="Arial"/>
          <w:sz w:val="14"/>
          <w:szCs w:val="14"/>
          <w:color w:val="auto"/>
        </w:rPr>
        <w:t>Reflects revised information for our 2018 first, second, and third quarters as presented in our 2018 Annual Report on Form 10-K.</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337" w:right="2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6"/>
          <w:szCs w:val="16"/>
          <w:b w:val="1"/>
          <w:bCs w:val="1"/>
          <w:color w:val="auto"/>
        </w:rPr>
        <w:t>MARRIOTT INTERNATIONAL,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TOTAL LODGING PRODUCTS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of December 31, 2019</w:t>
      </w: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80" w:type="dxa"/>
            <w:vAlign w:val="bottom"/>
            <w:tcBorders>
              <w:top w:val="single" w:sz="8" w:color="auto"/>
              <w:left w:val="single" w:sz="8" w:color="auto"/>
              <w:right w:val="single" w:sz="8" w:color="auto"/>
            </w:tcBorders>
          </w:tcPr>
          <w:p>
            <w:pPr>
              <w:spacing w:after="0"/>
              <w:rPr>
                <w:sz w:val="23"/>
                <w:szCs w:val="23"/>
                <w:color w:val="auto"/>
              </w:rPr>
            </w:pPr>
          </w:p>
        </w:tc>
        <w:tc>
          <w:tcPr>
            <w:tcW w:w="2060" w:type="dxa"/>
            <w:vAlign w:val="bottom"/>
            <w:tcBorders>
              <w:top w:val="single" w:sz="8" w:color="auto"/>
              <w:right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North America</w:t>
            </w:r>
          </w:p>
        </w:tc>
        <w:tc>
          <w:tcPr>
            <w:tcW w:w="2000" w:type="dxa"/>
            <w:vAlign w:val="bottom"/>
            <w:tcBorders>
              <w:top w:val="single" w:sz="8" w:color="auto"/>
              <w:right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Total International</w:t>
            </w:r>
          </w:p>
        </w:tc>
        <w:tc>
          <w:tcPr>
            <w:tcW w:w="2000" w:type="dxa"/>
            <w:vAlign w:val="bottom"/>
            <w:tcBorders>
              <w:top w:val="single" w:sz="8" w:color="auto"/>
              <w:right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Total Worldwide</w:t>
            </w:r>
          </w:p>
        </w:tc>
      </w:tr>
      <w:tr>
        <w:trPr>
          <w:trHeight w:val="276"/>
        </w:trPr>
        <w:tc>
          <w:tcPr>
            <w:tcW w:w="408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i w:val="1"/>
                <w:iCs w:val="1"/>
                <w:color w:val="auto"/>
              </w:rPr>
              <w:t>Units</w:t>
            </w:r>
          </w:p>
        </w:tc>
        <w:tc>
          <w:tcPr>
            <w:tcW w:w="96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Rooms</w:t>
            </w: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i w:val="1"/>
                <w:iCs w:val="1"/>
                <w:color w:val="auto"/>
              </w:rPr>
              <w:t>Units</w:t>
            </w:r>
          </w:p>
        </w:tc>
        <w:tc>
          <w:tcPr>
            <w:tcW w:w="92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Rooms</w:t>
            </w: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i w:val="1"/>
                <w:iCs w:val="1"/>
                <w:color w:val="auto"/>
              </w:rPr>
              <w:t>Units</w:t>
            </w:r>
          </w:p>
        </w:tc>
        <w:tc>
          <w:tcPr>
            <w:tcW w:w="92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Rooms</w:t>
            </w:r>
          </w:p>
        </w:tc>
      </w:tr>
      <w:tr>
        <w:trPr>
          <w:trHeight w:val="210"/>
        </w:trPr>
        <w:tc>
          <w:tcPr>
            <w:tcW w:w="40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4"/>
                <w:szCs w:val="14"/>
                <w:b w:val="1"/>
                <w:bCs w:val="1"/>
                <w:color w:val="auto"/>
              </w:rPr>
              <w:t>Managed</w:t>
            </w:r>
          </w:p>
        </w:tc>
        <w:tc>
          <w:tcPr>
            <w:tcW w:w="110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759</w:t>
            </w:r>
          </w:p>
        </w:tc>
        <w:tc>
          <w:tcPr>
            <w:tcW w:w="960" w:type="dxa"/>
            <w:vAlign w:val="bottom"/>
            <w:tcBorders>
              <w:bottom w:val="single" w:sz="8" w:color="auto"/>
              <w:right w:val="single" w:sz="8" w:color="auto"/>
            </w:tcBorders>
            <w:shd w:val="clear" w:color="auto" w:fill="D9D9D9"/>
          </w:tcPr>
          <w:p>
            <w:pPr>
              <w:jc w:val="right"/>
              <w:ind w:right="68"/>
              <w:spacing w:after="0"/>
              <w:rPr>
                <w:sz w:val="20"/>
                <w:szCs w:val="20"/>
                <w:color w:val="auto"/>
              </w:rPr>
            </w:pPr>
            <w:r>
              <w:rPr>
                <w:rFonts w:ascii="Arial" w:cs="Arial" w:eastAsia="Arial" w:hAnsi="Arial"/>
                <w:sz w:val="14"/>
                <w:szCs w:val="14"/>
                <w:b w:val="1"/>
                <w:bCs w:val="1"/>
                <w:color w:val="auto"/>
              </w:rPr>
              <w:t>239,705</w:t>
            </w:r>
          </w:p>
        </w:tc>
        <w:tc>
          <w:tcPr>
            <w:tcW w:w="108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1,231</w:t>
            </w:r>
          </w:p>
        </w:tc>
        <w:tc>
          <w:tcPr>
            <w:tcW w:w="920" w:type="dxa"/>
            <w:vAlign w:val="bottom"/>
            <w:tcBorders>
              <w:bottom w:val="single" w:sz="8" w:color="auto"/>
              <w:right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318,946</w:t>
            </w:r>
          </w:p>
        </w:tc>
        <w:tc>
          <w:tcPr>
            <w:tcW w:w="108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1,990</w:t>
            </w:r>
          </w:p>
        </w:tc>
        <w:tc>
          <w:tcPr>
            <w:tcW w:w="920" w:type="dxa"/>
            <w:vAlign w:val="bottom"/>
            <w:tcBorders>
              <w:bottom w:val="single" w:sz="8" w:color="auto"/>
              <w:right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558,651</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Marriott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119</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64,295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50,854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115,149</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Marriott Hotels Serviced Apartments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Sheraton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22,807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190</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64,641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87,448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Courtyard</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233</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37,020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21,765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58,785</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Westin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23,638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21,779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45,417</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JW Marriott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11,210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22,089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33,299</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Renaissance</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12,018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18,168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30,186</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Ritz-Carlton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10,981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60</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15,640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26,621</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Ritz-Carlton Serviced Apartments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697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697</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Le Méridien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570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20,664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21,234</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Four Points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134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20,129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79</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20,263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Residence Inn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108</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16,498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565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17,063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6,893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7,470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14,363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Luxury Collection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2,234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9,426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11,660</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Gaylord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9,918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9,918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St. Regis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1,968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7,458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9,426</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St. Regis Serviced Apartments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Aloft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330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8,936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9,266</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AC Hotels by Marriott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679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6,918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7,597</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Delta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6,770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360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7,130</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Fairfield by Marriott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1,539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5,435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6,974</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SpringHill Suites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4,896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4,896</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Marriott Executive Apartments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4,523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4,523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Autograph Collection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1,970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2,406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4,376</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Protea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4,270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4,270</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EDITION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1,209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1,287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2,496</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TownePlace Suites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1,948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1,948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Element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180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1,421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1,601</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Tribute Portfolio</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784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784</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Moxy</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599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599</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Bulgari</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438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438</w:t>
            </w:r>
          </w:p>
        </w:tc>
      </w:tr>
      <w:tr>
        <w:trPr>
          <w:trHeight w:val="210"/>
        </w:trPr>
        <w:tc>
          <w:tcPr>
            <w:tcW w:w="4080" w:type="dxa"/>
            <w:vAlign w:val="bottom"/>
            <w:tcBorders>
              <w:left w:val="single" w:sz="8" w:color="auto"/>
              <w:bottom w:val="single" w:sz="8" w:color="auto"/>
              <w:right w:val="single" w:sz="8" w:color="auto"/>
            </w:tcBorders>
            <w:shd w:val="clear" w:color="auto" w:fill="D6D6D6"/>
          </w:tcPr>
          <w:p>
            <w:pPr>
              <w:ind w:left="80"/>
              <w:spacing w:after="0"/>
              <w:rPr>
                <w:sz w:val="20"/>
                <w:szCs w:val="20"/>
                <w:color w:val="auto"/>
              </w:rPr>
            </w:pPr>
            <w:r>
              <w:rPr>
                <w:rFonts w:ascii="Arial" w:cs="Arial" w:eastAsia="Arial" w:hAnsi="Arial"/>
                <w:sz w:val="14"/>
                <w:szCs w:val="14"/>
                <w:b w:val="1"/>
                <w:bCs w:val="1"/>
                <w:color w:val="auto"/>
              </w:rPr>
              <w:t>Franchised</w:t>
            </w:r>
          </w:p>
        </w:tc>
        <w:tc>
          <w:tcPr>
            <w:tcW w:w="1100" w:type="dxa"/>
            <w:vAlign w:val="bottom"/>
            <w:tcBorders>
              <w:bottom w:val="single" w:sz="8" w:color="auto"/>
            </w:tcBorders>
            <w:shd w:val="clear" w:color="auto" w:fill="D6D6D6"/>
          </w:tcPr>
          <w:p>
            <w:pPr>
              <w:jc w:val="right"/>
              <w:ind w:right="128"/>
              <w:spacing w:after="0"/>
              <w:rPr>
                <w:sz w:val="20"/>
                <w:szCs w:val="20"/>
                <w:color w:val="auto"/>
              </w:rPr>
            </w:pPr>
            <w:r>
              <w:rPr>
                <w:rFonts w:ascii="Arial" w:cs="Arial" w:eastAsia="Arial" w:hAnsi="Arial"/>
                <w:sz w:val="14"/>
                <w:szCs w:val="14"/>
                <w:b w:val="1"/>
                <w:bCs w:val="1"/>
                <w:color w:val="auto"/>
              </w:rPr>
              <w:t>4,477</w:t>
            </w:r>
          </w:p>
        </w:tc>
        <w:tc>
          <w:tcPr>
            <w:tcW w:w="960" w:type="dxa"/>
            <w:vAlign w:val="bottom"/>
            <w:tcBorders>
              <w:bottom w:val="single" w:sz="8" w:color="auto"/>
              <w:right w:val="single" w:sz="8" w:color="auto"/>
            </w:tcBorders>
            <w:shd w:val="clear" w:color="auto" w:fill="D6D6D6"/>
          </w:tcPr>
          <w:p>
            <w:pPr>
              <w:jc w:val="right"/>
              <w:ind w:right="68"/>
              <w:spacing w:after="0"/>
              <w:rPr>
                <w:sz w:val="20"/>
                <w:szCs w:val="20"/>
                <w:color w:val="auto"/>
              </w:rPr>
            </w:pPr>
            <w:r>
              <w:rPr>
                <w:rFonts w:ascii="Arial" w:cs="Arial" w:eastAsia="Arial" w:hAnsi="Arial"/>
                <w:sz w:val="14"/>
                <w:szCs w:val="14"/>
                <w:b w:val="1"/>
                <w:bCs w:val="1"/>
                <w:color w:val="auto"/>
              </w:rPr>
              <w:t>645,704</w:t>
            </w:r>
          </w:p>
        </w:tc>
        <w:tc>
          <w:tcPr>
            <w:tcW w:w="1080" w:type="dxa"/>
            <w:vAlign w:val="bottom"/>
            <w:tcBorders>
              <w:bottom w:val="single" w:sz="8" w:color="auto"/>
            </w:tcBorders>
            <w:shd w:val="clear" w:color="auto" w:fill="D6D6D6"/>
          </w:tcPr>
          <w:p>
            <w:pPr>
              <w:jc w:val="right"/>
              <w:ind w:right="128"/>
              <w:spacing w:after="0"/>
              <w:rPr>
                <w:sz w:val="20"/>
                <w:szCs w:val="20"/>
                <w:color w:val="auto"/>
              </w:rPr>
            </w:pPr>
            <w:r>
              <w:rPr>
                <w:rFonts w:ascii="Arial" w:cs="Arial" w:eastAsia="Arial" w:hAnsi="Arial"/>
                <w:sz w:val="14"/>
                <w:szCs w:val="14"/>
                <w:b w:val="1"/>
                <w:bCs w:val="1"/>
                <w:color w:val="auto"/>
              </w:rPr>
              <w:t>628</w:t>
            </w:r>
          </w:p>
        </w:tc>
        <w:tc>
          <w:tcPr>
            <w:tcW w:w="920" w:type="dxa"/>
            <w:vAlign w:val="bottom"/>
            <w:tcBorders>
              <w:bottom w:val="single" w:sz="8" w:color="auto"/>
              <w:right w:val="single" w:sz="8" w:color="auto"/>
            </w:tcBorders>
            <w:shd w:val="clear" w:color="auto" w:fill="D6D6D6"/>
          </w:tcPr>
          <w:p>
            <w:pPr>
              <w:jc w:val="right"/>
              <w:ind w:right="48"/>
              <w:spacing w:after="0"/>
              <w:rPr>
                <w:sz w:val="20"/>
                <w:szCs w:val="20"/>
                <w:color w:val="auto"/>
              </w:rPr>
            </w:pPr>
            <w:r>
              <w:rPr>
                <w:rFonts w:ascii="Arial" w:cs="Arial" w:eastAsia="Arial" w:hAnsi="Arial"/>
                <w:sz w:val="14"/>
                <w:szCs w:val="14"/>
                <w:b w:val="1"/>
                <w:bCs w:val="1"/>
                <w:color w:val="auto"/>
              </w:rPr>
              <w:t>127,174</w:t>
            </w:r>
          </w:p>
        </w:tc>
        <w:tc>
          <w:tcPr>
            <w:tcW w:w="1080" w:type="dxa"/>
            <w:vAlign w:val="bottom"/>
            <w:tcBorders>
              <w:bottom w:val="single" w:sz="8" w:color="auto"/>
            </w:tcBorders>
            <w:shd w:val="clear" w:color="auto" w:fill="D6D6D6"/>
          </w:tcPr>
          <w:p>
            <w:pPr>
              <w:jc w:val="right"/>
              <w:ind w:right="128"/>
              <w:spacing w:after="0"/>
              <w:rPr>
                <w:sz w:val="20"/>
                <w:szCs w:val="20"/>
                <w:color w:val="auto"/>
              </w:rPr>
            </w:pPr>
            <w:r>
              <w:rPr>
                <w:rFonts w:ascii="Arial" w:cs="Arial" w:eastAsia="Arial" w:hAnsi="Arial"/>
                <w:sz w:val="14"/>
                <w:szCs w:val="14"/>
                <w:b w:val="1"/>
                <w:bCs w:val="1"/>
                <w:color w:val="auto"/>
              </w:rPr>
              <w:t>5,105</w:t>
            </w:r>
          </w:p>
        </w:tc>
        <w:tc>
          <w:tcPr>
            <w:tcW w:w="920" w:type="dxa"/>
            <w:vAlign w:val="bottom"/>
            <w:tcBorders>
              <w:bottom w:val="single" w:sz="8" w:color="auto"/>
              <w:right w:val="single" w:sz="8" w:color="auto"/>
            </w:tcBorders>
            <w:shd w:val="clear" w:color="auto" w:fill="D6D6D6"/>
          </w:tcPr>
          <w:p>
            <w:pPr>
              <w:jc w:val="right"/>
              <w:ind w:right="48"/>
              <w:spacing w:after="0"/>
              <w:rPr>
                <w:sz w:val="20"/>
                <w:szCs w:val="20"/>
                <w:color w:val="auto"/>
              </w:rPr>
            </w:pPr>
            <w:r>
              <w:rPr>
                <w:rFonts w:ascii="Arial" w:cs="Arial" w:eastAsia="Arial" w:hAnsi="Arial"/>
                <w:sz w:val="14"/>
                <w:szCs w:val="14"/>
                <w:b w:val="1"/>
                <w:bCs w:val="1"/>
                <w:color w:val="auto"/>
              </w:rPr>
              <w:t>772,878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Courtyard</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106,768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15,368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884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122,136</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Fairfield by Marriott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994</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92,524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3,651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1,016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96,175</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Residence Inn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724</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86,348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1,322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735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87,670</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Marriott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218</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68,453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16,108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84,561</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Sheraton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48,232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18,053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66,285</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SpringHill Suites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426</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49,137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49,137</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TownePlace Suites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40,430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40,430</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Westin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86</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28,386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7,596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110</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35,982</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Autograph Collection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20,493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12,075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32,568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Four Points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158</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23,713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8,267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210</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31,980</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Renaissance</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16,262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7,691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23,953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Aloft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118</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17,317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3,119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20,436</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AC Hotels by Marriott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10,041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5,823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15,864</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Delta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10,606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1,068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11,674</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Moxy</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4,149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7,461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11,610</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Luxury Collection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2,565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8,601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11,166</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Le Méridien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3,910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4,057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7,967</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JW Marriott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5,643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1,624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7,267</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Element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5,605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293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5,898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Tribute Portfolio</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4,445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1,383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5,828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Protea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2,921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2,921</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Design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248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542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790</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Ritz-Carlton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429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429</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Bulgari</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85</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Marriott Executive Apartments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66</w:t>
            </w:r>
          </w:p>
        </w:tc>
      </w:tr>
    </w:tbl>
    <w:p>
      <w:pPr>
        <w:spacing w:after="0" w:line="200" w:lineRule="exact"/>
        <w:rPr>
          <w:sz w:val="20"/>
          <w:szCs w:val="20"/>
          <w:color w:val="auto"/>
        </w:rPr>
      </w:pPr>
    </w:p>
    <w:p>
      <w:pPr>
        <w:sectPr>
          <w:pgSz w:w="11900" w:h="16838" w:orient="portrait"/>
          <w:cols w:equalWidth="0" w:num="1">
            <w:col w:w="10120"/>
          </w:cols>
          <w:pgMar w:left="900" w:top="342" w:right="879" w:bottom="746"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0120"/>
          </w:cols>
          <w:pgMar w:left="900" w:top="342" w:right="879" w:bottom="746" w:gutter="0" w:footer="0" w:header="0"/>
          <w:type w:val="continuous"/>
        </w:sectPr>
      </w:pPr>
    </w:p>
    <w:bookmarkStart w:id="18" w:name="page19"/>
    <w:bookmarkEnd w:id="18"/>
    <w:p>
      <w:pPr>
        <w:jc w:val="center"/>
        <w:ind w:right="415"/>
        <w:spacing w:after="0"/>
        <w:rPr>
          <w:sz w:val="20"/>
          <w:szCs w:val="20"/>
          <w:color w:val="auto"/>
        </w:rPr>
      </w:pPr>
      <w:r>
        <w:rPr>
          <w:rFonts w:ascii="Arial" w:cs="Arial" w:eastAsia="Arial" w:hAnsi="Arial"/>
          <w:sz w:val="16"/>
          <w:szCs w:val="16"/>
          <w:b w:val="1"/>
          <w:bCs w:val="1"/>
          <w:color w:val="auto"/>
        </w:rPr>
        <w:t>MARRIOTT INTERNATIONAL, INC.</w:t>
      </w:r>
    </w:p>
    <w:p>
      <w:pPr>
        <w:spacing w:after="0" w:line="23" w:lineRule="exact"/>
        <w:rPr>
          <w:sz w:val="20"/>
          <w:szCs w:val="20"/>
          <w:color w:val="auto"/>
        </w:rPr>
      </w:pPr>
    </w:p>
    <w:p>
      <w:pPr>
        <w:jc w:val="center"/>
        <w:ind w:right="415"/>
        <w:spacing w:after="0"/>
        <w:rPr>
          <w:sz w:val="20"/>
          <w:szCs w:val="20"/>
          <w:color w:val="auto"/>
        </w:rPr>
      </w:pPr>
      <w:r>
        <w:rPr>
          <w:rFonts w:ascii="Arial" w:cs="Arial" w:eastAsia="Arial" w:hAnsi="Arial"/>
          <w:sz w:val="16"/>
          <w:szCs w:val="16"/>
          <w:b w:val="1"/>
          <w:bCs w:val="1"/>
          <w:color w:val="auto"/>
        </w:rPr>
        <w:t>TOTAL LODGING PRODUCTS</w:t>
      </w:r>
    </w:p>
    <w:p>
      <w:pPr>
        <w:spacing w:after="0" w:line="5" w:lineRule="exact"/>
        <w:rPr>
          <w:sz w:val="20"/>
          <w:szCs w:val="20"/>
          <w:color w:val="auto"/>
        </w:rPr>
      </w:pPr>
    </w:p>
    <w:p>
      <w:pPr>
        <w:jc w:val="center"/>
        <w:ind w:right="415"/>
        <w:spacing w:after="0"/>
        <w:rPr>
          <w:sz w:val="20"/>
          <w:szCs w:val="20"/>
          <w:color w:val="auto"/>
        </w:rPr>
      </w:pPr>
      <w:r>
        <w:rPr>
          <w:rFonts w:ascii="Arial" w:cs="Arial" w:eastAsia="Arial" w:hAnsi="Arial"/>
          <w:sz w:val="16"/>
          <w:szCs w:val="16"/>
          <w:b w:val="1"/>
          <w:bCs w:val="1"/>
          <w:color w:val="auto"/>
        </w:rPr>
        <w:t>As of December 31, 2019</w:t>
      </w:r>
    </w:p>
    <w:p>
      <w:pPr>
        <w:spacing w:after="0" w:line="386" w:lineRule="exact"/>
        <w:rPr>
          <w:sz w:val="20"/>
          <w:szCs w:val="20"/>
          <w:color w:val="auto"/>
        </w:rPr>
      </w:pPr>
    </w:p>
    <w:tbl>
      <w:tblPr>
        <w:tblLayout w:type="fixed"/>
        <w:tblInd w:w="95" w:type="dxa"/>
        <w:tblCellMar>
          <w:top w:w="0" w:type="dxa"/>
          <w:left w:w="0" w:type="dxa"/>
          <w:bottom w:w="0" w:type="dxa"/>
          <w:right w:w="0" w:type="dxa"/>
        </w:tblCellMar>
      </w:tblPr>
      <w:tr>
        <w:trPr>
          <w:trHeight w:val="272"/>
        </w:trPr>
        <w:tc>
          <w:tcPr>
            <w:tcW w:w="4080" w:type="dxa"/>
            <w:vAlign w:val="bottom"/>
            <w:tcBorders>
              <w:top w:val="single" w:sz="8" w:color="auto"/>
              <w:left w:val="single" w:sz="8" w:color="auto"/>
              <w:right w:val="single" w:sz="8" w:color="auto"/>
            </w:tcBorders>
          </w:tcPr>
          <w:p>
            <w:pPr>
              <w:spacing w:after="0"/>
              <w:rPr>
                <w:sz w:val="23"/>
                <w:szCs w:val="23"/>
                <w:color w:val="auto"/>
              </w:rPr>
            </w:pPr>
          </w:p>
        </w:tc>
        <w:tc>
          <w:tcPr>
            <w:tcW w:w="2060" w:type="dxa"/>
            <w:vAlign w:val="bottom"/>
            <w:tcBorders>
              <w:top w:val="single" w:sz="8" w:color="auto"/>
              <w:right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North America</w:t>
            </w:r>
          </w:p>
        </w:tc>
        <w:tc>
          <w:tcPr>
            <w:tcW w:w="2000" w:type="dxa"/>
            <w:vAlign w:val="bottom"/>
            <w:tcBorders>
              <w:top w:val="single" w:sz="8" w:color="auto"/>
              <w:right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Total International</w:t>
            </w:r>
          </w:p>
        </w:tc>
        <w:tc>
          <w:tcPr>
            <w:tcW w:w="2000" w:type="dxa"/>
            <w:vAlign w:val="bottom"/>
            <w:tcBorders>
              <w:top w:val="single" w:sz="8" w:color="auto"/>
              <w:right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Total Worldwide</w:t>
            </w:r>
          </w:p>
        </w:tc>
      </w:tr>
      <w:tr>
        <w:trPr>
          <w:trHeight w:val="276"/>
        </w:trPr>
        <w:tc>
          <w:tcPr>
            <w:tcW w:w="408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i w:val="1"/>
                <w:iCs w:val="1"/>
                <w:color w:val="auto"/>
              </w:rPr>
              <w:t>Units</w:t>
            </w:r>
          </w:p>
        </w:tc>
        <w:tc>
          <w:tcPr>
            <w:tcW w:w="96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Rooms</w:t>
            </w: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i w:val="1"/>
                <w:iCs w:val="1"/>
                <w:color w:val="auto"/>
              </w:rPr>
              <w:t>Units</w:t>
            </w:r>
          </w:p>
        </w:tc>
        <w:tc>
          <w:tcPr>
            <w:tcW w:w="92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Rooms</w:t>
            </w: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i w:val="1"/>
                <w:iCs w:val="1"/>
                <w:color w:val="auto"/>
              </w:rPr>
              <w:t>Units</w:t>
            </w:r>
          </w:p>
        </w:tc>
        <w:tc>
          <w:tcPr>
            <w:tcW w:w="92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Rooms</w:t>
            </w:r>
          </w:p>
        </w:tc>
      </w:tr>
      <w:tr>
        <w:trPr>
          <w:trHeight w:val="210"/>
        </w:trPr>
        <w:tc>
          <w:tcPr>
            <w:tcW w:w="40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4"/>
                <w:szCs w:val="14"/>
                <w:b w:val="1"/>
                <w:bCs w:val="1"/>
                <w:color w:val="auto"/>
              </w:rPr>
              <w:t>Owned/Leased</w:t>
            </w:r>
          </w:p>
        </w:tc>
        <w:tc>
          <w:tcPr>
            <w:tcW w:w="110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28</w:t>
            </w:r>
          </w:p>
        </w:tc>
        <w:tc>
          <w:tcPr>
            <w:tcW w:w="960" w:type="dxa"/>
            <w:vAlign w:val="bottom"/>
            <w:tcBorders>
              <w:bottom w:val="single" w:sz="8" w:color="auto"/>
              <w:right w:val="single" w:sz="8" w:color="auto"/>
            </w:tcBorders>
            <w:shd w:val="clear" w:color="auto" w:fill="D9D9D9"/>
          </w:tcPr>
          <w:p>
            <w:pPr>
              <w:jc w:val="right"/>
              <w:ind w:right="68"/>
              <w:spacing w:after="0"/>
              <w:rPr>
                <w:sz w:val="20"/>
                <w:szCs w:val="20"/>
                <w:color w:val="auto"/>
              </w:rPr>
            </w:pPr>
            <w:r>
              <w:rPr>
                <w:rFonts w:ascii="Arial" w:cs="Arial" w:eastAsia="Arial" w:hAnsi="Arial"/>
                <w:sz w:val="14"/>
                <w:szCs w:val="14"/>
                <w:b w:val="1"/>
                <w:bCs w:val="1"/>
                <w:color w:val="auto"/>
              </w:rPr>
              <w:t>7,839</w:t>
            </w:r>
          </w:p>
        </w:tc>
        <w:tc>
          <w:tcPr>
            <w:tcW w:w="108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40</w:t>
            </w:r>
          </w:p>
        </w:tc>
        <w:tc>
          <w:tcPr>
            <w:tcW w:w="920" w:type="dxa"/>
            <w:vAlign w:val="bottom"/>
            <w:tcBorders>
              <w:bottom w:val="single" w:sz="8" w:color="auto"/>
              <w:right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9,164</w:t>
            </w:r>
          </w:p>
        </w:tc>
        <w:tc>
          <w:tcPr>
            <w:tcW w:w="108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68</w:t>
            </w:r>
          </w:p>
        </w:tc>
        <w:tc>
          <w:tcPr>
            <w:tcW w:w="920" w:type="dxa"/>
            <w:vAlign w:val="bottom"/>
            <w:tcBorders>
              <w:bottom w:val="single" w:sz="8" w:color="auto"/>
              <w:right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17,003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Courtyard</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2,814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894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3,708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Marriott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1,664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1,631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3,295</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Sheraton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1,000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1,830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2,830</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779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665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1,444</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Protea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1,168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1,168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Westin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1,073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1,073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Renaissance</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317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505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822</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 xml:space="preserve">Autograph Collection </w:t>
            </w:r>
            <w:r>
              <w:rPr>
                <w:rFonts w:ascii="Arial" w:cs="Arial" w:eastAsia="Arial" w:hAnsi="Arial"/>
                <w:sz w:val="8"/>
                <w:szCs w:val="8"/>
                <w:color w:val="auto"/>
              </w:rPr>
              <w:t>1</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705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705</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Ritz-Carlton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553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553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JW Marriott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496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496</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 xml:space="preserve">The Luxury Collection </w:t>
            </w:r>
            <w:r>
              <w:rPr>
                <w:rFonts w:ascii="Arial" w:cs="Arial" w:eastAsia="Arial" w:hAnsi="Arial"/>
                <w:sz w:val="8"/>
                <w:szCs w:val="8"/>
                <w:color w:val="auto"/>
              </w:rPr>
              <w:t>2</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417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417</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Residence Inn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192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140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332</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St. Regis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160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160</w:t>
            </w:r>
          </w:p>
        </w:tc>
      </w:tr>
      <w:tr>
        <w:trPr>
          <w:trHeight w:val="210"/>
        </w:trPr>
        <w:tc>
          <w:tcPr>
            <w:tcW w:w="4080" w:type="dxa"/>
            <w:vAlign w:val="bottom"/>
            <w:tcBorders>
              <w:left w:val="single" w:sz="8" w:color="auto"/>
              <w:bottom w:val="single" w:sz="8" w:color="auto"/>
              <w:right w:val="single" w:sz="8" w:color="auto"/>
            </w:tcBorders>
            <w:shd w:val="clear" w:color="auto" w:fill="D6D6D6"/>
          </w:tcPr>
          <w:p>
            <w:pPr>
              <w:ind w:left="80"/>
              <w:spacing w:after="0"/>
              <w:rPr>
                <w:sz w:val="20"/>
                <w:szCs w:val="20"/>
                <w:color w:val="auto"/>
              </w:rPr>
            </w:pPr>
            <w:r>
              <w:rPr>
                <w:rFonts w:ascii="Arial" w:cs="Arial" w:eastAsia="Arial" w:hAnsi="Arial"/>
                <w:sz w:val="14"/>
                <w:szCs w:val="14"/>
                <w:b w:val="1"/>
                <w:bCs w:val="1"/>
                <w:color w:val="auto"/>
              </w:rPr>
              <w:t>Residences</w:t>
            </w:r>
          </w:p>
        </w:tc>
        <w:tc>
          <w:tcPr>
            <w:tcW w:w="1100" w:type="dxa"/>
            <w:vAlign w:val="bottom"/>
            <w:tcBorders>
              <w:bottom w:val="single" w:sz="8" w:color="auto"/>
            </w:tcBorders>
            <w:shd w:val="clear" w:color="auto" w:fill="D6D6D6"/>
          </w:tcPr>
          <w:p>
            <w:pPr>
              <w:jc w:val="right"/>
              <w:ind w:right="128"/>
              <w:spacing w:after="0"/>
              <w:rPr>
                <w:sz w:val="20"/>
                <w:szCs w:val="20"/>
                <w:color w:val="auto"/>
              </w:rPr>
            </w:pPr>
            <w:r>
              <w:rPr>
                <w:rFonts w:ascii="Arial" w:cs="Arial" w:eastAsia="Arial" w:hAnsi="Arial"/>
                <w:sz w:val="14"/>
                <w:szCs w:val="14"/>
                <w:b w:val="1"/>
                <w:bCs w:val="1"/>
                <w:color w:val="auto"/>
              </w:rPr>
              <w:t>60</w:t>
            </w:r>
          </w:p>
        </w:tc>
        <w:tc>
          <w:tcPr>
            <w:tcW w:w="960" w:type="dxa"/>
            <w:vAlign w:val="bottom"/>
            <w:tcBorders>
              <w:bottom w:val="single" w:sz="8" w:color="auto"/>
              <w:right w:val="single" w:sz="8" w:color="auto"/>
            </w:tcBorders>
            <w:shd w:val="clear" w:color="auto" w:fill="D6D6D6"/>
          </w:tcPr>
          <w:p>
            <w:pPr>
              <w:jc w:val="right"/>
              <w:ind w:right="68"/>
              <w:spacing w:after="0"/>
              <w:rPr>
                <w:sz w:val="20"/>
                <w:szCs w:val="20"/>
                <w:color w:val="auto"/>
              </w:rPr>
            </w:pPr>
            <w:r>
              <w:rPr>
                <w:rFonts w:ascii="Arial" w:cs="Arial" w:eastAsia="Arial" w:hAnsi="Arial"/>
                <w:sz w:val="14"/>
                <w:szCs w:val="14"/>
                <w:b w:val="1"/>
                <w:bCs w:val="1"/>
                <w:color w:val="auto"/>
              </w:rPr>
              <w:t>6,557</w:t>
            </w:r>
          </w:p>
        </w:tc>
        <w:tc>
          <w:tcPr>
            <w:tcW w:w="1080" w:type="dxa"/>
            <w:vAlign w:val="bottom"/>
            <w:tcBorders>
              <w:bottom w:val="single" w:sz="8" w:color="auto"/>
            </w:tcBorders>
            <w:shd w:val="clear" w:color="auto" w:fill="D6D6D6"/>
          </w:tcPr>
          <w:p>
            <w:pPr>
              <w:jc w:val="right"/>
              <w:ind w:right="128"/>
              <w:spacing w:after="0"/>
              <w:rPr>
                <w:sz w:val="20"/>
                <w:szCs w:val="20"/>
                <w:color w:val="auto"/>
              </w:rPr>
            </w:pPr>
            <w:r>
              <w:rPr>
                <w:rFonts w:ascii="Arial" w:cs="Arial" w:eastAsia="Arial" w:hAnsi="Arial"/>
                <w:sz w:val="14"/>
                <w:szCs w:val="14"/>
                <w:b w:val="1"/>
                <w:bCs w:val="1"/>
                <w:color w:val="auto"/>
              </w:rPr>
              <w:t>35</w:t>
            </w:r>
          </w:p>
        </w:tc>
        <w:tc>
          <w:tcPr>
            <w:tcW w:w="920" w:type="dxa"/>
            <w:vAlign w:val="bottom"/>
            <w:tcBorders>
              <w:bottom w:val="single" w:sz="8" w:color="auto"/>
              <w:right w:val="single" w:sz="8" w:color="auto"/>
            </w:tcBorders>
            <w:shd w:val="clear" w:color="auto" w:fill="D6D6D6"/>
          </w:tcPr>
          <w:p>
            <w:pPr>
              <w:jc w:val="right"/>
              <w:ind w:right="48"/>
              <w:spacing w:after="0"/>
              <w:rPr>
                <w:sz w:val="20"/>
                <w:szCs w:val="20"/>
                <w:color w:val="auto"/>
              </w:rPr>
            </w:pPr>
            <w:r>
              <w:rPr>
                <w:rFonts w:ascii="Arial" w:cs="Arial" w:eastAsia="Arial" w:hAnsi="Arial"/>
                <w:sz w:val="14"/>
                <w:szCs w:val="14"/>
                <w:b w:val="1"/>
                <w:bCs w:val="1"/>
                <w:color w:val="auto"/>
              </w:rPr>
              <w:t>3,311</w:t>
            </w:r>
          </w:p>
        </w:tc>
        <w:tc>
          <w:tcPr>
            <w:tcW w:w="1080" w:type="dxa"/>
            <w:vAlign w:val="bottom"/>
            <w:tcBorders>
              <w:bottom w:val="single" w:sz="8" w:color="auto"/>
            </w:tcBorders>
            <w:shd w:val="clear" w:color="auto" w:fill="D6D6D6"/>
          </w:tcPr>
          <w:p>
            <w:pPr>
              <w:jc w:val="right"/>
              <w:ind w:right="128"/>
              <w:spacing w:after="0"/>
              <w:rPr>
                <w:sz w:val="20"/>
                <w:szCs w:val="20"/>
                <w:color w:val="auto"/>
              </w:rPr>
            </w:pPr>
            <w:r>
              <w:rPr>
                <w:rFonts w:ascii="Arial" w:cs="Arial" w:eastAsia="Arial" w:hAnsi="Arial"/>
                <w:sz w:val="14"/>
                <w:szCs w:val="14"/>
                <w:b w:val="1"/>
                <w:bCs w:val="1"/>
                <w:color w:val="auto"/>
              </w:rPr>
              <w:t>95</w:t>
            </w:r>
          </w:p>
        </w:tc>
        <w:tc>
          <w:tcPr>
            <w:tcW w:w="920" w:type="dxa"/>
            <w:vAlign w:val="bottom"/>
            <w:tcBorders>
              <w:bottom w:val="single" w:sz="8" w:color="auto"/>
              <w:right w:val="single" w:sz="8" w:color="auto"/>
            </w:tcBorders>
            <w:shd w:val="clear" w:color="auto" w:fill="D6D6D6"/>
          </w:tcPr>
          <w:p>
            <w:pPr>
              <w:jc w:val="right"/>
              <w:ind w:right="48"/>
              <w:spacing w:after="0"/>
              <w:rPr>
                <w:sz w:val="20"/>
                <w:szCs w:val="20"/>
                <w:color w:val="auto"/>
              </w:rPr>
            </w:pPr>
            <w:r>
              <w:rPr>
                <w:rFonts w:ascii="Arial" w:cs="Arial" w:eastAsia="Arial" w:hAnsi="Arial"/>
                <w:sz w:val="14"/>
                <w:szCs w:val="14"/>
                <w:b w:val="1"/>
                <w:bCs w:val="1"/>
                <w:color w:val="auto"/>
              </w:rPr>
              <w:t>9,868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Ritz-Carlton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4,421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938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5,359</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1,089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519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1,608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St. Regis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585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598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1,183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Westin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266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264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530</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Bulgari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448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448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Luxury Collection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151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263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Sheraton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262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262</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Marriott Hotels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108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108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Autograph Collection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62</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EDITION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r>
      <w:tr>
        <w:trPr>
          <w:trHeight w:val="210"/>
        </w:trPr>
        <w:tc>
          <w:tcPr>
            <w:tcW w:w="4080" w:type="dxa"/>
            <w:vAlign w:val="bottom"/>
            <w:tcBorders>
              <w:left w:val="single" w:sz="8" w:color="auto"/>
              <w:bottom w:val="single" w:sz="8" w:color="auto"/>
              <w:right w:val="single" w:sz="8" w:color="auto"/>
            </w:tcBorders>
            <w:shd w:val="clear" w:color="auto" w:fill="D6D6D6"/>
          </w:tcPr>
          <w:p>
            <w:pPr>
              <w:ind w:left="40"/>
              <w:spacing w:after="0"/>
              <w:rPr>
                <w:sz w:val="20"/>
                <w:szCs w:val="20"/>
                <w:color w:val="auto"/>
              </w:rPr>
            </w:pPr>
            <w:r>
              <w:rPr>
                <w:rFonts w:ascii="Arial" w:cs="Arial" w:eastAsia="Arial" w:hAnsi="Arial"/>
                <w:sz w:val="14"/>
                <w:szCs w:val="14"/>
                <w:b w:val="1"/>
                <w:bCs w:val="1"/>
                <w:color w:val="auto"/>
              </w:rPr>
              <w:t>Timeshare*</w:t>
            </w:r>
          </w:p>
        </w:tc>
        <w:tc>
          <w:tcPr>
            <w:tcW w:w="1100" w:type="dxa"/>
            <w:vAlign w:val="bottom"/>
            <w:tcBorders>
              <w:bottom w:val="single" w:sz="8" w:color="auto"/>
            </w:tcBorders>
            <w:shd w:val="clear" w:color="auto" w:fill="D6D6D6"/>
          </w:tcPr>
          <w:p>
            <w:pPr>
              <w:jc w:val="right"/>
              <w:ind w:right="128"/>
              <w:spacing w:after="0"/>
              <w:rPr>
                <w:sz w:val="20"/>
                <w:szCs w:val="20"/>
                <w:color w:val="auto"/>
              </w:rPr>
            </w:pPr>
            <w:r>
              <w:rPr>
                <w:rFonts w:ascii="Arial" w:cs="Arial" w:eastAsia="Arial" w:hAnsi="Arial"/>
                <w:sz w:val="14"/>
                <w:szCs w:val="14"/>
                <w:b w:val="1"/>
                <w:bCs w:val="1"/>
                <w:color w:val="auto"/>
              </w:rPr>
              <w:t>72</w:t>
            </w:r>
          </w:p>
        </w:tc>
        <w:tc>
          <w:tcPr>
            <w:tcW w:w="960" w:type="dxa"/>
            <w:vAlign w:val="bottom"/>
            <w:tcBorders>
              <w:bottom w:val="single" w:sz="8" w:color="auto"/>
              <w:right w:val="single" w:sz="8" w:color="auto"/>
            </w:tcBorders>
            <w:shd w:val="clear" w:color="auto" w:fill="D6D6D6"/>
          </w:tcPr>
          <w:p>
            <w:pPr>
              <w:jc w:val="right"/>
              <w:ind w:right="68"/>
              <w:spacing w:after="0"/>
              <w:rPr>
                <w:sz w:val="20"/>
                <w:szCs w:val="20"/>
                <w:color w:val="auto"/>
              </w:rPr>
            </w:pPr>
            <w:r>
              <w:rPr>
                <w:rFonts w:ascii="Arial" w:cs="Arial" w:eastAsia="Arial" w:hAnsi="Arial"/>
                <w:sz w:val="14"/>
                <w:szCs w:val="14"/>
                <w:b w:val="1"/>
                <w:bCs w:val="1"/>
                <w:color w:val="auto"/>
              </w:rPr>
              <w:t>18,668</w:t>
            </w:r>
          </w:p>
        </w:tc>
        <w:tc>
          <w:tcPr>
            <w:tcW w:w="1080" w:type="dxa"/>
            <w:vAlign w:val="bottom"/>
            <w:tcBorders>
              <w:bottom w:val="single" w:sz="8" w:color="auto"/>
            </w:tcBorders>
            <w:shd w:val="clear" w:color="auto" w:fill="D6D6D6"/>
          </w:tcPr>
          <w:p>
            <w:pPr>
              <w:jc w:val="right"/>
              <w:ind w:right="128"/>
              <w:spacing w:after="0"/>
              <w:rPr>
                <w:sz w:val="20"/>
                <w:szCs w:val="20"/>
                <w:color w:val="auto"/>
              </w:rPr>
            </w:pPr>
            <w:r>
              <w:rPr>
                <w:rFonts w:ascii="Arial" w:cs="Arial" w:eastAsia="Arial" w:hAnsi="Arial"/>
                <w:sz w:val="14"/>
                <w:szCs w:val="14"/>
                <w:b w:val="1"/>
                <w:bCs w:val="1"/>
                <w:color w:val="auto"/>
              </w:rPr>
              <w:t>19</w:t>
            </w:r>
          </w:p>
        </w:tc>
        <w:tc>
          <w:tcPr>
            <w:tcW w:w="920" w:type="dxa"/>
            <w:vAlign w:val="bottom"/>
            <w:tcBorders>
              <w:bottom w:val="single" w:sz="8" w:color="auto"/>
              <w:right w:val="single" w:sz="8" w:color="auto"/>
            </w:tcBorders>
            <w:shd w:val="clear" w:color="auto" w:fill="D6D6D6"/>
          </w:tcPr>
          <w:p>
            <w:pPr>
              <w:jc w:val="right"/>
              <w:ind w:right="48"/>
              <w:spacing w:after="0"/>
              <w:rPr>
                <w:sz w:val="20"/>
                <w:szCs w:val="20"/>
                <w:color w:val="auto"/>
              </w:rPr>
            </w:pPr>
            <w:r>
              <w:rPr>
                <w:rFonts w:ascii="Arial" w:cs="Arial" w:eastAsia="Arial" w:hAnsi="Arial"/>
                <w:sz w:val="14"/>
                <w:szCs w:val="14"/>
                <w:b w:val="1"/>
                <w:bCs w:val="1"/>
                <w:color w:val="auto"/>
              </w:rPr>
              <w:t>3,853</w:t>
            </w:r>
          </w:p>
        </w:tc>
        <w:tc>
          <w:tcPr>
            <w:tcW w:w="1080" w:type="dxa"/>
            <w:vAlign w:val="bottom"/>
            <w:tcBorders>
              <w:bottom w:val="single" w:sz="8" w:color="auto"/>
            </w:tcBorders>
            <w:shd w:val="clear" w:color="auto" w:fill="D6D6D6"/>
          </w:tcPr>
          <w:p>
            <w:pPr>
              <w:jc w:val="right"/>
              <w:ind w:right="128"/>
              <w:spacing w:after="0"/>
              <w:rPr>
                <w:sz w:val="20"/>
                <w:szCs w:val="20"/>
                <w:color w:val="auto"/>
              </w:rPr>
            </w:pPr>
            <w:r>
              <w:rPr>
                <w:rFonts w:ascii="Arial" w:cs="Arial" w:eastAsia="Arial" w:hAnsi="Arial"/>
                <w:sz w:val="14"/>
                <w:szCs w:val="14"/>
                <w:b w:val="1"/>
                <w:bCs w:val="1"/>
                <w:color w:val="auto"/>
              </w:rPr>
              <w:t>91</w:t>
            </w:r>
          </w:p>
        </w:tc>
        <w:tc>
          <w:tcPr>
            <w:tcW w:w="920" w:type="dxa"/>
            <w:vAlign w:val="bottom"/>
            <w:tcBorders>
              <w:bottom w:val="single" w:sz="8" w:color="auto"/>
              <w:right w:val="single" w:sz="8" w:color="auto"/>
            </w:tcBorders>
            <w:shd w:val="clear" w:color="auto" w:fill="D6D6D6"/>
          </w:tcPr>
          <w:p>
            <w:pPr>
              <w:jc w:val="right"/>
              <w:ind w:right="48"/>
              <w:spacing w:after="0"/>
              <w:rPr>
                <w:sz w:val="20"/>
                <w:szCs w:val="20"/>
                <w:color w:val="auto"/>
              </w:rPr>
            </w:pPr>
            <w:r>
              <w:rPr>
                <w:rFonts w:ascii="Arial" w:cs="Arial" w:eastAsia="Arial" w:hAnsi="Arial"/>
                <w:sz w:val="14"/>
                <w:szCs w:val="14"/>
                <w:b w:val="1"/>
                <w:bCs w:val="1"/>
                <w:color w:val="auto"/>
              </w:rPr>
              <w:t>22,521</w:t>
            </w:r>
          </w:p>
        </w:tc>
      </w:tr>
      <w:tr>
        <w:trPr>
          <w:trHeight w:val="210"/>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Grand Total</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5,396</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918,473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1,953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462,448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7,349</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1,380,921</w:t>
            </w:r>
          </w:p>
        </w:tc>
      </w:tr>
    </w:tbl>
    <w:p>
      <w:pPr>
        <w:spacing w:after="0" w:line="251" w:lineRule="exact"/>
        <w:rPr>
          <w:sz w:val="20"/>
          <w:szCs w:val="20"/>
          <w:color w:val="auto"/>
        </w:rPr>
      </w:pPr>
    </w:p>
    <w:p>
      <w:pPr>
        <w:ind w:left="5"/>
        <w:spacing w:after="0"/>
        <w:rPr>
          <w:sz w:val="20"/>
          <w:szCs w:val="20"/>
          <w:color w:val="auto"/>
        </w:rPr>
      </w:pPr>
      <w:r>
        <w:rPr>
          <w:rFonts w:ascii="Arial" w:cs="Arial" w:eastAsia="Arial" w:hAnsi="Arial"/>
          <w:sz w:val="13"/>
          <w:szCs w:val="13"/>
          <w:color w:val="auto"/>
        </w:rPr>
        <w:t>* Timeshare property and room counts are included on this table in their geographical locations. For external reporting purposes, these counts are captured in the Corporate segment.</w:t>
      </w:r>
    </w:p>
    <w:p>
      <w:pPr>
        <w:spacing w:after="0" w:line="148" w:lineRule="exact"/>
        <w:rPr>
          <w:sz w:val="20"/>
          <w:szCs w:val="20"/>
          <w:color w:val="auto"/>
        </w:rPr>
      </w:pPr>
    </w:p>
    <w:p>
      <w:pPr>
        <w:ind w:left="5" w:right="60" w:hanging="5"/>
        <w:spacing w:after="0" w:line="353" w:lineRule="auto"/>
        <w:tabs>
          <w:tab w:leader="none" w:pos="158"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five properties acquired when we purchased Elegant Hotels Group in December 2019 which we currently intend to re-brand under the Autograph Collection brand following the completion of planned renovations.</w:t>
      </w:r>
    </w:p>
    <w:p>
      <w:pPr>
        <w:spacing w:after="0" w:line="67" w:lineRule="exact"/>
        <w:rPr>
          <w:sz w:val="20"/>
          <w:szCs w:val="20"/>
          <w:color w:val="auto"/>
        </w:rPr>
      </w:pPr>
    </w:p>
    <w:p>
      <w:pPr>
        <w:ind w:left="5" w:hanging="5"/>
        <w:spacing w:after="0" w:line="353" w:lineRule="auto"/>
        <w:tabs>
          <w:tab w:leader="none" w:pos="158"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two properties acquired when we purchased Elegant Hotels Group in December 2019 which we currently intend to re-brand under The Luxury Collection brand following the completion of planned renovations.</w:t>
      </w:r>
    </w:p>
    <w:p>
      <w:pPr>
        <w:spacing w:after="0" w:line="200" w:lineRule="exact"/>
        <w:rPr>
          <w:sz w:val="20"/>
          <w:szCs w:val="20"/>
          <w:color w:val="auto"/>
        </w:rPr>
      </w:pPr>
    </w:p>
    <w:p>
      <w:pPr>
        <w:spacing w:after="0" w:line="276" w:lineRule="exact"/>
        <w:rPr>
          <w:sz w:val="20"/>
          <w:szCs w:val="20"/>
          <w:color w:val="auto"/>
        </w:rPr>
      </w:pPr>
    </w:p>
    <w:p>
      <w:pPr>
        <w:jc w:val="center"/>
        <w:ind w:right="415"/>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705"/>
          </w:cols>
          <w:pgMar w:left="815" w:top="342" w:right="379" w:bottom="1440" w:gutter="0" w:footer="0" w:header="0"/>
        </w:sectPr>
      </w:pPr>
    </w:p>
    <w:bookmarkStart w:id="19" w:name="page20"/>
    <w:bookmarkEnd w:id="19"/>
    <w:p>
      <w:pPr>
        <w:jc w:val="center"/>
        <w:ind w:right="415"/>
        <w:spacing w:after="0"/>
        <w:rPr>
          <w:sz w:val="20"/>
          <w:szCs w:val="20"/>
          <w:color w:val="auto"/>
        </w:rPr>
      </w:pPr>
      <w:r>
        <w:rPr>
          <w:rFonts w:ascii="Arial" w:cs="Arial" w:eastAsia="Arial" w:hAnsi="Arial"/>
          <w:sz w:val="16"/>
          <w:szCs w:val="16"/>
          <w:b w:val="1"/>
          <w:bCs w:val="1"/>
          <w:color w:val="auto"/>
        </w:rPr>
        <w:t>MARRIOTT INTERNATIONAL, INC.</w:t>
      </w:r>
    </w:p>
    <w:p>
      <w:pPr>
        <w:spacing w:after="0" w:line="23" w:lineRule="exact"/>
        <w:rPr>
          <w:sz w:val="20"/>
          <w:szCs w:val="20"/>
          <w:color w:val="auto"/>
        </w:rPr>
      </w:pPr>
    </w:p>
    <w:p>
      <w:pPr>
        <w:jc w:val="center"/>
        <w:ind w:right="415"/>
        <w:spacing w:after="0"/>
        <w:rPr>
          <w:sz w:val="20"/>
          <w:szCs w:val="20"/>
          <w:color w:val="auto"/>
        </w:rPr>
      </w:pPr>
      <w:r>
        <w:rPr>
          <w:rFonts w:ascii="Arial" w:cs="Arial" w:eastAsia="Arial" w:hAnsi="Arial"/>
          <w:sz w:val="16"/>
          <w:szCs w:val="16"/>
          <w:b w:val="1"/>
          <w:bCs w:val="1"/>
          <w:color w:val="auto"/>
        </w:rPr>
        <w:t>TOTAL LODGING PRODUCTS</w:t>
      </w:r>
    </w:p>
    <w:p>
      <w:pPr>
        <w:spacing w:after="0" w:line="5" w:lineRule="exact"/>
        <w:rPr>
          <w:sz w:val="20"/>
          <w:szCs w:val="20"/>
          <w:color w:val="auto"/>
        </w:rPr>
      </w:pPr>
    </w:p>
    <w:p>
      <w:pPr>
        <w:jc w:val="center"/>
        <w:ind w:right="415"/>
        <w:spacing w:after="0"/>
        <w:rPr>
          <w:sz w:val="20"/>
          <w:szCs w:val="20"/>
          <w:color w:val="auto"/>
        </w:rPr>
      </w:pPr>
      <w:r>
        <w:rPr>
          <w:rFonts w:ascii="Arial" w:cs="Arial" w:eastAsia="Arial" w:hAnsi="Arial"/>
          <w:sz w:val="16"/>
          <w:szCs w:val="16"/>
          <w:b w:val="1"/>
          <w:bCs w:val="1"/>
          <w:color w:val="auto"/>
        </w:rPr>
        <w:t>As of December 31, 2019</w:t>
      </w:r>
    </w:p>
    <w:p>
      <w:pPr>
        <w:spacing w:after="0" w:line="170" w:lineRule="exact"/>
        <w:rPr>
          <w:sz w:val="20"/>
          <w:szCs w:val="20"/>
          <w:color w:val="auto"/>
        </w:rPr>
      </w:pPr>
    </w:p>
    <w:tbl>
      <w:tblPr>
        <w:tblLayout w:type="fixed"/>
        <w:tblInd w:w="95" w:type="dxa"/>
        <w:tblCellMar>
          <w:top w:w="0" w:type="dxa"/>
          <w:left w:w="0" w:type="dxa"/>
          <w:bottom w:w="0" w:type="dxa"/>
          <w:right w:w="0" w:type="dxa"/>
        </w:tblCellMar>
      </w:tblPr>
      <w:tr>
        <w:trPr>
          <w:trHeight w:val="272"/>
        </w:trPr>
        <w:tc>
          <w:tcPr>
            <w:tcW w:w="4080" w:type="dxa"/>
            <w:vAlign w:val="bottom"/>
            <w:tcBorders>
              <w:top w:val="single" w:sz="8" w:color="auto"/>
              <w:left w:val="single" w:sz="8" w:color="auto"/>
              <w:right w:val="single" w:sz="8" w:color="auto"/>
            </w:tcBorders>
          </w:tcPr>
          <w:p>
            <w:pPr>
              <w:spacing w:after="0"/>
              <w:rPr>
                <w:sz w:val="23"/>
                <w:szCs w:val="23"/>
                <w:color w:val="auto"/>
              </w:rPr>
            </w:pPr>
          </w:p>
        </w:tc>
        <w:tc>
          <w:tcPr>
            <w:tcW w:w="2060" w:type="dxa"/>
            <w:vAlign w:val="bottom"/>
            <w:tcBorders>
              <w:top w:val="single" w:sz="8" w:color="auto"/>
              <w:right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North America</w:t>
            </w:r>
          </w:p>
        </w:tc>
        <w:tc>
          <w:tcPr>
            <w:tcW w:w="2000" w:type="dxa"/>
            <w:vAlign w:val="bottom"/>
            <w:tcBorders>
              <w:top w:val="single" w:sz="8" w:color="auto"/>
              <w:right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Total International</w:t>
            </w:r>
          </w:p>
        </w:tc>
        <w:tc>
          <w:tcPr>
            <w:tcW w:w="2000" w:type="dxa"/>
            <w:vAlign w:val="bottom"/>
            <w:tcBorders>
              <w:top w:val="single" w:sz="8" w:color="auto"/>
              <w:right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Total Worldwide</w:t>
            </w:r>
          </w:p>
        </w:tc>
      </w:tr>
      <w:tr>
        <w:trPr>
          <w:trHeight w:val="209"/>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Total Systemwide</w:t>
            </w:r>
          </w:p>
        </w:tc>
        <w:tc>
          <w:tcPr>
            <w:tcW w:w="1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i w:val="1"/>
                <w:iCs w:val="1"/>
                <w:color w:val="auto"/>
              </w:rPr>
              <w:t>Units</w:t>
            </w:r>
          </w:p>
        </w:tc>
        <w:tc>
          <w:tcPr>
            <w:tcW w:w="96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Rooms</w:t>
            </w: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i w:val="1"/>
                <w:iCs w:val="1"/>
                <w:color w:val="auto"/>
              </w:rPr>
              <w:t>Units</w:t>
            </w:r>
          </w:p>
        </w:tc>
        <w:tc>
          <w:tcPr>
            <w:tcW w:w="92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Rooms</w:t>
            </w: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i w:val="1"/>
                <w:iCs w:val="1"/>
                <w:color w:val="auto"/>
              </w:rPr>
              <w:t>Units</w:t>
            </w:r>
          </w:p>
        </w:tc>
        <w:tc>
          <w:tcPr>
            <w:tcW w:w="92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Rooms</w:t>
            </w:r>
          </w:p>
        </w:tc>
      </w:tr>
      <w:tr>
        <w:trPr>
          <w:trHeight w:val="210"/>
        </w:trPr>
        <w:tc>
          <w:tcPr>
            <w:tcW w:w="40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4"/>
                <w:szCs w:val="14"/>
                <w:b w:val="1"/>
                <w:bCs w:val="1"/>
                <w:color w:val="auto"/>
              </w:rPr>
              <w:t>Luxury</w:t>
            </w:r>
          </w:p>
        </w:tc>
        <w:tc>
          <w:tcPr>
            <w:tcW w:w="110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182</w:t>
            </w:r>
          </w:p>
        </w:tc>
        <w:tc>
          <w:tcPr>
            <w:tcW w:w="960" w:type="dxa"/>
            <w:vAlign w:val="bottom"/>
            <w:tcBorders>
              <w:bottom w:val="single" w:sz="8" w:color="auto"/>
              <w:right w:val="single" w:sz="8" w:color="auto"/>
            </w:tcBorders>
            <w:shd w:val="clear" w:color="auto" w:fill="D9D9D9"/>
          </w:tcPr>
          <w:p>
            <w:pPr>
              <w:jc w:val="right"/>
              <w:ind w:right="68"/>
              <w:spacing w:after="0"/>
              <w:rPr>
                <w:sz w:val="20"/>
                <w:szCs w:val="20"/>
                <w:color w:val="auto"/>
              </w:rPr>
            </w:pPr>
            <w:r>
              <w:rPr>
                <w:rFonts w:ascii="Arial" w:cs="Arial" w:eastAsia="Arial" w:hAnsi="Arial"/>
                <w:sz w:val="14"/>
                <w:szCs w:val="14"/>
                <w:b w:val="1"/>
                <w:bCs w:val="1"/>
                <w:color w:val="auto"/>
              </w:rPr>
              <w:t>50,202</w:t>
            </w:r>
          </w:p>
        </w:tc>
        <w:tc>
          <w:tcPr>
            <w:tcW w:w="108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344</w:t>
            </w:r>
          </w:p>
        </w:tc>
        <w:tc>
          <w:tcPr>
            <w:tcW w:w="920" w:type="dxa"/>
            <w:vAlign w:val="bottom"/>
            <w:tcBorders>
              <w:bottom w:val="single" w:sz="8" w:color="auto"/>
              <w:right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79,791</w:t>
            </w:r>
          </w:p>
        </w:tc>
        <w:tc>
          <w:tcPr>
            <w:tcW w:w="108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526</w:t>
            </w:r>
          </w:p>
        </w:tc>
        <w:tc>
          <w:tcPr>
            <w:tcW w:w="920" w:type="dxa"/>
            <w:vAlign w:val="bottom"/>
            <w:tcBorders>
              <w:bottom w:val="single" w:sz="8" w:color="auto"/>
              <w:right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129,993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JW Marriott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16,853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24,209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41,062</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Ritz-Carlton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11,410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16,193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27,603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Ritz-Carlton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4,421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938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5,359</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Ritz-Carlton Serviced Apartments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697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697</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 xml:space="preserve">The Luxury Collection </w:t>
            </w:r>
            <w:r>
              <w:rPr>
                <w:rFonts w:ascii="Arial" w:cs="Arial" w:eastAsia="Arial" w:hAnsi="Arial"/>
                <w:sz w:val="8"/>
                <w:szCs w:val="8"/>
                <w:color w:val="auto"/>
              </w:rPr>
              <w:t>1</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4,799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18,444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23,243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Luxury Collection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151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263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7,672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8,135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15,807</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1,089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519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1,608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St. Regis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1,968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7,618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9,586</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St. Regis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585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598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1,183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St. Regis Serviced Apartments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EDITION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1,209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1,287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2,496</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EDITION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Bulgari</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523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523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Bulgari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448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448</w:t>
            </w:r>
          </w:p>
        </w:tc>
      </w:tr>
      <w:tr>
        <w:trPr>
          <w:trHeight w:val="210"/>
        </w:trPr>
        <w:tc>
          <w:tcPr>
            <w:tcW w:w="40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4"/>
                <w:szCs w:val="14"/>
                <w:b w:val="1"/>
                <w:bCs w:val="1"/>
                <w:color w:val="auto"/>
              </w:rPr>
              <w:t>Full-Service</w:t>
            </w:r>
          </w:p>
        </w:tc>
        <w:tc>
          <w:tcPr>
            <w:tcW w:w="110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977</w:t>
            </w:r>
          </w:p>
        </w:tc>
        <w:tc>
          <w:tcPr>
            <w:tcW w:w="960" w:type="dxa"/>
            <w:vAlign w:val="bottom"/>
            <w:tcBorders>
              <w:bottom w:val="single" w:sz="8" w:color="auto"/>
              <w:right w:val="single" w:sz="8" w:color="auto"/>
            </w:tcBorders>
            <w:shd w:val="clear" w:color="auto" w:fill="D9D9D9"/>
          </w:tcPr>
          <w:p>
            <w:pPr>
              <w:jc w:val="right"/>
              <w:ind w:right="68"/>
              <w:spacing w:after="0"/>
              <w:rPr>
                <w:sz w:val="20"/>
                <w:szCs w:val="20"/>
                <w:color w:val="auto"/>
              </w:rPr>
            </w:pPr>
            <w:r>
              <w:rPr>
                <w:rFonts w:ascii="Arial" w:cs="Arial" w:eastAsia="Arial" w:hAnsi="Arial"/>
                <w:sz w:val="14"/>
                <w:szCs w:val="14"/>
                <w:b w:val="1"/>
                <w:bCs w:val="1"/>
                <w:color w:val="auto"/>
              </w:rPr>
              <w:t>347,341</w:t>
            </w:r>
          </w:p>
        </w:tc>
        <w:tc>
          <w:tcPr>
            <w:tcW w:w="108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916</w:t>
            </w:r>
          </w:p>
        </w:tc>
        <w:tc>
          <w:tcPr>
            <w:tcW w:w="920" w:type="dxa"/>
            <w:vAlign w:val="bottom"/>
            <w:tcBorders>
              <w:bottom w:val="single" w:sz="8" w:color="auto"/>
              <w:right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258,339</w:t>
            </w:r>
          </w:p>
        </w:tc>
        <w:tc>
          <w:tcPr>
            <w:tcW w:w="108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1,893</w:t>
            </w:r>
          </w:p>
        </w:tc>
        <w:tc>
          <w:tcPr>
            <w:tcW w:w="920" w:type="dxa"/>
            <w:vAlign w:val="bottom"/>
            <w:tcBorders>
              <w:bottom w:val="single" w:sz="8" w:color="auto"/>
              <w:right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605,680</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Marriott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340</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134,412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68,593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203,005</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Marriott Hotels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108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108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Marriott Hotels Serviced Apartments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Sheraton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189</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72,039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84,524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156,563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Sheraton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262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262</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Westin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130</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53,097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29,375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82,472</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Westin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266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264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530</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Renaissance</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86</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28,597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89</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26,364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175</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54,961</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 xml:space="preserve">Autograph Collection </w:t>
            </w:r>
            <w:r>
              <w:rPr>
                <w:rFonts w:ascii="Arial" w:cs="Arial" w:eastAsia="Arial" w:hAnsi="Arial"/>
                <w:sz w:val="8"/>
                <w:szCs w:val="8"/>
                <w:color w:val="auto"/>
              </w:rPr>
              <w:t>2</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108</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22,463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15,186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37,649</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Autograph Collection Residences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62</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Le Méridien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4,480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89</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24,721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110</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29,201</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Delta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17,376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1,428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79</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18,804</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Gaylord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9,918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9,918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Tribute Portfolio</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4,445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2,167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6,612</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Marriott Executive Apartments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4,589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4,589</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Design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248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542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790</w:t>
            </w:r>
          </w:p>
        </w:tc>
      </w:tr>
      <w:tr>
        <w:trPr>
          <w:trHeight w:val="210"/>
        </w:trPr>
        <w:tc>
          <w:tcPr>
            <w:tcW w:w="40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4"/>
                <w:szCs w:val="14"/>
                <w:b w:val="1"/>
                <w:bCs w:val="1"/>
                <w:color w:val="auto"/>
              </w:rPr>
              <w:t>Limited-Service</w:t>
            </w:r>
          </w:p>
        </w:tc>
        <w:tc>
          <w:tcPr>
            <w:tcW w:w="110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4,165</w:t>
            </w:r>
          </w:p>
        </w:tc>
        <w:tc>
          <w:tcPr>
            <w:tcW w:w="960" w:type="dxa"/>
            <w:vAlign w:val="bottom"/>
            <w:tcBorders>
              <w:bottom w:val="single" w:sz="8" w:color="auto"/>
              <w:right w:val="single" w:sz="8" w:color="auto"/>
            </w:tcBorders>
            <w:shd w:val="clear" w:color="auto" w:fill="D9D9D9"/>
          </w:tcPr>
          <w:p>
            <w:pPr>
              <w:jc w:val="right"/>
              <w:ind w:right="68"/>
              <w:spacing w:after="0"/>
              <w:rPr>
                <w:sz w:val="20"/>
                <w:szCs w:val="20"/>
                <w:color w:val="auto"/>
              </w:rPr>
            </w:pPr>
            <w:r>
              <w:rPr>
                <w:rFonts w:ascii="Arial" w:cs="Arial" w:eastAsia="Arial" w:hAnsi="Arial"/>
                <w:sz w:val="14"/>
                <w:szCs w:val="14"/>
                <w:b w:val="1"/>
                <w:bCs w:val="1"/>
                <w:color w:val="auto"/>
              </w:rPr>
              <w:t>502,262</w:t>
            </w:r>
          </w:p>
        </w:tc>
        <w:tc>
          <w:tcPr>
            <w:tcW w:w="108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674</w:t>
            </w:r>
          </w:p>
        </w:tc>
        <w:tc>
          <w:tcPr>
            <w:tcW w:w="920" w:type="dxa"/>
            <w:vAlign w:val="bottom"/>
            <w:tcBorders>
              <w:bottom w:val="single" w:sz="8" w:color="auto"/>
              <w:right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120,465</w:t>
            </w:r>
          </w:p>
        </w:tc>
        <w:tc>
          <w:tcPr>
            <w:tcW w:w="108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4,839</w:t>
            </w:r>
          </w:p>
        </w:tc>
        <w:tc>
          <w:tcPr>
            <w:tcW w:w="920" w:type="dxa"/>
            <w:vAlign w:val="bottom"/>
            <w:tcBorders>
              <w:bottom w:val="single" w:sz="8" w:color="auto"/>
              <w:right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622,727</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Courtyard</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1,053</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146,602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38,027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1,241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184,629</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Residence Inn</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833</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103,038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2,027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850</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105,065</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Fairfield by Marriott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94,063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9,086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1,057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103,149</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SpringHill Suites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456</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54,033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54,033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Four Points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159</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23,847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130</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28,396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289</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52,243</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TownePlace Suites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418</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42,378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418</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42,378</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Aloft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119</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17,647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12,055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29,702</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AC Hotels by Marriott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10,720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96</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12,741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159</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23,461</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Moxy</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4,149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8,060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12,209</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Protea Hotels</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8,359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8,359</w:t>
            </w:r>
          </w:p>
        </w:tc>
      </w:tr>
      <w:tr>
        <w:trPr>
          <w:trHeight w:val="210"/>
        </w:trPr>
        <w:tc>
          <w:tcPr>
            <w:tcW w:w="40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Element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5,785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1,714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51</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7,499</w:t>
            </w:r>
          </w:p>
        </w:tc>
      </w:tr>
      <w:tr>
        <w:trPr>
          <w:trHeight w:val="210"/>
        </w:trPr>
        <w:tc>
          <w:tcPr>
            <w:tcW w:w="40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4"/>
                <w:szCs w:val="14"/>
                <w:b w:val="1"/>
                <w:bCs w:val="1"/>
                <w:color w:val="auto"/>
              </w:rPr>
              <w:t>Timeshare*</w:t>
            </w:r>
          </w:p>
        </w:tc>
        <w:tc>
          <w:tcPr>
            <w:tcW w:w="110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72</w:t>
            </w:r>
          </w:p>
        </w:tc>
        <w:tc>
          <w:tcPr>
            <w:tcW w:w="960" w:type="dxa"/>
            <w:vAlign w:val="bottom"/>
            <w:tcBorders>
              <w:bottom w:val="single" w:sz="8" w:color="auto"/>
              <w:right w:val="single" w:sz="8" w:color="auto"/>
            </w:tcBorders>
            <w:shd w:val="clear" w:color="auto" w:fill="D9D9D9"/>
          </w:tcPr>
          <w:p>
            <w:pPr>
              <w:jc w:val="right"/>
              <w:ind w:right="68"/>
              <w:spacing w:after="0"/>
              <w:rPr>
                <w:sz w:val="20"/>
                <w:szCs w:val="20"/>
                <w:color w:val="auto"/>
              </w:rPr>
            </w:pPr>
            <w:r>
              <w:rPr>
                <w:rFonts w:ascii="Arial" w:cs="Arial" w:eastAsia="Arial" w:hAnsi="Arial"/>
                <w:sz w:val="14"/>
                <w:szCs w:val="14"/>
                <w:b w:val="1"/>
                <w:bCs w:val="1"/>
                <w:color w:val="auto"/>
              </w:rPr>
              <w:t>18,668</w:t>
            </w:r>
          </w:p>
        </w:tc>
        <w:tc>
          <w:tcPr>
            <w:tcW w:w="108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19</w:t>
            </w:r>
          </w:p>
        </w:tc>
        <w:tc>
          <w:tcPr>
            <w:tcW w:w="920" w:type="dxa"/>
            <w:vAlign w:val="bottom"/>
            <w:tcBorders>
              <w:bottom w:val="single" w:sz="8" w:color="auto"/>
              <w:right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3,853</w:t>
            </w:r>
          </w:p>
        </w:tc>
        <w:tc>
          <w:tcPr>
            <w:tcW w:w="1080" w:type="dxa"/>
            <w:vAlign w:val="bottom"/>
            <w:tcBorders>
              <w:bottom w:val="single" w:sz="8" w:color="auto"/>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91</w:t>
            </w:r>
          </w:p>
        </w:tc>
        <w:tc>
          <w:tcPr>
            <w:tcW w:w="920" w:type="dxa"/>
            <w:vAlign w:val="bottom"/>
            <w:tcBorders>
              <w:bottom w:val="single" w:sz="8" w:color="auto"/>
              <w:right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22,521</w:t>
            </w:r>
          </w:p>
        </w:tc>
      </w:tr>
      <w:tr>
        <w:trPr>
          <w:trHeight w:val="210"/>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Grand Total</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5,396</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918,473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1,953</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462,448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7,349</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1,380,921</w:t>
            </w:r>
          </w:p>
        </w:tc>
      </w:tr>
    </w:tbl>
    <w:p>
      <w:pPr>
        <w:spacing w:after="0" w:line="35" w:lineRule="exact"/>
        <w:rPr>
          <w:sz w:val="20"/>
          <w:szCs w:val="20"/>
          <w:color w:val="auto"/>
        </w:rPr>
      </w:pPr>
    </w:p>
    <w:p>
      <w:pPr>
        <w:ind w:left="5"/>
        <w:spacing w:after="0"/>
        <w:rPr>
          <w:sz w:val="20"/>
          <w:szCs w:val="20"/>
          <w:color w:val="auto"/>
        </w:rPr>
      </w:pPr>
      <w:r>
        <w:rPr>
          <w:rFonts w:ascii="Arial" w:cs="Arial" w:eastAsia="Arial" w:hAnsi="Arial"/>
          <w:sz w:val="13"/>
          <w:szCs w:val="13"/>
          <w:color w:val="auto"/>
        </w:rPr>
        <w:t>* Timeshare property and room counts are included on this table in their geographical locations. For external reporting purposes, these counts are captured in the Corporate segment.</w:t>
      </w:r>
    </w:p>
    <w:p>
      <w:pPr>
        <w:spacing w:after="0" w:line="94" w:lineRule="exact"/>
        <w:rPr>
          <w:sz w:val="20"/>
          <w:szCs w:val="20"/>
          <w:color w:val="auto"/>
        </w:rPr>
      </w:pPr>
    </w:p>
    <w:p>
      <w:pPr>
        <w:ind w:left="5" w:hanging="5"/>
        <w:spacing w:after="0" w:line="353" w:lineRule="auto"/>
        <w:tabs>
          <w:tab w:leader="none" w:pos="158"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two properties acquired when we purchased Elegant Hotels Group in December 2019 which we currently intend to re-brand under The Luxury Collection brand following the completion of planned renovations.</w:t>
      </w:r>
    </w:p>
    <w:p>
      <w:pPr>
        <w:spacing w:after="0" w:line="13" w:lineRule="exact"/>
        <w:rPr>
          <w:sz w:val="20"/>
          <w:szCs w:val="20"/>
          <w:color w:val="auto"/>
        </w:rPr>
      </w:pPr>
    </w:p>
    <w:p>
      <w:pPr>
        <w:ind w:left="5" w:right="60" w:hanging="5"/>
        <w:spacing w:after="0" w:line="353" w:lineRule="auto"/>
        <w:tabs>
          <w:tab w:leader="none" w:pos="158"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five properties acquired when we purchased Elegant Hotels Group in December 2019 which we currently intend to re-brand under the Autograph Collection brand following the completion of planned renovations.</w:t>
      </w:r>
    </w:p>
    <w:p>
      <w:pPr>
        <w:sectPr>
          <w:pgSz w:w="11900" w:h="16838" w:orient="portrait"/>
          <w:cols w:equalWidth="0" w:num="1">
            <w:col w:w="10705"/>
          </w:cols>
          <w:pgMar w:left="815" w:top="342" w:right="379" w:bottom="1440" w:gutter="0" w:footer="0" w:header="0"/>
        </w:sectPr>
      </w:pPr>
    </w:p>
    <w:p>
      <w:pPr>
        <w:spacing w:after="0" w:line="368" w:lineRule="exact"/>
        <w:rPr>
          <w:sz w:val="20"/>
          <w:szCs w:val="20"/>
          <w:color w:val="auto"/>
        </w:rPr>
      </w:pPr>
    </w:p>
    <w:p>
      <w:pPr>
        <w:jc w:val="center"/>
        <w:ind w:right="415"/>
        <w:spacing w:after="0"/>
        <w:rPr>
          <w:sz w:val="20"/>
          <w:szCs w:val="20"/>
          <w:color w:val="auto"/>
        </w:rPr>
      </w:pPr>
      <w:r>
        <w:rPr>
          <w:rFonts w:ascii="Arial" w:cs="Arial" w:eastAsia="Arial" w:hAnsi="Arial"/>
          <w:sz w:val="17"/>
          <w:szCs w:val="17"/>
          <w:color w:val="auto"/>
        </w:rPr>
        <w:t>A-6</w:t>
      </w:r>
    </w:p>
    <w:p>
      <w:pPr>
        <w:sectPr>
          <w:pgSz w:w="11900" w:h="16838" w:orient="portrait"/>
          <w:cols w:equalWidth="0" w:num="1">
            <w:col w:w="10705"/>
          </w:cols>
          <w:pgMar w:left="815" w:top="342" w:right="37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MARRIOTT INTERNATIONAL,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LODGING STATISTICS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Constant $</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Comparable Company-Operated North American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8"/>
          </w:tcPr>
          <w:p>
            <w:pPr>
              <w:jc w:val="center"/>
              <w:ind w:right="248"/>
              <w:spacing w:after="0"/>
              <w:rPr>
                <w:sz w:val="20"/>
                <w:szCs w:val="20"/>
                <w:color w:val="auto"/>
              </w:rPr>
            </w:pPr>
            <w:r>
              <w:rPr>
                <w:rFonts w:ascii="Arial" w:cs="Arial" w:eastAsia="Arial" w:hAnsi="Arial"/>
                <w:sz w:val="14"/>
                <w:szCs w:val="14"/>
                <w:b w:val="1"/>
                <w:bCs w:val="1"/>
                <w:color w:val="auto"/>
                <w:w w:val="93"/>
              </w:rPr>
              <w:t>Three Months Ended December 31, 2019 and December 31, 2018</w:t>
            </w:r>
          </w:p>
        </w:tc>
        <w:tc>
          <w:tcPr>
            <w:tcW w:w="1060" w:type="dxa"/>
            <w:vAlign w:val="bottom"/>
            <w:tcBorders>
              <w:bottom w:val="single" w:sz="8" w:color="auto"/>
            </w:tcBorders>
          </w:tcPr>
          <w:p>
            <w:pPr>
              <w:spacing w:after="0"/>
              <w:rPr>
                <w:sz w:val="16"/>
                <w:szCs w:val="16"/>
                <w:color w:val="auto"/>
              </w:rPr>
            </w:pPr>
          </w:p>
        </w:tc>
      </w:tr>
      <w:tr>
        <w:trPr>
          <w:trHeight w:val="264"/>
        </w:trPr>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REVPAR</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Borders>
              <w:bottom w:val="single" w:sz="8" w:color="auto"/>
            </w:tcBorders>
          </w:tcPr>
          <w:p>
            <w:pPr>
              <w:jc w:val="center"/>
              <w:ind w:left="968"/>
              <w:spacing w:after="0"/>
              <w:rPr>
                <w:sz w:val="20"/>
                <w:szCs w:val="20"/>
                <w:color w:val="auto"/>
              </w:rPr>
            </w:pPr>
            <w:r>
              <w:rPr>
                <w:rFonts w:ascii="Arial" w:cs="Arial" w:eastAsia="Arial" w:hAnsi="Arial"/>
                <w:sz w:val="14"/>
                <w:szCs w:val="14"/>
                <w:b w:val="1"/>
                <w:bCs w:val="1"/>
                <w:color w:val="auto"/>
                <w:w w:val="92"/>
              </w:rPr>
              <w:t>Occupancy</w:t>
            </w:r>
          </w:p>
        </w:tc>
        <w:tc>
          <w:tcPr>
            <w:tcW w:w="6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Brand</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8"/>
              </w:rPr>
              <w:t>vs. 2018</w:t>
            </w:r>
          </w:p>
        </w:tc>
        <w:tc>
          <w:tcPr>
            <w:tcW w:w="100" w:type="dxa"/>
            <w:vAlign w:val="bottom"/>
          </w:tcPr>
          <w:p>
            <w:pPr>
              <w:spacing w:after="0"/>
              <w:rPr>
                <w:sz w:val="22"/>
                <w:szCs w:val="22"/>
                <w:color w:val="auto"/>
              </w:rPr>
            </w:pPr>
          </w:p>
        </w:tc>
        <w:tc>
          <w:tcPr>
            <w:tcW w:w="17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4"/>
              </w:rPr>
              <w:t>vs. 2018</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vs. 2018</w:t>
            </w:r>
          </w:p>
        </w:tc>
      </w:tr>
      <w:tr>
        <w:trPr>
          <w:trHeight w:val="258"/>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JW Marriott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205.28</w:t>
            </w:r>
          </w:p>
        </w:tc>
        <w:tc>
          <w:tcPr>
            <w:tcW w:w="80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22"/>
                <w:szCs w:val="22"/>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74.4%</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0.1 %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276.03</w:t>
            </w:r>
          </w:p>
        </w:tc>
        <w:tc>
          <w:tcPr>
            <w:tcW w:w="1060" w:type="dxa"/>
            <w:vAlign w:val="bottom"/>
          </w:tcPr>
          <w:p>
            <w:pPr>
              <w:jc w:val="right"/>
              <w:spacing w:after="0"/>
              <w:rPr>
                <w:sz w:val="20"/>
                <w:szCs w:val="20"/>
                <w:color w:val="auto"/>
              </w:rPr>
            </w:pPr>
            <w:r>
              <w:rPr>
                <w:rFonts w:ascii="Arial" w:cs="Arial" w:eastAsia="Arial" w:hAnsi="Arial"/>
                <w:sz w:val="14"/>
                <w:szCs w:val="14"/>
                <w:color w:val="auto"/>
              </w:rPr>
              <w:t>1.6 %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The Ritz-Carlton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288.59</w:t>
            </w:r>
          </w:p>
        </w:tc>
        <w:tc>
          <w:tcPr>
            <w:tcW w:w="800" w:type="dxa"/>
            <w:vAlign w:val="bottom"/>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72.9%</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2.0 %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395.84</w:t>
            </w:r>
          </w:p>
        </w:tc>
        <w:tc>
          <w:tcPr>
            <w:tcW w:w="1060" w:type="dxa"/>
            <w:vAlign w:val="bottom"/>
          </w:tcPr>
          <w:p>
            <w:pPr>
              <w:jc w:val="right"/>
              <w:spacing w:after="0"/>
              <w:rPr>
                <w:sz w:val="20"/>
                <w:szCs w:val="20"/>
                <w:color w:val="auto"/>
              </w:rPr>
            </w:pPr>
            <w:r>
              <w:rPr>
                <w:rFonts w:ascii="Arial" w:cs="Arial" w:eastAsia="Arial" w:hAnsi="Arial"/>
                <w:sz w:val="14"/>
                <w:szCs w:val="14"/>
                <w:color w:val="auto"/>
              </w:rPr>
              <w:t>2.9 %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W Hotels</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257.32</w:t>
            </w:r>
          </w:p>
        </w:tc>
        <w:tc>
          <w:tcPr>
            <w:tcW w:w="80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78.3%</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1.1 %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328.62</w:t>
            </w:r>
          </w:p>
        </w:tc>
        <w:tc>
          <w:tcPr>
            <w:tcW w:w="1060" w:type="dxa"/>
            <w:vAlign w:val="bottom"/>
          </w:tcPr>
          <w:p>
            <w:pPr>
              <w:jc w:val="right"/>
              <w:spacing w:after="0"/>
              <w:rPr>
                <w:sz w:val="20"/>
                <w:szCs w:val="20"/>
                <w:color w:val="auto"/>
              </w:rPr>
            </w:pPr>
            <w:r>
              <w:rPr>
                <w:rFonts w:ascii="Arial" w:cs="Arial" w:eastAsia="Arial" w:hAnsi="Arial"/>
                <w:sz w:val="14"/>
                <w:szCs w:val="14"/>
                <w:color w:val="auto"/>
              </w:rPr>
              <w:t>0.5 %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Composite North American Luxury </w:t>
            </w:r>
            <w:r>
              <w:rPr>
                <w:rFonts w:ascii="Arial" w:cs="Arial" w:eastAsia="Arial" w:hAnsi="Arial"/>
                <w:sz w:val="8"/>
                <w:szCs w:val="8"/>
                <w:b w:val="1"/>
                <w:bCs w:val="1"/>
                <w:color w:val="auto"/>
              </w:rPr>
              <w:t>1</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274.02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3.0 %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75.3%</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1.9 %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364.00</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0.4 %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Marriott Hotels</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150.01</w:t>
            </w:r>
          </w:p>
        </w:tc>
        <w:tc>
          <w:tcPr>
            <w:tcW w:w="80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72.9%</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1.0 %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205.72</w:t>
            </w:r>
          </w:p>
        </w:tc>
        <w:tc>
          <w:tcPr>
            <w:tcW w:w="1060" w:type="dxa"/>
            <w:vAlign w:val="bottom"/>
          </w:tcPr>
          <w:p>
            <w:pPr>
              <w:jc w:val="right"/>
              <w:spacing w:after="0"/>
              <w:rPr>
                <w:sz w:val="20"/>
                <w:szCs w:val="20"/>
                <w:color w:val="auto"/>
              </w:rPr>
            </w:pPr>
            <w:r>
              <w:rPr>
                <w:rFonts w:ascii="Arial" w:cs="Arial" w:eastAsia="Arial" w:hAnsi="Arial"/>
                <w:sz w:val="14"/>
                <w:szCs w:val="14"/>
                <w:color w:val="auto"/>
              </w:rPr>
              <w:t>0.9 %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Sheraton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151.32</w:t>
            </w:r>
          </w:p>
        </w:tc>
        <w:tc>
          <w:tcPr>
            <w:tcW w:w="80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74.5%</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2.0 %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203.20</w:t>
            </w:r>
          </w:p>
        </w:tc>
        <w:tc>
          <w:tcPr>
            <w:tcW w:w="1060" w:type="dxa"/>
            <w:vAlign w:val="bottom"/>
          </w:tcPr>
          <w:p>
            <w:pPr>
              <w:jc w:val="right"/>
              <w:spacing w:after="0"/>
              <w:rPr>
                <w:sz w:val="20"/>
                <w:szCs w:val="20"/>
                <w:color w:val="auto"/>
              </w:rPr>
            </w:pPr>
            <w:r>
              <w:rPr>
                <w:rFonts w:ascii="Arial" w:cs="Arial" w:eastAsia="Arial" w:hAnsi="Arial"/>
                <w:sz w:val="14"/>
                <w:szCs w:val="14"/>
                <w:color w:val="auto"/>
              </w:rPr>
              <w:t>-0.9 %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Westin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153.53</w:t>
            </w:r>
          </w:p>
        </w:tc>
        <w:tc>
          <w:tcPr>
            <w:tcW w:w="80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73.3%</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1.2 %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209.50</w:t>
            </w:r>
          </w:p>
        </w:tc>
        <w:tc>
          <w:tcPr>
            <w:tcW w:w="1060" w:type="dxa"/>
            <w:vAlign w:val="bottom"/>
          </w:tcPr>
          <w:p>
            <w:pPr>
              <w:jc w:val="right"/>
              <w:spacing w:after="0"/>
              <w:rPr>
                <w:sz w:val="20"/>
                <w:szCs w:val="20"/>
                <w:color w:val="auto"/>
              </w:rPr>
            </w:pPr>
            <w:r>
              <w:rPr>
                <w:rFonts w:ascii="Arial" w:cs="Arial" w:eastAsia="Arial" w:hAnsi="Arial"/>
                <w:sz w:val="14"/>
                <w:szCs w:val="14"/>
                <w:color w:val="auto"/>
              </w:rPr>
              <w:t>0.1 %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Composite North American Upper Upscale </w:t>
            </w:r>
            <w:r>
              <w:rPr>
                <w:rFonts w:ascii="Arial" w:cs="Arial" w:eastAsia="Arial" w:hAnsi="Arial"/>
                <w:sz w:val="8"/>
                <w:szCs w:val="8"/>
                <w:b w:val="1"/>
                <w:bCs w:val="1"/>
                <w:color w:val="auto"/>
              </w:rPr>
              <w:t>2</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149.20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2.3 %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73.4%</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1.1 %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203.26</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0.7 %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North American Full-Service </w:t>
            </w:r>
            <w:r>
              <w:rPr>
                <w:rFonts w:ascii="Arial" w:cs="Arial" w:eastAsia="Arial" w:hAnsi="Arial"/>
                <w:sz w:val="8"/>
                <w:szCs w:val="8"/>
                <w:b w:val="1"/>
                <w:bCs w:val="1"/>
                <w:color w:val="auto"/>
              </w:rPr>
              <w:t>3</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171.23</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2.5 %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73.7%</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1.3 %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232.23</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0.7 %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Courtyard</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94.99</w:t>
            </w:r>
          </w:p>
        </w:tc>
        <w:tc>
          <w:tcPr>
            <w:tcW w:w="80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67.8%</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-0.6 %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140.19</w:t>
            </w:r>
          </w:p>
        </w:tc>
        <w:tc>
          <w:tcPr>
            <w:tcW w:w="1060" w:type="dxa"/>
            <w:vAlign w:val="bottom"/>
          </w:tcPr>
          <w:p>
            <w:pPr>
              <w:jc w:val="right"/>
              <w:spacing w:after="0"/>
              <w:rPr>
                <w:sz w:val="20"/>
                <w:szCs w:val="20"/>
                <w:color w:val="auto"/>
              </w:rPr>
            </w:pPr>
            <w:r>
              <w:rPr>
                <w:rFonts w:ascii="Arial" w:cs="Arial" w:eastAsia="Arial" w:hAnsi="Arial"/>
                <w:sz w:val="14"/>
                <w:szCs w:val="14"/>
                <w:color w:val="auto"/>
              </w:rPr>
              <w:t>-0.1 %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Residence Inn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117.41</w:t>
            </w:r>
          </w:p>
        </w:tc>
        <w:tc>
          <w:tcPr>
            <w:tcW w:w="800" w:type="dxa"/>
            <w:vAlign w:val="bottom"/>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75.2%</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-0.4 %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156.19</w:t>
            </w:r>
          </w:p>
        </w:tc>
        <w:tc>
          <w:tcPr>
            <w:tcW w:w="1060" w:type="dxa"/>
            <w:vAlign w:val="bottom"/>
          </w:tcPr>
          <w:p>
            <w:pPr>
              <w:jc w:val="right"/>
              <w:spacing w:after="0"/>
              <w:rPr>
                <w:sz w:val="20"/>
                <w:szCs w:val="20"/>
                <w:color w:val="auto"/>
              </w:rPr>
            </w:pPr>
            <w:r>
              <w:rPr>
                <w:rFonts w:ascii="Arial" w:cs="Arial" w:eastAsia="Arial" w:hAnsi="Arial"/>
                <w:sz w:val="14"/>
                <w:szCs w:val="14"/>
                <w:color w:val="auto"/>
              </w:rPr>
              <w:t>0.6 %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Composite North American Limited-Service </w:t>
            </w:r>
            <w:r>
              <w:rPr>
                <w:rFonts w:ascii="Arial" w:cs="Arial" w:eastAsia="Arial" w:hAnsi="Arial"/>
                <w:sz w:val="8"/>
                <w:szCs w:val="8"/>
                <w:b w:val="1"/>
                <w:bCs w:val="1"/>
                <w:color w:val="auto"/>
              </w:rPr>
              <w:t>4</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101.51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-0.3 %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70.4%</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-0.5 %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144.21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0.3 %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North American - All </w:t>
            </w:r>
            <w:r>
              <w:rPr>
                <w:rFonts w:ascii="Arial" w:cs="Arial" w:eastAsia="Arial" w:hAnsi="Arial"/>
                <w:sz w:val="8"/>
                <w:szCs w:val="8"/>
                <w:b w:val="1"/>
                <w:bCs w:val="1"/>
                <w:color w:val="auto"/>
              </w:rPr>
              <w:t>5</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148.72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1.9 %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72.7%</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0.7 %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204.69</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0.9 %</w:t>
            </w:r>
          </w:p>
        </w:tc>
      </w:tr>
      <w:tr>
        <w:trPr>
          <w:trHeight w:val="668"/>
        </w:trPr>
        <w:tc>
          <w:tcPr>
            <w:tcW w:w="3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Comparable Systemwide North American Properties</w:t>
            </w: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4900" w:type="dxa"/>
            <w:vAlign w:val="bottom"/>
            <w:tcBorders>
              <w:bottom w:val="single" w:sz="8" w:color="auto"/>
            </w:tcBorders>
            <w:gridSpan w:val="8"/>
          </w:tcPr>
          <w:p>
            <w:pPr>
              <w:jc w:val="center"/>
              <w:ind w:right="248"/>
              <w:spacing w:after="0"/>
              <w:rPr>
                <w:sz w:val="20"/>
                <w:szCs w:val="20"/>
                <w:color w:val="auto"/>
              </w:rPr>
            </w:pPr>
            <w:r>
              <w:rPr>
                <w:rFonts w:ascii="Arial" w:cs="Arial" w:eastAsia="Arial" w:hAnsi="Arial"/>
                <w:sz w:val="14"/>
                <w:szCs w:val="14"/>
                <w:b w:val="1"/>
                <w:bCs w:val="1"/>
                <w:color w:val="auto"/>
                <w:w w:val="93"/>
              </w:rPr>
              <w:t>Three Months Ended December 31, 2019 and December 31, 2018</w:t>
            </w:r>
          </w:p>
        </w:tc>
        <w:tc>
          <w:tcPr>
            <w:tcW w:w="1060" w:type="dxa"/>
            <w:vAlign w:val="bottom"/>
            <w:tcBorders>
              <w:bottom w:val="single" w:sz="8" w:color="auto"/>
            </w:tcBorders>
          </w:tcPr>
          <w:p>
            <w:pPr>
              <w:spacing w:after="0"/>
              <w:rPr>
                <w:sz w:val="22"/>
                <w:szCs w:val="22"/>
                <w:color w:val="auto"/>
              </w:rPr>
            </w:pPr>
          </w:p>
        </w:tc>
      </w:tr>
      <w:tr>
        <w:trPr>
          <w:trHeight w:val="264"/>
        </w:trPr>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REVPAR</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Borders>
              <w:bottom w:val="single" w:sz="8" w:color="auto"/>
            </w:tcBorders>
          </w:tcPr>
          <w:p>
            <w:pPr>
              <w:jc w:val="center"/>
              <w:ind w:left="968"/>
              <w:spacing w:after="0"/>
              <w:rPr>
                <w:sz w:val="20"/>
                <w:szCs w:val="20"/>
                <w:color w:val="auto"/>
              </w:rPr>
            </w:pPr>
            <w:r>
              <w:rPr>
                <w:rFonts w:ascii="Arial" w:cs="Arial" w:eastAsia="Arial" w:hAnsi="Arial"/>
                <w:sz w:val="14"/>
                <w:szCs w:val="14"/>
                <w:b w:val="1"/>
                <w:bCs w:val="1"/>
                <w:color w:val="auto"/>
                <w:w w:val="92"/>
              </w:rPr>
              <w:t>Occupancy</w:t>
            </w:r>
          </w:p>
        </w:tc>
        <w:tc>
          <w:tcPr>
            <w:tcW w:w="6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Brand</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8"/>
              </w:rPr>
              <w:t>vs. 2018</w:t>
            </w:r>
          </w:p>
        </w:tc>
        <w:tc>
          <w:tcPr>
            <w:tcW w:w="100" w:type="dxa"/>
            <w:vAlign w:val="bottom"/>
          </w:tcPr>
          <w:p>
            <w:pPr>
              <w:spacing w:after="0"/>
              <w:rPr>
                <w:sz w:val="22"/>
                <w:szCs w:val="22"/>
                <w:color w:val="auto"/>
              </w:rPr>
            </w:pPr>
          </w:p>
        </w:tc>
        <w:tc>
          <w:tcPr>
            <w:tcW w:w="17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4"/>
              </w:rPr>
              <w:t>vs. 2018</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vs. 2018</w:t>
            </w:r>
          </w:p>
        </w:tc>
      </w:tr>
      <w:tr>
        <w:trPr>
          <w:trHeight w:val="258"/>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JW Marriott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190.67</w:t>
            </w:r>
          </w:p>
        </w:tc>
        <w:tc>
          <w:tcPr>
            <w:tcW w:w="800" w:type="dxa"/>
            <w:vAlign w:val="bottom"/>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22"/>
                <w:szCs w:val="22"/>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72.8%</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-1.2 %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261.73</w:t>
            </w:r>
          </w:p>
        </w:tc>
        <w:tc>
          <w:tcPr>
            <w:tcW w:w="1060" w:type="dxa"/>
            <w:vAlign w:val="bottom"/>
          </w:tcPr>
          <w:p>
            <w:pPr>
              <w:jc w:val="right"/>
              <w:spacing w:after="0"/>
              <w:rPr>
                <w:sz w:val="20"/>
                <w:szCs w:val="20"/>
                <w:color w:val="auto"/>
              </w:rPr>
            </w:pPr>
            <w:r>
              <w:rPr>
                <w:rFonts w:ascii="Arial" w:cs="Arial" w:eastAsia="Arial" w:hAnsi="Arial"/>
                <w:sz w:val="14"/>
                <w:szCs w:val="14"/>
                <w:color w:val="auto"/>
              </w:rPr>
              <w:t>1.6 %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The Ritz-Carlton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287.32</w:t>
            </w:r>
          </w:p>
        </w:tc>
        <w:tc>
          <w:tcPr>
            <w:tcW w:w="800" w:type="dxa"/>
            <w:vAlign w:val="bottom"/>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73.0%</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1.8 %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393.59</w:t>
            </w:r>
          </w:p>
        </w:tc>
        <w:tc>
          <w:tcPr>
            <w:tcW w:w="1060" w:type="dxa"/>
            <w:vAlign w:val="bottom"/>
          </w:tcPr>
          <w:p>
            <w:pPr>
              <w:jc w:val="right"/>
              <w:spacing w:after="0"/>
              <w:rPr>
                <w:sz w:val="20"/>
                <w:szCs w:val="20"/>
                <w:color w:val="auto"/>
              </w:rPr>
            </w:pPr>
            <w:r>
              <w:rPr>
                <w:rFonts w:ascii="Arial" w:cs="Arial" w:eastAsia="Arial" w:hAnsi="Arial"/>
                <w:sz w:val="14"/>
                <w:szCs w:val="14"/>
                <w:color w:val="auto"/>
              </w:rPr>
              <w:t>2.8 %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W Hotels</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257.32</w:t>
            </w:r>
          </w:p>
        </w:tc>
        <w:tc>
          <w:tcPr>
            <w:tcW w:w="80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78.3%</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1.1 %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328.62</w:t>
            </w:r>
          </w:p>
        </w:tc>
        <w:tc>
          <w:tcPr>
            <w:tcW w:w="1060" w:type="dxa"/>
            <w:vAlign w:val="bottom"/>
          </w:tcPr>
          <w:p>
            <w:pPr>
              <w:jc w:val="right"/>
              <w:spacing w:after="0"/>
              <w:rPr>
                <w:sz w:val="20"/>
                <w:szCs w:val="20"/>
                <w:color w:val="auto"/>
              </w:rPr>
            </w:pPr>
            <w:r>
              <w:rPr>
                <w:rFonts w:ascii="Arial" w:cs="Arial" w:eastAsia="Arial" w:hAnsi="Arial"/>
                <w:sz w:val="14"/>
                <w:szCs w:val="14"/>
                <w:color w:val="auto"/>
              </w:rPr>
              <w:t>0.5 %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Composite North American Luxury </w:t>
            </w:r>
            <w:r>
              <w:rPr>
                <w:rFonts w:ascii="Arial" w:cs="Arial" w:eastAsia="Arial" w:hAnsi="Arial"/>
                <w:sz w:val="8"/>
                <w:szCs w:val="8"/>
                <w:b w:val="1"/>
                <w:bCs w:val="1"/>
                <w:color w:val="auto"/>
              </w:rPr>
              <w:t>1</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255.86</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2.2 %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74.7%</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1.1 %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342.64</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Marriott Hotels</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124.63</w:t>
            </w:r>
          </w:p>
        </w:tc>
        <w:tc>
          <w:tcPr>
            <w:tcW w:w="80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69.2%</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0.8 %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180.06</w:t>
            </w:r>
          </w:p>
        </w:tc>
        <w:tc>
          <w:tcPr>
            <w:tcW w:w="1060" w:type="dxa"/>
            <w:vAlign w:val="bottom"/>
          </w:tcPr>
          <w:p>
            <w:pPr>
              <w:jc w:val="right"/>
              <w:spacing w:after="0"/>
              <w:rPr>
                <w:sz w:val="20"/>
                <w:szCs w:val="20"/>
                <w:color w:val="auto"/>
              </w:rPr>
            </w:pPr>
            <w:r>
              <w:rPr>
                <w:rFonts w:ascii="Arial" w:cs="Arial" w:eastAsia="Arial" w:hAnsi="Arial"/>
                <w:sz w:val="14"/>
                <w:szCs w:val="14"/>
                <w:color w:val="auto"/>
              </w:rPr>
              <w:t>0.7 %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Sheraton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108.68</w:t>
            </w:r>
          </w:p>
        </w:tc>
        <w:tc>
          <w:tcPr>
            <w:tcW w:w="80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68.8%</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1.7 %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158.00</w:t>
            </w:r>
          </w:p>
        </w:tc>
        <w:tc>
          <w:tcPr>
            <w:tcW w:w="1060" w:type="dxa"/>
            <w:vAlign w:val="bottom"/>
          </w:tcPr>
          <w:p>
            <w:pPr>
              <w:jc w:val="right"/>
              <w:spacing w:after="0"/>
              <w:rPr>
                <w:sz w:val="20"/>
                <w:szCs w:val="20"/>
                <w:color w:val="auto"/>
              </w:rPr>
            </w:pPr>
            <w:r>
              <w:rPr>
                <w:rFonts w:ascii="Arial" w:cs="Arial" w:eastAsia="Arial" w:hAnsi="Arial"/>
                <w:sz w:val="14"/>
                <w:szCs w:val="14"/>
                <w:color w:val="auto"/>
              </w:rPr>
              <w:t>-0.9 %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Westin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142.54</w:t>
            </w:r>
          </w:p>
        </w:tc>
        <w:tc>
          <w:tcPr>
            <w:tcW w:w="80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72.4%</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1.9 %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196.91</w:t>
            </w:r>
          </w:p>
        </w:tc>
        <w:tc>
          <w:tcPr>
            <w:tcW w:w="1060" w:type="dxa"/>
            <w:vAlign w:val="bottom"/>
          </w:tcPr>
          <w:p>
            <w:pPr>
              <w:jc w:val="right"/>
              <w:spacing w:after="0"/>
              <w:rPr>
                <w:sz w:val="20"/>
                <w:szCs w:val="20"/>
                <w:color w:val="auto"/>
              </w:rPr>
            </w:pPr>
            <w:r>
              <w:rPr>
                <w:rFonts w:ascii="Arial" w:cs="Arial" w:eastAsia="Arial" w:hAnsi="Arial"/>
                <w:sz w:val="14"/>
                <w:szCs w:val="14"/>
                <w:color w:val="auto"/>
              </w:rPr>
              <w:t>-0.3 %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Composite North American Upper Upscale </w:t>
            </w:r>
            <w:r>
              <w:rPr>
                <w:rFonts w:ascii="Arial" w:cs="Arial" w:eastAsia="Arial" w:hAnsi="Arial"/>
                <w:sz w:val="8"/>
                <w:szCs w:val="8"/>
                <w:b w:val="1"/>
                <w:bCs w:val="1"/>
                <w:color w:val="auto"/>
              </w:rPr>
              <w:t>2</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128.70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2.4 %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70.5%</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1.2 %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182.53</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0.7 %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North American Full-Service </w:t>
            </w:r>
            <w:r>
              <w:rPr>
                <w:rFonts w:ascii="Arial" w:cs="Arial" w:eastAsia="Arial" w:hAnsi="Arial"/>
                <w:sz w:val="8"/>
                <w:szCs w:val="8"/>
                <w:b w:val="1"/>
                <w:bCs w:val="1"/>
                <w:color w:val="auto"/>
              </w:rPr>
              <w:t>3</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141.60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2.4 %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70.9%</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1.2 %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199.63</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0.7 %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Courtyard</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93.61</w:t>
            </w:r>
          </w:p>
        </w:tc>
        <w:tc>
          <w:tcPr>
            <w:tcW w:w="800" w:type="dxa"/>
            <w:vAlign w:val="bottom"/>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67.9%</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-0.4 %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137.83</w:t>
            </w:r>
          </w:p>
        </w:tc>
        <w:tc>
          <w:tcPr>
            <w:tcW w:w="1060" w:type="dxa"/>
            <w:vAlign w:val="bottom"/>
          </w:tcPr>
          <w:p>
            <w:pPr>
              <w:jc w:val="right"/>
              <w:spacing w:after="0"/>
              <w:rPr>
                <w:sz w:val="20"/>
                <w:szCs w:val="20"/>
                <w:color w:val="auto"/>
              </w:rPr>
            </w:pPr>
            <w:r>
              <w:rPr>
                <w:rFonts w:ascii="Arial" w:cs="Arial" w:eastAsia="Arial" w:hAnsi="Arial"/>
                <w:sz w:val="14"/>
                <w:szCs w:val="14"/>
                <w:color w:val="auto"/>
              </w:rPr>
              <w:t>-0.5 %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Residence Inn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108.30</w:t>
            </w:r>
          </w:p>
        </w:tc>
        <w:tc>
          <w:tcPr>
            <w:tcW w:w="800" w:type="dxa"/>
            <w:vAlign w:val="bottom"/>
          </w:tcPr>
          <w:p>
            <w:pPr>
              <w:jc w:val="right"/>
              <w:spacing w:after="0"/>
              <w:rPr>
                <w:sz w:val="20"/>
                <w:szCs w:val="20"/>
                <w:color w:val="auto"/>
              </w:rPr>
            </w:pPr>
            <w:r>
              <w:rPr>
                <w:rFonts w:ascii="Arial" w:cs="Arial" w:eastAsia="Arial" w:hAnsi="Arial"/>
                <w:sz w:val="14"/>
                <w:szCs w:val="14"/>
                <w:color w:val="auto"/>
              </w:rPr>
              <w:t>-0.9 %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74.7%</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-0.6 %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145.07</w:t>
            </w:r>
          </w:p>
        </w:tc>
        <w:tc>
          <w:tcPr>
            <w:tcW w:w="1060" w:type="dxa"/>
            <w:vAlign w:val="bottom"/>
          </w:tcPr>
          <w:p>
            <w:pPr>
              <w:jc w:val="right"/>
              <w:spacing w:after="0"/>
              <w:rPr>
                <w:sz w:val="20"/>
                <w:szCs w:val="20"/>
                <w:color w:val="auto"/>
              </w:rPr>
            </w:pPr>
            <w:r>
              <w:rPr>
                <w:rFonts w:ascii="Arial" w:cs="Arial" w:eastAsia="Arial" w:hAnsi="Arial"/>
                <w:sz w:val="14"/>
                <w:szCs w:val="14"/>
                <w:color w:val="auto"/>
              </w:rPr>
              <w:t>-0.1 %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Fairfield by Marriott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74.76</w:t>
            </w:r>
          </w:p>
        </w:tc>
        <w:tc>
          <w:tcPr>
            <w:tcW w:w="80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66.5%</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-0.3 %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112.41</w:t>
            </w:r>
          </w:p>
        </w:tc>
        <w:tc>
          <w:tcPr>
            <w:tcW w:w="1060" w:type="dxa"/>
            <w:vAlign w:val="bottom"/>
          </w:tcPr>
          <w:p>
            <w:pPr>
              <w:jc w:val="right"/>
              <w:spacing w:after="0"/>
              <w:rPr>
                <w:sz w:val="20"/>
                <w:szCs w:val="20"/>
                <w:color w:val="auto"/>
              </w:rPr>
            </w:pPr>
            <w:r>
              <w:rPr>
                <w:rFonts w:ascii="Arial" w:cs="Arial" w:eastAsia="Arial" w:hAnsi="Arial"/>
                <w:sz w:val="14"/>
                <w:szCs w:val="14"/>
                <w:color w:val="auto"/>
              </w:rPr>
              <w:t>-0.6 %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Composite North American Limited-Service </w:t>
            </w:r>
            <w:r>
              <w:rPr>
                <w:rFonts w:ascii="Arial" w:cs="Arial" w:eastAsia="Arial" w:hAnsi="Arial"/>
                <w:sz w:val="8"/>
                <w:szCs w:val="8"/>
                <w:b w:val="1"/>
                <w:bCs w:val="1"/>
                <w:color w:val="auto"/>
              </w:rPr>
              <w:t>4</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91.64</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-0.7 %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69.7%</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-0.1 %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131.50</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-0.5 %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North American - All </w:t>
            </w:r>
            <w:r>
              <w:rPr>
                <w:rFonts w:ascii="Arial" w:cs="Arial" w:eastAsia="Arial" w:hAnsi="Arial"/>
                <w:sz w:val="8"/>
                <w:szCs w:val="8"/>
                <w:b w:val="1"/>
                <w:bCs w:val="1"/>
                <w:color w:val="auto"/>
              </w:rPr>
              <w:t>5</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112.46</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0.9 %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70.2%</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0.4 %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160.19</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0.3 %</w:t>
            </w:r>
          </w:p>
        </w:tc>
      </w:tr>
    </w:tbl>
    <w:p>
      <w:pPr>
        <w:spacing w:after="0" w:line="155"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9"/>
          <w:szCs w:val="9"/>
          <w:color w:val="auto"/>
        </w:rPr>
      </w:pPr>
      <w:r>
        <w:rPr>
          <w:rFonts w:ascii="Arial" w:cs="Arial" w:eastAsia="Arial" w:hAnsi="Arial"/>
          <w:sz w:val="14"/>
          <w:szCs w:val="14"/>
          <w:color w:val="auto"/>
        </w:rPr>
        <w:t>Includes JW Marriott, The Ritz-Carlton, W Hotels, The Luxury Collection, St. Regis, and EDITION.</w:t>
      </w:r>
    </w:p>
    <w:p>
      <w:pPr>
        <w:spacing w:after="0" w:line="13"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9"/>
          <w:szCs w:val="9"/>
          <w:color w:val="auto"/>
        </w:rPr>
      </w:pPr>
      <w:r>
        <w:rPr>
          <w:rFonts w:ascii="Arial" w:cs="Arial" w:eastAsia="Arial" w:hAnsi="Arial"/>
          <w:sz w:val="14"/>
          <w:szCs w:val="14"/>
          <w:color w:val="auto"/>
        </w:rPr>
        <w:t>Includes Marriott Hotels, Sheraton, Westin, Renaissance, Autograph Collection, Delta Hotels, Gaylord Hotels, and Le Méridien. Systemwide also includes Tribute Portfolio.</w:t>
      </w:r>
    </w:p>
    <w:p>
      <w:pPr>
        <w:spacing w:after="0" w:line="1"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9"/>
          <w:szCs w:val="9"/>
          <w:color w:val="auto"/>
        </w:rPr>
      </w:pPr>
      <w:r>
        <w:rPr>
          <w:rFonts w:ascii="Arial" w:cs="Arial" w:eastAsia="Arial" w:hAnsi="Arial"/>
          <w:sz w:val="14"/>
          <w:szCs w:val="14"/>
          <w:color w:val="auto"/>
        </w:rPr>
        <w:t>Includes Composite North American Luxury and Composite North American Upper Upscale.</w:t>
      </w:r>
    </w:p>
    <w:p>
      <w:pPr>
        <w:spacing w:after="0" w:line="1"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8"/>
          <w:szCs w:val="8"/>
          <w:color w:val="auto"/>
        </w:rPr>
      </w:pPr>
      <w:r>
        <w:rPr>
          <w:rFonts w:ascii="Arial" w:cs="Arial" w:eastAsia="Arial" w:hAnsi="Arial"/>
          <w:sz w:val="13"/>
          <w:szCs w:val="13"/>
          <w:color w:val="auto"/>
        </w:rPr>
        <w:t>Includes Courtyard, Residence Inn, Fairfield by Marriott, SpringHill Suites, TownePlace Suites, Four Points, Aloft, Element, and AC Hotels by Marriott. Systemwide also includes Moxy.</w:t>
      </w:r>
    </w:p>
    <w:p>
      <w:pPr>
        <w:spacing w:after="0" w:line="13"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9"/>
          <w:szCs w:val="9"/>
          <w:color w:val="auto"/>
        </w:rPr>
      </w:pPr>
      <w:r>
        <w:rPr>
          <w:rFonts w:ascii="Arial" w:cs="Arial" w:eastAsia="Arial" w:hAnsi="Arial"/>
          <w:sz w:val="14"/>
          <w:szCs w:val="14"/>
          <w:color w:val="auto"/>
        </w:rPr>
        <w:t>Includes North American Full-Service and Composite North American Limited-Service.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342"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MARRIOTT INTERNATIONAL,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LODGING STATISTICS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Constant $</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Comparable Company-Operated International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11"/>
          </w:tcPr>
          <w:p>
            <w:pPr>
              <w:jc w:val="center"/>
              <w:ind w:right="248"/>
              <w:spacing w:after="0"/>
              <w:rPr>
                <w:sz w:val="20"/>
                <w:szCs w:val="20"/>
                <w:color w:val="auto"/>
              </w:rPr>
            </w:pPr>
            <w:r>
              <w:rPr>
                <w:rFonts w:ascii="Arial" w:cs="Arial" w:eastAsia="Arial" w:hAnsi="Arial"/>
                <w:sz w:val="14"/>
                <w:szCs w:val="14"/>
                <w:b w:val="1"/>
                <w:bCs w:val="1"/>
                <w:color w:val="auto"/>
                <w:w w:val="93"/>
              </w:rPr>
              <w:t>Three Months Ended December 31, 2019 and December 31, 2018</w:t>
            </w:r>
          </w:p>
        </w:tc>
        <w:tc>
          <w:tcPr>
            <w:tcW w:w="1060" w:type="dxa"/>
            <w:vAlign w:val="bottom"/>
            <w:tcBorders>
              <w:bottom w:val="single" w:sz="8" w:color="auto"/>
            </w:tcBorders>
          </w:tcPr>
          <w:p>
            <w:pPr>
              <w:spacing w:after="0"/>
              <w:rPr>
                <w:sz w:val="16"/>
                <w:szCs w:val="16"/>
                <w:color w:val="auto"/>
              </w:rPr>
            </w:pPr>
          </w:p>
        </w:tc>
      </w:tr>
      <w:tr>
        <w:trPr>
          <w:trHeight w:val="264"/>
        </w:trPr>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REVPAR</w:t>
            </w:r>
          </w:p>
        </w:tc>
        <w:tc>
          <w:tcPr>
            <w:tcW w:w="8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left="928"/>
              <w:spacing w:after="0"/>
              <w:rPr>
                <w:sz w:val="20"/>
                <w:szCs w:val="20"/>
                <w:color w:val="auto"/>
              </w:rPr>
            </w:pPr>
            <w:r>
              <w:rPr>
                <w:rFonts w:ascii="Arial" w:cs="Arial" w:eastAsia="Arial" w:hAnsi="Arial"/>
                <w:sz w:val="14"/>
                <w:szCs w:val="14"/>
                <w:b w:val="1"/>
                <w:bCs w:val="1"/>
                <w:color w:val="auto"/>
                <w:w w:val="92"/>
              </w:rPr>
              <w:t>Occupancy</w:t>
            </w:r>
          </w:p>
        </w:tc>
        <w:tc>
          <w:tcPr>
            <w:tcW w:w="5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Region</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8"/>
              </w:rPr>
              <w:t>vs. 2018</w:t>
            </w:r>
          </w:p>
        </w:tc>
        <w:tc>
          <w:tcPr>
            <w:tcW w:w="100" w:type="dxa"/>
            <w:vAlign w:val="bottom"/>
            <w:gridSpan w:val="2"/>
          </w:tcPr>
          <w:p>
            <w:pPr>
              <w:spacing w:after="0"/>
              <w:rPr>
                <w:sz w:val="22"/>
                <w:szCs w:val="22"/>
                <w:color w:val="auto"/>
              </w:rPr>
            </w:pPr>
          </w:p>
        </w:tc>
        <w:tc>
          <w:tcPr>
            <w:tcW w:w="1740" w:type="dxa"/>
            <w:vAlign w:val="bottom"/>
            <w:tcBorders>
              <w:bottom w:val="single" w:sz="8" w:color="auto"/>
            </w:tcBorders>
            <w:gridSpan w:val="2"/>
          </w:tcPr>
          <w:p>
            <w:pPr>
              <w:jc w:val="right"/>
              <w:ind w:right="98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vs. 2018</w:t>
            </w: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vs. 2018</w:t>
            </w:r>
          </w:p>
        </w:tc>
      </w:tr>
      <w:tr>
        <w:trPr>
          <w:trHeight w:val="258"/>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Greater China</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82.89</w:t>
            </w:r>
          </w:p>
        </w:tc>
        <w:tc>
          <w:tcPr>
            <w:tcW w:w="800" w:type="dxa"/>
            <w:vAlign w:val="bottom"/>
          </w:tcPr>
          <w:p>
            <w:pPr>
              <w:jc w:val="right"/>
              <w:spacing w:after="0"/>
              <w:rPr>
                <w:sz w:val="20"/>
                <w:szCs w:val="20"/>
                <w:color w:val="auto"/>
              </w:rPr>
            </w:pPr>
            <w:r>
              <w:rPr>
                <w:rFonts w:ascii="Arial" w:cs="Arial" w:eastAsia="Arial" w:hAnsi="Arial"/>
                <w:sz w:val="14"/>
                <w:szCs w:val="14"/>
                <w:color w:val="auto"/>
              </w:rPr>
              <w:t>-5.4 %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gridSpan w:val="2"/>
          </w:tcPr>
          <w:p>
            <w:pPr>
              <w:jc w:val="right"/>
              <w:ind w:right="648"/>
              <w:spacing w:after="0"/>
              <w:rPr>
                <w:sz w:val="20"/>
                <w:szCs w:val="20"/>
                <w:color w:val="auto"/>
              </w:rPr>
            </w:pPr>
            <w:r>
              <w:rPr>
                <w:rFonts w:ascii="Arial" w:cs="Arial" w:eastAsia="Arial" w:hAnsi="Arial"/>
                <w:sz w:val="14"/>
                <w:szCs w:val="14"/>
                <w:color w:val="auto"/>
              </w:rPr>
              <w:t>71.0%</w:t>
            </w:r>
          </w:p>
        </w:tc>
        <w:tc>
          <w:tcPr>
            <w:tcW w:w="540" w:type="dxa"/>
            <w:vAlign w:val="bottom"/>
          </w:tcPr>
          <w:p>
            <w:pPr>
              <w:jc w:val="right"/>
              <w:spacing w:after="0"/>
              <w:rPr>
                <w:sz w:val="20"/>
                <w:szCs w:val="20"/>
                <w:color w:val="auto"/>
              </w:rPr>
            </w:pPr>
            <w:r>
              <w:rPr>
                <w:rFonts w:ascii="Arial" w:cs="Arial" w:eastAsia="Arial" w:hAnsi="Arial"/>
                <w:sz w:val="14"/>
                <w:szCs w:val="14"/>
                <w:color w:val="auto"/>
              </w:rPr>
              <w:t>1.3 %</w:t>
            </w:r>
          </w:p>
        </w:tc>
        <w:tc>
          <w:tcPr>
            <w:tcW w:w="560" w:type="dxa"/>
            <w:vAlign w:val="bottom"/>
            <w:gridSpan w:val="3"/>
          </w:tcPr>
          <w:p>
            <w:pPr>
              <w:ind w:left="4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116.81</w:t>
            </w:r>
          </w:p>
        </w:tc>
        <w:tc>
          <w:tcPr>
            <w:tcW w:w="1060" w:type="dxa"/>
            <w:vAlign w:val="bottom"/>
          </w:tcPr>
          <w:p>
            <w:pPr>
              <w:jc w:val="right"/>
              <w:spacing w:after="0"/>
              <w:rPr>
                <w:sz w:val="20"/>
                <w:szCs w:val="20"/>
                <w:color w:val="auto"/>
              </w:rPr>
            </w:pPr>
            <w:r>
              <w:rPr>
                <w:rFonts w:ascii="Arial" w:cs="Arial" w:eastAsia="Arial" w:hAnsi="Arial"/>
                <w:sz w:val="14"/>
                <w:szCs w:val="14"/>
                <w:color w:val="auto"/>
              </w:rPr>
              <w:t>-7.2 %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Rest of Asia Pacific</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134.46</w:t>
            </w:r>
          </w:p>
        </w:tc>
        <w:tc>
          <w:tcPr>
            <w:tcW w:w="800" w:type="dxa"/>
            <w:vAlign w:val="bottom"/>
          </w:tcPr>
          <w:p>
            <w:pPr>
              <w:jc w:val="right"/>
              <w:spacing w:after="0"/>
              <w:rPr>
                <w:sz w:val="20"/>
                <w:szCs w:val="20"/>
                <w:color w:val="auto"/>
              </w:rPr>
            </w:pPr>
            <w:r>
              <w:rPr>
                <w:rFonts w:ascii="Arial" w:cs="Arial" w:eastAsia="Arial" w:hAnsi="Arial"/>
                <w:sz w:val="14"/>
                <w:szCs w:val="14"/>
                <w:color w:val="auto"/>
              </w:rPr>
              <w:t>3.9 %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gridSpan w:val="2"/>
          </w:tcPr>
          <w:p>
            <w:pPr>
              <w:jc w:val="right"/>
              <w:ind w:right="648"/>
              <w:spacing w:after="0"/>
              <w:rPr>
                <w:sz w:val="20"/>
                <w:szCs w:val="20"/>
                <w:color w:val="auto"/>
              </w:rPr>
            </w:pPr>
            <w:r>
              <w:rPr>
                <w:rFonts w:ascii="Arial" w:cs="Arial" w:eastAsia="Arial" w:hAnsi="Arial"/>
                <w:sz w:val="14"/>
                <w:szCs w:val="14"/>
                <w:color w:val="auto"/>
              </w:rPr>
              <w:t>78.5%</w:t>
            </w:r>
          </w:p>
        </w:tc>
        <w:tc>
          <w:tcPr>
            <w:tcW w:w="540" w:type="dxa"/>
            <w:vAlign w:val="bottom"/>
          </w:tcPr>
          <w:p>
            <w:pPr>
              <w:jc w:val="right"/>
              <w:spacing w:after="0"/>
              <w:rPr>
                <w:sz w:val="20"/>
                <w:szCs w:val="20"/>
                <w:color w:val="auto"/>
              </w:rPr>
            </w:pPr>
            <w:r>
              <w:rPr>
                <w:rFonts w:ascii="Arial" w:cs="Arial" w:eastAsia="Arial" w:hAnsi="Arial"/>
                <w:sz w:val="14"/>
                <w:szCs w:val="14"/>
                <w:color w:val="auto"/>
              </w:rPr>
              <w:t>3.0 %</w:t>
            </w:r>
          </w:p>
        </w:tc>
        <w:tc>
          <w:tcPr>
            <w:tcW w:w="560" w:type="dxa"/>
            <w:vAlign w:val="bottom"/>
            <w:gridSpan w:val="3"/>
          </w:tcPr>
          <w:p>
            <w:pPr>
              <w:ind w:left="4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171.24</w:t>
            </w:r>
          </w:p>
        </w:tc>
        <w:tc>
          <w:tcPr>
            <w:tcW w:w="1060" w:type="dxa"/>
            <w:vAlign w:val="bottom"/>
          </w:tcPr>
          <w:p>
            <w:pPr>
              <w:jc w:val="right"/>
              <w:spacing w:after="0"/>
              <w:rPr>
                <w:sz w:val="20"/>
                <w:szCs w:val="20"/>
                <w:color w:val="auto"/>
              </w:rPr>
            </w:pPr>
            <w:r>
              <w:rPr>
                <w:rFonts w:ascii="Arial" w:cs="Arial" w:eastAsia="Arial" w:hAnsi="Arial"/>
                <w:sz w:val="14"/>
                <w:szCs w:val="14"/>
                <w:color w:val="auto"/>
              </w:rPr>
              <w:t>-0.1 %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Asia Pacific</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105.07</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-0.5 %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74.2%</w:t>
            </w: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2.1 % 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141.58</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-3.3 %</w:t>
            </w:r>
          </w:p>
        </w:tc>
      </w:tr>
      <w:tr>
        <w:trPr>
          <w:trHeight w:val="554"/>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Caribbean &amp; Latin America</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130.13</w:t>
            </w:r>
          </w:p>
        </w:tc>
        <w:tc>
          <w:tcPr>
            <w:tcW w:w="800" w:type="dxa"/>
            <w:vAlign w:val="bottom"/>
          </w:tcPr>
          <w:p>
            <w:pPr>
              <w:jc w:val="right"/>
              <w:spacing w:after="0"/>
              <w:rPr>
                <w:sz w:val="20"/>
                <w:szCs w:val="20"/>
                <w:color w:val="auto"/>
              </w:rPr>
            </w:pPr>
            <w:r>
              <w:rPr>
                <w:rFonts w:ascii="Arial" w:cs="Arial" w:eastAsia="Arial" w:hAnsi="Arial"/>
                <w:sz w:val="14"/>
                <w:szCs w:val="14"/>
                <w:color w:val="auto"/>
              </w:rPr>
              <w:t>0.4 %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2"/>
          </w:tcPr>
          <w:p>
            <w:pPr>
              <w:jc w:val="center"/>
              <w:ind w:right="8"/>
              <w:spacing w:after="0"/>
              <w:rPr>
                <w:sz w:val="20"/>
                <w:szCs w:val="20"/>
                <w:color w:val="auto"/>
              </w:rPr>
            </w:pPr>
            <w:r>
              <w:rPr>
                <w:rFonts w:ascii="Arial" w:cs="Arial" w:eastAsia="Arial" w:hAnsi="Arial"/>
                <w:sz w:val="14"/>
                <w:szCs w:val="14"/>
                <w:color w:val="auto"/>
                <w:w w:val="95"/>
              </w:rPr>
              <w:t>64.3%</w:t>
            </w:r>
          </w:p>
        </w:tc>
        <w:tc>
          <w:tcPr>
            <w:tcW w:w="540" w:type="dxa"/>
            <w:vAlign w:val="bottom"/>
          </w:tcPr>
          <w:p>
            <w:pPr>
              <w:jc w:val="right"/>
              <w:spacing w:after="0"/>
              <w:rPr>
                <w:sz w:val="20"/>
                <w:szCs w:val="20"/>
                <w:color w:val="auto"/>
              </w:rPr>
            </w:pPr>
            <w:r>
              <w:rPr>
                <w:rFonts w:ascii="Arial" w:cs="Arial" w:eastAsia="Arial" w:hAnsi="Arial"/>
                <w:sz w:val="14"/>
                <w:szCs w:val="14"/>
                <w:color w:val="auto"/>
              </w:rPr>
              <w:t>-0.1 %</w:t>
            </w:r>
          </w:p>
        </w:tc>
        <w:tc>
          <w:tcPr>
            <w:tcW w:w="560" w:type="dxa"/>
            <w:vAlign w:val="bottom"/>
            <w:gridSpan w:val="3"/>
          </w:tcPr>
          <w:p>
            <w:pPr>
              <w:ind w:left="4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202.27</w:t>
            </w:r>
          </w:p>
        </w:tc>
        <w:tc>
          <w:tcPr>
            <w:tcW w:w="1060" w:type="dxa"/>
            <w:vAlign w:val="bottom"/>
          </w:tcPr>
          <w:p>
            <w:pPr>
              <w:jc w:val="right"/>
              <w:spacing w:after="0"/>
              <w:rPr>
                <w:sz w:val="20"/>
                <w:szCs w:val="20"/>
                <w:color w:val="auto"/>
              </w:rPr>
            </w:pPr>
            <w:r>
              <w:rPr>
                <w:rFonts w:ascii="Arial" w:cs="Arial" w:eastAsia="Arial" w:hAnsi="Arial"/>
                <w:sz w:val="14"/>
                <w:szCs w:val="14"/>
                <w:color w:val="auto"/>
              </w:rPr>
              <w:t>0.5 %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Europe</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137.12</w:t>
            </w:r>
          </w:p>
        </w:tc>
        <w:tc>
          <w:tcPr>
            <w:tcW w:w="800" w:type="dxa"/>
            <w:vAlign w:val="bottom"/>
          </w:tcPr>
          <w:p>
            <w:pPr>
              <w:jc w:val="right"/>
              <w:spacing w:after="0"/>
              <w:rPr>
                <w:sz w:val="20"/>
                <w:szCs w:val="20"/>
                <w:color w:val="auto"/>
              </w:rPr>
            </w:pPr>
            <w:r>
              <w:rPr>
                <w:rFonts w:ascii="Arial" w:cs="Arial" w:eastAsia="Arial" w:hAnsi="Arial"/>
                <w:sz w:val="14"/>
                <w:szCs w:val="14"/>
                <w:color w:val="auto"/>
              </w:rPr>
              <w:t>3.0 %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gridSpan w:val="2"/>
          </w:tcPr>
          <w:p>
            <w:pPr>
              <w:jc w:val="center"/>
              <w:ind w:right="8"/>
              <w:spacing w:after="0"/>
              <w:rPr>
                <w:sz w:val="20"/>
                <w:szCs w:val="20"/>
                <w:color w:val="auto"/>
              </w:rPr>
            </w:pPr>
            <w:r>
              <w:rPr>
                <w:rFonts w:ascii="Arial" w:cs="Arial" w:eastAsia="Arial" w:hAnsi="Arial"/>
                <w:sz w:val="14"/>
                <w:szCs w:val="14"/>
                <w:color w:val="auto"/>
                <w:w w:val="95"/>
              </w:rPr>
              <w:t>73.2%</w:t>
            </w:r>
          </w:p>
        </w:tc>
        <w:tc>
          <w:tcPr>
            <w:tcW w:w="540" w:type="dxa"/>
            <w:vAlign w:val="bottom"/>
          </w:tcPr>
          <w:p>
            <w:pPr>
              <w:jc w:val="right"/>
              <w:spacing w:after="0"/>
              <w:rPr>
                <w:sz w:val="20"/>
                <w:szCs w:val="20"/>
                <w:color w:val="auto"/>
              </w:rPr>
            </w:pPr>
            <w:r>
              <w:rPr>
                <w:rFonts w:ascii="Arial" w:cs="Arial" w:eastAsia="Arial" w:hAnsi="Arial"/>
                <w:sz w:val="14"/>
                <w:szCs w:val="14"/>
                <w:color w:val="auto"/>
              </w:rPr>
              <w:t>1.1 %</w:t>
            </w:r>
          </w:p>
        </w:tc>
        <w:tc>
          <w:tcPr>
            <w:tcW w:w="560" w:type="dxa"/>
            <w:vAlign w:val="bottom"/>
            <w:gridSpan w:val="3"/>
          </w:tcPr>
          <w:p>
            <w:pPr>
              <w:ind w:left="4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187.20</w:t>
            </w:r>
          </w:p>
        </w:tc>
        <w:tc>
          <w:tcPr>
            <w:tcW w:w="106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Middle East &amp; Africa</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120.93</w:t>
            </w:r>
          </w:p>
        </w:tc>
        <w:tc>
          <w:tcPr>
            <w:tcW w:w="800" w:type="dxa"/>
            <w:vAlign w:val="bottom"/>
          </w:tcPr>
          <w:p>
            <w:pPr>
              <w:jc w:val="right"/>
              <w:spacing w:after="0"/>
              <w:rPr>
                <w:sz w:val="20"/>
                <w:szCs w:val="20"/>
                <w:color w:val="auto"/>
              </w:rPr>
            </w:pPr>
            <w:r>
              <w:rPr>
                <w:rFonts w:ascii="Arial" w:cs="Arial" w:eastAsia="Arial" w:hAnsi="Arial"/>
                <w:sz w:val="14"/>
                <w:szCs w:val="14"/>
                <w:color w:val="auto"/>
              </w:rPr>
              <w:t>2.9 %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gridSpan w:val="2"/>
          </w:tcPr>
          <w:p>
            <w:pPr>
              <w:jc w:val="center"/>
              <w:ind w:right="8"/>
              <w:spacing w:after="0"/>
              <w:rPr>
                <w:sz w:val="20"/>
                <w:szCs w:val="20"/>
                <w:color w:val="auto"/>
              </w:rPr>
            </w:pPr>
            <w:r>
              <w:rPr>
                <w:rFonts w:ascii="Arial" w:cs="Arial" w:eastAsia="Arial" w:hAnsi="Arial"/>
                <w:sz w:val="14"/>
                <w:szCs w:val="14"/>
                <w:color w:val="auto"/>
                <w:w w:val="95"/>
              </w:rPr>
              <w:t>73.3%</w:t>
            </w:r>
          </w:p>
        </w:tc>
        <w:tc>
          <w:tcPr>
            <w:tcW w:w="540" w:type="dxa"/>
            <w:vAlign w:val="bottom"/>
          </w:tcPr>
          <w:p>
            <w:pPr>
              <w:jc w:val="right"/>
              <w:spacing w:after="0"/>
              <w:rPr>
                <w:sz w:val="20"/>
                <w:szCs w:val="20"/>
                <w:color w:val="auto"/>
              </w:rPr>
            </w:pPr>
            <w:r>
              <w:rPr>
                <w:rFonts w:ascii="Arial" w:cs="Arial" w:eastAsia="Arial" w:hAnsi="Arial"/>
                <w:sz w:val="14"/>
                <w:szCs w:val="14"/>
                <w:color w:val="auto"/>
              </w:rPr>
              <w:t>3.3 %</w:t>
            </w:r>
          </w:p>
        </w:tc>
        <w:tc>
          <w:tcPr>
            <w:tcW w:w="560" w:type="dxa"/>
            <w:vAlign w:val="bottom"/>
            <w:gridSpan w:val="3"/>
          </w:tcPr>
          <w:p>
            <w:pPr>
              <w:ind w:left="4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164.97</w:t>
            </w:r>
          </w:p>
        </w:tc>
        <w:tc>
          <w:tcPr>
            <w:tcW w:w="1060" w:type="dxa"/>
            <w:vAlign w:val="bottom"/>
          </w:tcPr>
          <w:p>
            <w:pPr>
              <w:jc w:val="right"/>
              <w:spacing w:after="0"/>
              <w:rPr>
                <w:sz w:val="20"/>
                <w:szCs w:val="20"/>
                <w:color w:val="auto"/>
              </w:rPr>
            </w:pPr>
            <w:r>
              <w:rPr>
                <w:rFonts w:ascii="Arial" w:cs="Arial" w:eastAsia="Arial" w:hAnsi="Arial"/>
                <w:sz w:val="14"/>
                <w:szCs w:val="14"/>
                <w:color w:val="auto"/>
              </w:rPr>
              <w:t>-1.8 %</w:t>
            </w:r>
          </w:p>
        </w:tc>
      </w:tr>
      <w:tr>
        <w:trPr>
          <w:trHeight w:val="554"/>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International - All </w:t>
            </w:r>
            <w:r>
              <w:rPr>
                <w:rFonts w:ascii="Arial" w:cs="Arial" w:eastAsia="Arial" w:hAnsi="Arial"/>
                <w:sz w:val="8"/>
                <w:szCs w:val="8"/>
                <w:b w:val="1"/>
                <w:bCs w:val="1"/>
                <w:color w:val="auto"/>
              </w:rPr>
              <w:t>1</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116.88</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73.1%</w:t>
            </w: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1.9 % 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159.92</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-1.6 %</w:t>
            </w:r>
          </w:p>
        </w:tc>
      </w:tr>
      <w:tr>
        <w:trPr>
          <w:trHeight w:val="554"/>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Worldwide </w:t>
            </w:r>
            <w:r>
              <w:rPr>
                <w:rFonts w:ascii="Arial" w:cs="Arial" w:eastAsia="Arial" w:hAnsi="Arial"/>
                <w:sz w:val="8"/>
                <w:szCs w:val="8"/>
                <w:b w:val="1"/>
                <w:bCs w:val="1"/>
                <w:color w:val="auto"/>
              </w:rPr>
              <w:t>2</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132.59</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1.5 %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72.9%</w:t>
            </w: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1.3 % 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181.94</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-0.3 %</w:t>
            </w:r>
          </w:p>
        </w:tc>
      </w:tr>
      <w:tr>
        <w:trPr>
          <w:trHeight w:val="560"/>
        </w:trPr>
        <w:tc>
          <w:tcPr>
            <w:tcW w:w="3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right"/>
              <w:ind w:right="788"/>
              <w:spacing w:after="0"/>
              <w:rPr>
                <w:sz w:val="20"/>
                <w:szCs w:val="20"/>
                <w:color w:val="auto"/>
              </w:rPr>
            </w:pPr>
            <w:r>
              <w:rPr>
                <w:rFonts w:ascii="Arial" w:cs="Arial" w:eastAsia="Arial" w:hAnsi="Arial"/>
                <w:sz w:val="14"/>
                <w:szCs w:val="14"/>
                <w:b w:val="1"/>
                <w:bCs w:val="1"/>
                <w:color w:val="auto"/>
                <w:w w:val="93"/>
              </w:rPr>
              <w:t>Comparable Systemwide International Properties</w:t>
            </w:r>
          </w:p>
        </w:tc>
        <w:tc>
          <w:tcPr>
            <w:tcW w:w="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4900" w:type="dxa"/>
            <w:vAlign w:val="bottom"/>
            <w:tcBorders>
              <w:bottom w:val="single" w:sz="8" w:color="auto"/>
            </w:tcBorders>
            <w:gridSpan w:val="11"/>
          </w:tcPr>
          <w:p>
            <w:pPr>
              <w:jc w:val="center"/>
              <w:ind w:right="228"/>
              <w:spacing w:after="0"/>
              <w:rPr>
                <w:sz w:val="20"/>
                <w:szCs w:val="20"/>
                <w:color w:val="auto"/>
              </w:rPr>
            </w:pPr>
            <w:r>
              <w:rPr>
                <w:rFonts w:ascii="Arial" w:cs="Arial" w:eastAsia="Arial" w:hAnsi="Arial"/>
                <w:sz w:val="14"/>
                <w:szCs w:val="14"/>
                <w:b w:val="1"/>
                <w:bCs w:val="1"/>
                <w:color w:val="auto"/>
                <w:w w:val="92"/>
              </w:rPr>
              <w:t>Three Months Ended December 31, 2019 and December 31, 2018</w:t>
            </w:r>
          </w:p>
        </w:tc>
        <w:tc>
          <w:tcPr>
            <w:tcW w:w="1060" w:type="dxa"/>
            <w:vAlign w:val="bottom"/>
            <w:tcBorders>
              <w:bottom w:val="single" w:sz="8" w:color="auto"/>
            </w:tcBorders>
          </w:tcPr>
          <w:p>
            <w:pPr>
              <w:spacing w:after="0"/>
              <w:rPr>
                <w:sz w:val="22"/>
                <w:szCs w:val="22"/>
                <w:color w:val="auto"/>
              </w:rPr>
            </w:pPr>
          </w:p>
        </w:tc>
      </w:tr>
      <w:tr>
        <w:trPr>
          <w:trHeight w:val="264"/>
        </w:trPr>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REVPAR</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4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4"/>
                <w:szCs w:val="14"/>
                <w:b w:val="1"/>
                <w:bCs w:val="1"/>
                <w:color w:val="auto"/>
                <w:w w:val="92"/>
              </w:rPr>
              <w:t>Occupancy</w:t>
            </w:r>
          </w:p>
        </w:tc>
        <w:tc>
          <w:tcPr>
            <w:tcW w:w="4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Region</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vs. 2018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vs. 2018</w:t>
            </w:r>
          </w:p>
        </w:tc>
        <w:tc>
          <w:tcPr>
            <w:tcW w:w="4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vs. 2018</w:t>
            </w:r>
          </w:p>
        </w:tc>
      </w:tr>
      <w:tr>
        <w:trPr>
          <w:trHeight w:val="258"/>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Greater China</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82.55</w:t>
            </w:r>
          </w:p>
        </w:tc>
        <w:tc>
          <w:tcPr>
            <w:tcW w:w="800" w:type="dxa"/>
            <w:vAlign w:val="bottom"/>
          </w:tcPr>
          <w:p>
            <w:pPr>
              <w:jc w:val="right"/>
              <w:spacing w:after="0"/>
              <w:rPr>
                <w:sz w:val="20"/>
                <w:szCs w:val="20"/>
                <w:color w:val="auto"/>
              </w:rPr>
            </w:pPr>
            <w:r>
              <w:rPr>
                <w:rFonts w:ascii="Arial" w:cs="Arial" w:eastAsia="Arial" w:hAnsi="Arial"/>
                <w:sz w:val="14"/>
                <w:szCs w:val="14"/>
                <w:color w:val="auto"/>
              </w:rPr>
              <w:t>-5.2 %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color w:val="auto"/>
                <w:w w:val="90"/>
              </w:rPr>
              <w:t>70.5%</w:t>
            </w:r>
          </w:p>
        </w:tc>
        <w:tc>
          <w:tcPr>
            <w:tcW w:w="540" w:type="dxa"/>
            <w:vAlign w:val="bottom"/>
          </w:tcPr>
          <w:p>
            <w:pPr>
              <w:ind w:left="180"/>
              <w:spacing w:after="0"/>
              <w:rPr>
                <w:sz w:val="20"/>
                <w:szCs w:val="20"/>
                <w:color w:val="auto"/>
              </w:rPr>
            </w:pPr>
            <w:r>
              <w:rPr>
                <w:rFonts w:ascii="Arial" w:cs="Arial" w:eastAsia="Arial" w:hAnsi="Arial"/>
                <w:sz w:val="14"/>
                <w:szCs w:val="14"/>
                <w:color w:val="auto"/>
              </w:rPr>
              <w:t>1.3%</w:t>
            </w:r>
          </w:p>
        </w:tc>
        <w:tc>
          <w:tcPr>
            <w:tcW w:w="560" w:type="dxa"/>
            <w:vAlign w:val="bottom"/>
            <w:gridSpan w:val="3"/>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117.10</w:t>
            </w:r>
          </w:p>
        </w:tc>
        <w:tc>
          <w:tcPr>
            <w:tcW w:w="1060" w:type="dxa"/>
            <w:vAlign w:val="bottom"/>
          </w:tcPr>
          <w:p>
            <w:pPr>
              <w:jc w:val="right"/>
              <w:spacing w:after="0"/>
              <w:rPr>
                <w:sz w:val="20"/>
                <w:szCs w:val="20"/>
                <w:color w:val="auto"/>
              </w:rPr>
            </w:pPr>
            <w:r>
              <w:rPr>
                <w:rFonts w:ascii="Arial" w:cs="Arial" w:eastAsia="Arial" w:hAnsi="Arial"/>
                <w:sz w:val="14"/>
                <w:szCs w:val="14"/>
                <w:color w:val="auto"/>
              </w:rPr>
              <w:t>-6.9 %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Rest of Asia Pacific</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133.00</w:t>
            </w:r>
          </w:p>
        </w:tc>
        <w:tc>
          <w:tcPr>
            <w:tcW w:w="800" w:type="dxa"/>
            <w:vAlign w:val="bottom"/>
          </w:tcPr>
          <w:p>
            <w:pPr>
              <w:jc w:val="right"/>
              <w:spacing w:after="0"/>
              <w:rPr>
                <w:sz w:val="20"/>
                <w:szCs w:val="20"/>
                <w:color w:val="auto"/>
              </w:rPr>
            </w:pPr>
            <w:r>
              <w:rPr>
                <w:rFonts w:ascii="Arial" w:cs="Arial" w:eastAsia="Arial" w:hAnsi="Arial"/>
                <w:sz w:val="14"/>
                <w:szCs w:val="14"/>
                <w:color w:val="auto"/>
              </w:rPr>
              <w:t>4.3 %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color w:val="auto"/>
                <w:w w:val="90"/>
              </w:rPr>
              <w:t>77.8%</w:t>
            </w:r>
          </w:p>
        </w:tc>
        <w:tc>
          <w:tcPr>
            <w:tcW w:w="540" w:type="dxa"/>
            <w:vAlign w:val="bottom"/>
          </w:tcPr>
          <w:p>
            <w:pPr>
              <w:ind w:left="180"/>
              <w:spacing w:after="0"/>
              <w:rPr>
                <w:sz w:val="20"/>
                <w:szCs w:val="20"/>
                <w:color w:val="auto"/>
              </w:rPr>
            </w:pPr>
            <w:r>
              <w:rPr>
                <w:rFonts w:ascii="Arial" w:cs="Arial" w:eastAsia="Arial" w:hAnsi="Arial"/>
                <w:sz w:val="14"/>
                <w:szCs w:val="14"/>
                <w:color w:val="auto"/>
              </w:rPr>
              <w:t>2.8%</w:t>
            </w:r>
          </w:p>
        </w:tc>
        <w:tc>
          <w:tcPr>
            <w:tcW w:w="560" w:type="dxa"/>
            <w:vAlign w:val="bottom"/>
            <w:gridSpan w:val="3"/>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170.99</w:t>
            </w:r>
          </w:p>
        </w:tc>
        <w:tc>
          <w:tcPr>
            <w:tcW w:w="1060" w:type="dxa"/>
            <w:vAlign w:val="bottom"/>
          </w:tcPr>
          <w:p>
            <w:pPr>
              <w:jc w:val="right"/>
              <w:spacing w:after="0"/>
              <w:rPr>
                <w:sz w:val="20"/>
                <w:szCs w:val="20"/>
                <w:color w:val="auto"/>
              </w:rPr>
            </w:pPr>
            <w:r>
              <w:rPr>
                <w:rFonts w:ascii="Arial" w:cs="Arial" w:eastAsia="Arial" w:hAnsi="Arial"/>
                <w:sz w:val="14"/>
                <w:szCs w:val="14"/>
                <w:color w:val="auto"/>
              </w:rPr>
              <w:t>0.5 %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Asia Pacific</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107.28</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0.3 %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74.1%</w:t>
            </w:r>
          </w:p>
        </w:tc>
        <w:tc>
          <w:tcPr>
            <w:tcW w:w="540" w:type="dxa"/>
            <w:vAlign w:val="bottom"/>
          </w:tcPr>
          <w:p>
            <w:pPr>
              <w:ind w:left="180"/>
              <w:spacing w:after="0"/>
              <w:rPr>
                <w:sz w:val="20"/>
                <w:szCs w:val="20"/>
                <w:color w:val="auto"/>
              </w:rPr>
            </w:pPr>
            <w:r>
              <w:rPr>
                <w:rFonts w:ascii="Arial" w:cs="Arial" w:eastAsia="Arial" w:hAnsi="Arial"/>
                <w:sz w:val="14"/>
                <w:szCs w:val="14"/>
                <w:b w:val="1"/>
                <w:bCs w:val="1"/>
                <w:color w:val="auto"/>
              </w:rPr>
              <w:t>2.0%</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144.84</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-2.4 %</w:t>
            </w:r>
          </w:p>
        </w:tc>
      </w:tr>
      <w:tr>
        <w:trPr>
          <w:trHeight w:val="554"/>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Caribbean &amp; Latin America</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99.94</w:t>
            </w:r>
          </w:p>
        </w:tc>
        <w:tc>
          <w:tcPr>
            <w:tcW w:w="800" w:type="dxa"/>
            <w:vAlign w:val="bottom"/>
          </w:tcPr>
          <w:p>
            <w:pPr>
              <w:jc w:val="right"/>
              <w:spacing w:after="0"/>
              <w:rPr>
                <w:sz w:val="20"/>
                <w:szCs w:val="20"/>
                <w:color w:val="auto"/>
              </w:rPr>
            </w:pPr>
            <w:r>
              <w:rPr>
                <w:rFonts w:ascii="Arial" w:cs="Arial" w:eastAsia="Arial" w:hAnsi="Arial"/>
                <w:sz w:val="14"/>
                <w:szCs w:val="14"/>
                <w:color w:val="auto"/>
              </w:rPr>
              <w:t>0.5 %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color w:val="auto"/>
                <w:w w:val="90"/>
              </w:rPr>
              <w:t>61.6%</w:t>
            </w:r>
          </w:p>
        </w:tc>
        <w:tc>
          <w:tcPr>
            <w:tcW w:w="540" w:type="dxa"/>
            <w:vAlign w:val="bottom"/>
          </w:tcPr>
          <w:p>
            <w:pPr>
              <w:ind w:left="180"/>
              <w:spacing w:after="0"/>
              <w:rPr>
                <w:sz w:val="20"/>
                <w:szCs w:val="20"/>
                <w:color w:val="auto"/>
              </w:rPr>
            </w:pPr>
            <w:r>
              <w:rPr>
                <w:rFonts w:ascii="Arial" w:cs="Arial" w:eastAsia="Arial" w:hAnsi="Arial"/>
                <w:sz w:val="14"/>
                <w:szCs w:val="14"/>
                <w:color w:val="auto"/>
              </w:rPr>
              <w:t>0.1%</w:t>
            </w:r>
          </w:p>
        </w:tc>
        <w:tc>
          <w:tcPr>
            <w:tcW w:w="560" w:type="dxa"/>
            <w:vAlign w:val="bottom"/>
            <w:gridSpan w:val="3"/>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162.12</w:t>
            </w:r>
          </w:p>
        </w:tc>
        <w:tc>
          <w:tcPr>
            <w:tcW w:w="1060" w:type="dxa"/>
            <w:vAlign w:val="bottom"/>
          </w:tcPr>
          <w:p>
            <w:pPr>
              <w:jc w:val="right"/>
              <w:spacing w:after="0"/>
              <w:rPr>
                <w:sz w:val="20"/>
                <w:szCs w:val="20"/>
                <w:color w:val="auto"/>
              </w:rPr>
            </w:pPr>
            <w:r>
              <w:rPr>
                <w:rFonts w:ascii="Arial" w:cs="Arial" w:eastAsia="Arial" w:hAnsi="Arial"/>
                <w:sz w:val="14"/>
                <w:szCs w:val="14"/>
                <w:color w:val="auto"/>
              </w:rPr>
              <w:t>0.4 %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Europe</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119.84</w:t>
            </w:r>
          </w:p>
        </w:tc>
        <w:tc>
          <w:tcPr>
            <w:tcW w:w="800" w:type="dxa"/>
            <w:vAlign w:val="bottom"/>
          </w:tcPr>
          <w:p>
            <w:pPr>
              <w:jc w:val="right"/>
              <w:spacing w:after="0"/>
              <w:rPr>
                <w:sz w:val="20"/>
                <w:szCs w:val="20"/>
                <w:color w:val="auto"/>
              </w:rPr>
            </w:pPr>
            <w:r>
              <w:rPr>
                <w:rFonts w:ascii="Arial" w:cs="Arial" w:eastAsia="Arial" w:hAnsi="Arial"/>
                <w:sz w:val="14"/>
                <w:szCs w:val="14"/>
                <w:color w:val="auto"/>
              </w:rPr>
              <w:t>2.8 %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color w:val="auto"/>
                <w:w w:val="90"/>
              </w:rPr>
              <w:t>71.8%</w:t>
            </w:r>
          </w:p>
        </w:tc>
        <w:tc>
          <w:tcPr>
            <w:tcW w:w="540" w:type="dxa"/>
            <w:vAlign w:val="bottom"/>
          </w:tcPr>
          <w:p>
            <w:pPr>
              <w:ind w:left="180"/>
              <w:spacing w:after="0"/>
              <w:rPr>
                <w:sz w:val="20"/>
                <w:szCs w:val="20"/>
                <w:color w:val="auto"/>
              </w:rPr>
            </w:pPr>
            <w:r>
              <w:rPr>
                <w:rFonts w:ascii="Arial" w:cs="Arial" w:eastAsia="Arial" w:hAnsi="Arial"/>
                <w:sz w:val="14"/>
                <w:szCs w:val="14"/>
                <w:color w:val="auto"/>
              </w:rPr>
              <w:t>1.3%</w:t>
            </w:r>
          </w:p>
        </w:tc>
        <w:tc>
          <w:tcPr>
            <w:tcW w:w="560" w:type="dxa"/>
            <w:vAlign w:val="bottom"/>
            <w:gridSpan w:val="3"/>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166.95</w:t>
            </w:r>
          </w:p>
        </w:tc>
        <w:tc>
          <w:tcPr>
            <w:tcW w:w="106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Middle East &amp; Africa</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114.43</w:t>
            </w:r>
          </w:p>
        </w:tc>
        <w:tc>
          <w:tcPr>
            <w:tcW w:w="800" w:type="dxa"/>
            <w:vAlign w:val="bottom"/>
          </w:tcPr>
          <w:p>
            <w:pPr>
              <w:jc w:val="right"/>
              <w:spacing w:after="0"/>
              <w:rPr>
                <w:sz w:val="20"/>
                <w:szCs w:val="20"/>
                <w:color w:val="auto"/>
              </w:rPr>
            </w:pPr>
            <w:r>
              <w:rPr>
                <w:rFonts w:ascii="Arial" w:cs="Arial" w:eastAsia="Arial" w:hAnsi="Arial"/>
                <w:sz w:val="14"/>
                <w:szCs w:val="14"/>
                <w:color w:val="auto"/>
              </w:rPr>
              <w:t>2.8 %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color w:val="auto"/>
                <w:w w:val="90"/>
              </w:rPr>
              <w:t>72.3%</w:t>
            </w:r>
          </w:p>
        </w:tc>
        <w:tc>
          <w:tcPr>
            <w:tcW w:w="540" w:type="dxa"/>
            <w:vAlign w:val="bottom"/>
          </w:tcPr>
          <w:p>
            <w:pPr>
              <w:ind w:left="180"/>
              <w:spacing w:after="0"/>
              <w:rPr>
                <w:sz w:val="20"/>
                <w:szCs w:val="20"/>
                <w:color w:val="auto"/>
              </w:rPr>
            </w:pPr>
            <w:r>
              <w:rPr>
                <w:rFonts w:ascii="Arial" w:cs="Arial" w:eastAsia="Arial" w:hAnsi="Arial"/>
                <w:sz w:val="14"/>
                <w:szCs w:val="14"/>
                <w:color w:val="auto"/>
              </w:rPr>
              <w:t>2.9%</w:t>
            </w:r>
          </w:p>
        </w:tc>
        <w:tc>
          <w:tcPr>
            <w:tcW w:w="560" w:type="dxa"/>
            <w:vAlign w:val="bottom"/>
            <w:gridSpan w:val="3"/>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158.31</w:t>
            </w:r>
          </w:p>
        </w:tc>
        <w:tc>
          <w:tcPr>
            <w:tcW w:w="1060" w:type="dxa"/>
            <w:vAlign w:val="bottom"/>
          </w:tcPr>
          <w:p>
            <w:pPr>
              <w:jc w:val="right"/>
              <w:spacing w:after="0"/>
              <w:rPr>
                <w:sz w:val="20"/>
                <w:szCs w:val="20"/>
                <w:color w:val="auto"/>
              </w:rPr>
            </w:pPr>
            <w:r>
              <w:rPr>
                <w:rFonts w:ascii="Arial" w:cs="Arial" w:eastAsia="Arial" w:hAnsi="Arial"/>
                <w:sz w:val="14"/>
                <w:szCs w:val="14"/>
                <w:color w:val="auto"/>
              </w:rPr>
              <w:t>-1.4 %</w:t>
            </w:r>
          </w:p>
        </w:tc>
      </w:tr>
      <w:tr>
        <w:trPr>
          <w:trHeight w:val="554"/>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International - All </w:t>
            </w:r>
            <w:r>
              <w:rPr>
                <w:rFonts w:ascii="Arial" w:cs="Arial" w:eastAsia="Arial" w:hAnsi="Arial"/>
                <w:sz w:val="8"/>
                <w:szCs w:val="8"/>
                <w:b w:val="1"/>
                <w:bCs w:val="1"/>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111.15</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1.5 %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71.7%</w:t>
            </w:r>
          </w:p>
        </w:tc>
        <w:tc>
          <w:tcPr>
            <w:tcW w:w="540" w:type="dxa"/>
            <w:vAlign w:val="bottom"/>
          </w:tcPr>
          <w:p>
            <w:pPr>
              <w:ind w:left="180"/>
              <w:spacing w:after="0"/>
              <w:rPr>
                <w:sz w:val="20"/>
                <w:szCs w:val="20"/>
                <w:color w:val="auto"/>
              </w:rPr>
            </w:pPr>
            <w:r>
              <w:rPr>
                <w:rFonts w:ascii="Arial" w:cs="Arial" w:eastAsia="Arial" w:hAnsi="Arial"/>
                <w:sz w:val="14"/>
                <w:szCs w:val="14"/>
                <w:b w:val="1"/>
                <w:bCs w:val="1"/>
                <w:color w:val="auto"/>
              </w:rPr>
              <w:t>1.7%</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155.01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-0.9 %</w:t>
            </w:r>
          </w:p>
        </w:tc>
      </w:tr>
      <w:tr>
        <w:trPr>
          <w:trHeight w:val="554"/>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Worldwide </w:t>
            </w:r>
            <w:r>
              <w:rPr>
                <w:rFonts w:ascii="Arial" w:cs="Arial" w:eastAsia="Arial" w:hAnsi="Arial"/>
                <w:sz w:val="8"/>
                <w:szCs w:val="8"/>
                <w:b w:val="1"/>
                <w:bCs w:val="1"/>
                <w:color w:val="auto"/>
              </w:rPr>
              <w:t>2</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112.09</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70.6%</w:t>
            </w:r>
          </w:p>
        </w:tc>
        <w:tc>
          <w:tcPr>
            <w:tcW w:w="540" w:type="dxa"/>
            <w:vAlign w:val="bottom"/>
          </w:tcPr>
          <w:p>
            <w:pPr>
              <w:ind w:left="180"/>
              <w:spacing w:after="0"/>
              <w:rPr>
                <w:sz w:val="20"/>
                <w:szCs w:val="20"/>
                <w:color w:val="auto"/>
              </w:rPr>
            </w:pPr>
            <w:r>
              <w:rPr>
                <w:rFonts w:ascii="Arial" w:cs="Arial" w:eastAsia="Arial" w:hAnsi="Arial"/>
                <w:sz w:val="14"/>
                <w:szCs w:val="14"/>
                <w:b w:val="1"/>
                <w:bCs w:val="1"/>
                <w:color w:val="auto"/>
              </w:rPr>
              <w:t>0.8%</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158.69</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-0.1 %</w:t>
            </w:r>
          </w:p>
        </w:tc>
      </w:tr>
    </w:tbl>
    <w:p>
      <w:pPr>
        <w:spacing w:after="0" w:line="155"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9"/>
          <w:szCs w:val="9"/>
          <w:color w:val="auto"/>
        </w:rPr>
      </w:pPr>
      <w:r>
        <w:rPr>
          <w:rFonts w:ascii="Arial" w:cs="Arial" w:eastAsia="Arial" w:hAnsi="Arial"/>
          <w:sz w:val="14"/>
          <w:szCs w:val="14"/>
          <w:color w:val="auto"/>
        </w:rPr>
        <w:t>Includes Asia Pacific, Caribbean &amp; Latin America, Europe, and Middle East &amp; Africa.</w:t>
      </w:r>
    </w:p>
    <w:p>
      <w:pPr>
        <w:spacing w:after="0" w:line="13"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9"/>
          <w:szCs w:val="9"/>
          <w:color w:val="auto"/>
        </w:rPr>
      </w:pPr>
      <w:r>
        <w:rPr>
          <w:rFonts w:ascii="Arial" w:cs="Arial" w:eastAsia="Arial" w:hAnsi="Arial"/>
          <w:sz w:val="14"/>
          <w:szCs w:val="14"/>
          <w:color w:val="auto"/>
        </w:rPr>
        <w:t>Includes North American - All and International - All.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342"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MARRIOTT INTERNATIONAL,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LODGING STATISTICS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Constant $</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Comparable Company-Operated North American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8"/>
          </w:tcPr>
          <w:p>
            <w:pPr>
              <w:jc w:val="center"/>
              <w:ind w:right="228"/>
              <w:spacing w:after="0"/>
              <w:rPr>
                <w:sz w:val="20"/>
                <w:szCs w:val="20"/>
                <w:color w:val="auto"/>
              </w:rPr>
            </w:pPr>
            <w:r>
              <w:rPr>
                <w:rFonts w:ascii="Arial" w:cs="Arial" w:eastAsia="Arial" w:hAnsi="Arial"/>
                <w:sz w:val="14"/>
                <w:szCs w:val="14"/>
                <w:b w:val="1"/>
                <w:bCs w:val="1"/>
                <w:color w:val="auto"/>
                <w:w w:val="92"/>
              </w:rPr>
              <w:t>Twelve Months Ended December 31, 2019 and December 31, 2018</w:t>
            </w:r>
          </w:p>
        </w:tc>
        <w:tc>
          <w:tcPr>
            <w:tcW w:w="1060" w:type="dxa"/>
            <w:vAlign w:val="bottom"/>
            <w:tcBorders>
              <w:bottom w:val="single" w:sz="8" w:color="auto"/>
            </w:tcBorders>
          </w:tcPr>
          <w:p>
            <w:pPr>
              <w:spacing w:after="0"/>
              <w:rPr>
                <w:sz w:val="16"/>
                <w:szCs w:val="16"/>
                <w:color w:val="auto"/>
              </w:rPr>
            </w:pPr>
          </w:p>
        </w:tc>
      </w:tr>
      <w:tr>
        <w:trPr>
          <w:trHeight w:val="264"/>
        </w:trPr>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REVPAR</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Borders>
              <w:bottom w:val="single" w:sz="8" w:color="auto"/>
            </w:tcBorders>
          </w:tcPr>
          <w:p>
            <w:pPr>
              <w:jc w:val="center"/>
              <w:ind w:left="968"/>
              <w:spacing w:after="0"/>
              <w:rPr>
                <w:sz w:val="20"/>
                <w:szCs w:val="20"/>
                <w:color w:val="auto"/>
              </w:rPr>
            </w:pPr>
            <w:r>
              <w:rPr>
                <w:rFonts w:ascii="Arial" w:cs="Arial" w:eastAsia="Arial" w:hAnsi="Arial"/>
                <w:sz w:val="14"/>
                <w:szCs w:val="14"/>
                <w:b w:val="1"/>
                <w:bCs w:val="1"/>
                <w:color w:val="auto"/>
                <w:w w:val="92"/>
              </w:rPr>
              <w:t>Occupancy</w:t>
            </w:r>
          </w:p>
        </w:tc>
        <w:tc>
          <w:tcPr>
            <w:tcW w:w="6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Brand</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8"/>
              </w:rPr>
              <w:t>vs. 2018</w:t>
            </w:r>
          </w:p>
        </w:tc>
        <w:tc>
          <w:tcPr>
            <w:tcW w:w="100" w:type="dxa"/>
            <w:vAlign w:val="bottom"/>
          </w:tcPr>
          <w:p>
            <w:pPr>
              <w:spacing w:after="0"/>
              <w:rPr>
                <w:sz w:val="22"/>
                <w:szCs w:val="22"/>
                <w:color w:val="auto"/>
              </w:rPr>
            </w:pPr>
          </w:p>
        </w:tc>
        <w:tc>
          <w:tcPr>
            <w:tcW w:w="17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4"/>
              </w:rPr>
              <w:t>vs. 2018</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vs. 2018</w:t>
            </w:r>
          </w:p>
        </w:tc>
      </w:tr>
      <w:tr>
        <w:trPr>
          <w:trHeight w:val="258"/>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JW Marriott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213.53</w:t>
            </w:r>
          </w:p>
        </w:tc>
        <w:tc>
          <w:tcPr>
            <w:tcW w:w="800" w:type="dxa"/>
            <w:vAlign w:val="bottom"/>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22"/>
                <w:szCs w:val="22"/>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78.0%</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-1.1 %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273.68</w:t>
            </w:r>
          </w:p>
        </w:tc>
        <w:tc>
          <w:tcPr>
            <w:tcW w:w="1060" w:type="dxa"/>
            <w:vAlign w:val="bottom"/>
          </w:tcPr>
          <w:p>
            <w:pPr>
              <w:jc w:val="right"/>
              <w:spacing w:after="0"/>
              <w:rPr>
                <w:sz w:val="20"/>
                <w:szCs w:val="20"/>
                <w:color w:val="auto"/>
              </w:rPr>
            </w:pPr>
            <w:r>
              <w:rPr>
                <w:rFonts w:ascii="Arial" w:cs="Arial" w:eastAsia="Arial" w:hAnsi="Arial"/>
                <w:sz w:val="14"/>
                <w:szCs w:val="14"/>
                <w:color w:val="auto"/>
              </w:rPr>
              <w:t>3.1 %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The Ritz-Carlton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294.94</w:t>
            </w:r>
          </w:p>
        </w:tc>
        <w:tc>
          <w:tcPr>
            <w:tcW w:w="800" w:type="dxa"/>
            <w:vAlign w:val="bottom"/>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75.0%</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1.1 %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393.21</w:t>
            </w:r>
          </w:p>
        </w:tc>
        <w:tc>
          <w:tcPr>
            <w:tcW w:w="1060" w:type="dxa"/>
            <w:vAlign w:val="bottom"/>
          </w:tcPr>
          <w:p>
            <w:pPr>
              <w:jc w:val="right"/>
              <w:spacing w:after="0"/>
              <w:rPr>
                <w:sz w:val="20"/>
                <w:szCs w:val="20"/>
                <w:color w:val="auto"/>
              </w:rPr>
            </w:pPr>
            <w:r>
              <w:rPr>
                <w:rFonts w:ascii="Arial" w:cs="Arial" w:eastAsia="Arial" w:hAnsi="Arial"/>
                <w:sz w:val="14"/>
                <w:szCs w:val="14"/>
                <w:color w:val="auto"/>
              </w:rPr>
              <w:t>2.7 %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W Hotels</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244.11</w:t>
            </w:r>
          </w:p>
        </w:tc>
        <w:tc>
          <w:tcPr>
            <w:tcW w:w="80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79.0%</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-1.5 %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308.98</w:t>
            </w:r>
          </w:p>
        </w:tc>
        <w:tc>
          <w:tcPr>
            <w:tcW w:w="1060" w:type="dxa"/>
            <w:vAlign w:val="bottom"/>
          </w:tcPr>
          <w:p>
            <w:pPr>
              <w:jc w:val="right"/>
              <w:spacing w:after="0"/>
              <w:rPr>
                <w:sz w:val="20"/>
                <w:szCs w:val="20"/>
                <w:color w:val="auto"/>
              </w:rPr>
            </w:pPr>
            <w:r>
              <w:rPr>
                <w:rFonts w:ascii="Arial" w:cs="Arial" w:eastAsia="Arial" w:hAnsi="Arial"/>
                <w:sz w:val="14"/>
                <w:szCs w:val="14"/>
                <w:color w:val="auto"/>
              </w:rPr>
              <w:t>0.0 %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Composite North American Luxury </w:t>
            </w:r>
            <w:r>
              <w:rPr>
                <w:rFonts w:ascii="Arial" w:cs="Arial" w:eastAsia="Arial" w:hAnsi="Arial"/>
                <w:sz w:val="8"/>
                <w:szCs w:val="8"/>
                <w:b w:val="1"/>
                <w:bCs w:val="1"/>
                <w:color w:val="auto"/>
              </w:rPr>
              <w:t>1</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273.33</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77.4%</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0.0 %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353.26</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Marriott Hotels</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156.59</w:t>
            </w:r>
          </w:p>
        </w:tc>
        <w:tc>
          <w:tcPr>
            <w:tcW w:w="80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76.5%</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0.5 %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204.61</w:t>
            </w:r>
          </w:p>
        </w:tc>
        <w:tc>
          <w:tcPr>
            <w:tcW w:w="1060" w:type="dxa"/>
            <w:vAlign w:val="bottom"/>
          </w:tcPr>
          <w:p>
            <w:pPr>
              <w:jc w:val="right"/>
              <w:spacing w:after="0"/>
              <w:rPr>
                <w:sz w:val="20"/>
                <w:szCs w:val="20"/>
                <w:color w:val="auto"/>
              </w:rPr>
            </w:pPr>
            <w:r>
              <w:rPr>
                <w:rFonts w:ascii="Arial" w:cs="Arial" w:eastAsia="Arial" w:hAnsi="Arial"/>
                <w:sz w:val="14"/>
                <w:szCs w:val="14"/>
                <w:color w:val="auto"/>
              </w:rPr>
              <w:t>1.4 %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Sheraton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150.57</w:t>
            </w:r>
          </w:p>
        </w:tc>
        <w:tc>
          <w:tcPr>
            <w:tcW w:w="800" w:type="dxa"/>
            <w:vAlign w:val="bottom"/>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77.2%</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0.1 %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194.98</w:t>
            </w:r>
          </w:p>
        </w:tc>
        <w:tc>
          <w:tcPr>
            <w:tcW w:w="106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Westin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159.04</w:t>
            </w:r>
          </w:p>
        </w:tc>
        <w:tc>
          <w:tcPr>
            <w:tcW w:w="800" w:type="dxa"/>
            <w:vAlign w:val="bottom"/>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76.3%</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-0.1 %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208.54</w:t>
            </w:r>
          </w:p>
        </w:tc>
        <w:tc>
          <w:tcPr>
            <w:tcW w:w="1060" w:type="dxa"/>
            <w:vAlign w:val="bottom"/>
          </w:tcPr>
          <w:p>
            <w:pPr>
              <w:jc w:val="right"/>
              <w:spacing w:after="0"/>
              <w:rPr>
                <w:sz w:val="20"/>
                <w:szCs w:val="20"/>
                <w:color w:val="auto"/>
              </w:rPr>
            </w:pPr>
            <w:r>
              <w:rPr>
                <w:rFonts w:ascii="Arial" w:cs="Arial" w:eastAsia="Arial" w:hAnsi="Arial"/>
                <w:sz w:val="14"/>
                <w:szCs w:val="14"/>
                <w:color w:val="auto"/>
              </w:rPr>
              <w:t>-0.4 %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Composite North American Upper Upscale </w:t>
            </w:r>
            <w:r>
              <w:rPr>
                <w:rFonts w:ascii="Arial" w:cs="Arial" w:eastAsia="Arial" w:hAnsi="Arial"/>
                <w:sz w:val="8"/>
                <w:szCs w:val="8"/>
                <w:b w:val="1"/>
                <w:bCs w:val="1"/>
                <w:color w:val="auto"/>
              </w:rPr>
              <w:t>2</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153.75</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76.5%</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0.4 %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200.99</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0.8 %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North American Full-Service </w:t>
            </w:r>
            <w:r>
              <w:rPr>
                <w:rFonts w:ascii="Arial" w:cs="Arial" w:eastAsia="Arial" w:hAnsi="Arial"/>
                <w:sz w:val="8"/>
                <w:szCs w:val="8"/>
                <w:b w:val="1"/>
                <w:bCs w:val="1"/>
                <w:color w:val="auto"/>
              </w:rPr>
              <w:t>3</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174.86</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1.5 %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76.7%</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0.3 %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228.12</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Courtyard</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102.51</w:t>
            </w:r>
          </w:p>
        </w:tc>
        <w:tc>
          <w:tcPr>
            <w:tcW w:w="800" w:type="dxa"/>
            <w:vAlign w:val="bottom"/>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71.4%</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-1.2 %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143.56</w:t>
            </w:r>
          </w:p>
        </w:tc>
        <w:tc>
          <w:tcPr>
            <w:tcW w:w="1060" w:type="dxa"/>
            <w:vAlign w:val="bottom"/>
          </w:tcPr>
          <w:p>
            <w:pPr>
              <w:jc w:val="right"/>
              <w:spacing w:after="0"/>
              <w:rPr>
                <w:sz w:val="20"/>
                <w:szCs w:val="20"/>
                <w:color w:val="auto"/>
              </w:rPr>
            </w:pPr>
            <w:r>
              <w:rPr>
                <w:rFonts w:ascii="Arial" w:cs="Arial" w:eastAsia="Arial" w:hAnsi="Arial"/>
                <w:sz w:val="14"/>
                <w:szCs w:val="14"/>
                <w:color w:val="auto"/>
              </w:rPr>
              <w:t>0.5 %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Residence Inn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127.03</w:t>
            </w:r>
          </w:p>
        </w:tc>
        <w:tc>
          <w:tcPr>
            <w:tcW w:w="800" w:type="dxa"/>
            <w:vAlign w:val="bottom"/>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78.8%</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-0.3 %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161.13</w:t>
            </w:r>
          </w:p>
        </w:tc>
        <w:tc>
          <w:tcPr>
            <w:tcW w:w="1060" w:type="dxa"/>
            <w:vAlign w:val="bottom"/>
          </w:tcPr>
          <w:p>
            <w:pPr>
              <w:jc w:val="right"/>
              <w:spacing w:after="0"/>
              <w:rPr>
                <w:sz w:val="20"/>
                <w:szCs w:val="20"/>
                <w:color w:val="auto"/>
              </w:rPr>
            </w:pPr>
            <w:r>
              <w:rPr>
                <w:rFonts w:ascii="Arial" w:cs="Arial" w:eastAsia="Arial" w:hAnsi="Arial"/>
                <w:sz w:val="14"/>
                <w:szCs w:val="14"/>
                <w:color w:val="auto"/>
              </w:rPr>
              <w:t>0.8 %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Composite North American Limited-Service </w:t>
            </w:r>
            <w:r>
              <w:rPr>
                <w:rFonts w:ascii="Arial" w:cs="Arial" w:eastAsia="Arial" w:hAnsi="Arial"/>
                <w:sz w:val="8"/>
                <w:szCs w:val="8"/>
                <w:b w:val="1"/>
                <w:bCs w:val="1"/>
                <w:color w:val="auto"/>
              </w:rPr>
              <w:t>4</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109.15</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-0.7 %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73.9%</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-1.0 %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147.61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North American - All </w:t>
            </w:r>
            <w:r>
              <w:rPr>
                <w:rFonts w:ascii="Arial" w:cs="Arial" w:eastAsia="Arial" w:hAnsi="Arial"/>
                <w:sz w:val="8"/>
                <w:szCs w:val="8"/>
                <w:b w:val="1"/>
                <w:bCs w:val="1"/>
                <w:color w:val="auto"/>
              </w:rPr>
              <w:t>5</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153.64</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75.8%</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-0.1 %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202.75</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1.1 %</w:t>
            </w:r>
          </w:p>
        </w:tc>
      </w:tr>
      <w:tr>
        <w:trPr>
          <w:trHeight w:val="506"/>
        </w:trPr>
        <w:tc>
          <w:tcPr>
            <w:tcW w:w="3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Comparable Systemwide North American Properties</w:t>
            </w: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4900" w:type="dxa"/>
            <w:vAlign w:val="bottom"/>
            <w:tcBorders>
              <w:bottom w:val="single" w:sz="8" w:color="auto"/>
            </w:tcBorders>
            <w:gridSpan w:val="8"/>
          </w:tcPr>
          <w:p>
            <w:pPr>
              <w:jc w:val="center"/>
              <w:ind w:right="228"/>
              <w:spacing w:after="0"/>
              <w:rPr>
                <w:sz w:val="20"/>
                <w:szCs w:val="20"/>
                <w:color w:val="auto"/>
              </w:rPr>
            </w:pPr>
            <w:r>
              <w:rPr>
                <w:rFonts w:ascii="Arial" w:cs="Arial" w:eastAsia="Arial" w:hAnsi="Arial"/>
                <w:sz w:val="14"/>
                <w:szCs w:val="14"/>
                <w:b w:val="1"/>
                <w:bCs w:val="1"/>
                <w:color w:val="auto"/>
                <w:w w:val="92"/>
              </w:rPr>
              <w:t>Twelve Months Ended December 31, 2019 and December 31, 2018</w:t>
            </w:r>
          </w:p>
        </w:tc>
        <w:tc>
          <w:tcPr>
            <w:tcW w:w="1060" w:type="dxa"/>
            <w:vAlign w:val="bottom"/>
            <w:tcBorders>
              <w:bottom w:val="single" w:sz="8" w:color="auto"/>
            </w:tcBorders>
          </w:tcPr>
          <w:p>
            <w:pPr>
              <w:spacing w:after="0"/>
              <w:rPr>
                <w:sz w:val="22"/>
                <w:szCs w:val="22"/>
                <w:color w:val="auto"/>
              </w:rPr>
            </w:pPr>
          </w:p>
        </w:tc>
      </w:tr>
      <w:tr>
        <w:trPr>
          <w:trHeight w:val="264"/>
        </w:trPr>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REVPAR</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Borders>
              <w:bottom w:val="single" w:sz="8" w:color="auto"/>
            </w:tcBorders>
          </w:tcPr>
          <w:p>
            <w:pPr>
              <w:jc w:val="center"/>
              <w:ind w:left="968"/>
              <w:spacing w:after="0"/>
              <w:rPr>
                <w:sz w:val="20"/>
                <w:szCs w:val="20"/>
                <w:color w:val="auto"/>
              </w:rPr>
            </w:pPr>
            <w:r>
              <w:rPr>
                <w:rFonts w:ascii="Arial" w:cs="Arial" w:eastAsia="Arial" w:hAnsi="Arial"/>
                <w:sz w:val="14"/>
                <w:szCs w:val="14"/>
                <w:b w:val="1"/>
                <w:bCs w:val="1"/>
                <w:color w:val="auto"/>
                <w:w w:val="92"/>
              </w:rPr>
              <w:t>Occupancy</w:t>
            </w:r>
          </w:p>
        </w:tc>
        <w:tc>
          <w:tcPr>
            <w:tcW w:w="6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Brand</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8"/>
              </w:rPr>
              <w:t>vs. 2018</w:t>
            </w:r>
          </w:p>
        </w:tc>
        <w:tc>
          <w:tcPr>
            <w:tcW w:w="100" w:type="dxa"/>
            <w:vAlign w:val="bottom"/>
          </w:tcPr>
          <w:p>
            <w:pPr>
              <w:spacing w:after="0"/>
              <w:rPr>
                <w:sz w:val="22"/>
                <w:szCs w:val="22"/>
                <w:color w:val="auto"/>
              </w:rPr>
            </w:pPr>
          </w:p>
        </w:tc>
        <w:tc>
          <w:tcPr>
            <w:tcW w:w="17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4"/>
              </w:rPr>
              <w:t>vs. 2018</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vs. 2018</w:t>
            </w:r>
          </w:p>
        </w:tc>
      </w:tr>
      <w:tr>
        <w:trPr>
          <w:trHeight w:val="258"/>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JW Marriott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202.75</w:t>
            </w:r>
          </w:p>
        </w:tc>
        <w:tc>
          <w:tcPr>
            <w:tcW w:w="800" w:type="dxa"/>
            <w:vAlign w:val="bottom"/>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22"/>
                <w:szCs w:val="22"/>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77.6%</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-1.1 %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261.30</w:t>
            </w:r>
          </w:p>
        </w:tc>
        <w:tc>
          <w:tcPr>
            <w:tcW w:w="1060" w:type="dxa"/>
            <w:vAlign w:val="bottom"/>
          </w:tcPr>
          <w:p>
            <w:pPr>
              <w:jc w:val="right"/>
              <w:spacing w:after="0"/>
              <w:rPr>
                <w:sz w:val="20"/>
                <w:szCs w:val="20"/>
                <w:color w:val="auto"/>
              </w:rPr>
            </w:pPr>
            <w:r>
              <w:rPr>
                <w:rFonts w:ascii="Arial" w:cs="Arial" w:eastAsia="Arial" w:hAnsi="Arial"/>
                <w:sz w:val="14"/>
                <w:szCs w:val="14"/>
                <w:color w:val="auto"/>
              </w:rPr>
              <w:t>3.1 %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The Ritz-Carlton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293.35</w:t>
            </w:r>
          </w:p>
        </w:tc>
        <w:tc>
          <w:tcPr>
            <w:tcW w:w="800" w:type="dxa"/>
            <w:vAlign w:val="bottom"/>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75.2%</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1.1 %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390.24</w:t>
            </w:r>
          </w:p>
        </w:tc>
        <w:tc>
          <w:tcPr>
            <w:tcW w:w="1060" w:type="dxa"/>
            <w:vAlign w:val="bottom"/>
          </w:tcPr>
          <w:p>
            <w:pPr>
              <w:jc w:val="right"/>
              <w:spacing w:after="0"/>
              <w:rPr>
                <w:sz w:val="20"/>
                <w:szCs w:val="20"/>
                <w:color w:val="auto"/>
              </w:rPr>
            </w:pPr>
            <w:r>
              <w:rPr>
                <w:rFonts w:ascii="Arial" w:cs="Arial" w:eastAsia="Arial" w:hAnsi="Arial"/>
                <w:sz w:val="14"/>
                <w:szCs w:val="14"/>
                <w:color w:val="auto"/>
              </w:rPr>
              <w:t>2.6 %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W Hotels</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244.11</w:t>
            </w:r>
          </w:p>
        </w:tc>
        <w:tc>
          <w:tcPr>
            <w:tcW w:w="80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79.0%</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-1.5 %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308.98</w:t>
            </w:r>
          </w:p>
        </w:tc>
        <w:tc>
          <w:tcPr>
            <w:tcW w:w="1060" w:type="dxa"/>
            <w:vAlign w:val="bottom"/>
          </w:tcPr>
          <w:p>
            <w:pPr>
              <w:jc w:val="right"/>
              <w:spacing w:after="0"/>
              <w:rPr>
                <w:sz w:val="20"/>
                <w:szCs w:val="20"/>
                <w:color w:val="auto"/>
              </w:rPr>
            </w:pPr>
            <w:r>
              <w:rPr>
                <w:rFonts w:ascii="Arial" w:cs="Arial" w:eastAsia="Arial" w:hAnsi="Arial"/>
                <w:sz w:val="14"/>
                <w:szCs w:val="14"/>
                <w:color w:val="auto"/>
              </w:rPr>
              <w:t>0.0 %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Composite North American Luxury </w:t>
            </w:r>
            <w:r>
              <w:rPr>
                <w:rFonts w:ascii="Arial" w:cs="Arial" w:eastAsia="Arial" w:hAnsi="Arial"/>
                <w:sz w:val="8"/>
                <w:szCs w:val="8"/>
                <w:b w:val="1"/>
                <w:bCs w:val="1"/>
                <w:color w:val="auto"/>
              </w:rPr>
              <w:t>1</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257.63</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77.2%</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-0.1 %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333.61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Marriott Hotels</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133.08</w:t>
            </w:r>
          </w:p>
        </w:tc>
        <w:tc>
          <w:tcPr>
            <w:tcW w:w="80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73.1%</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0.5 %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181.92</w:t>
            </w:r>
          </w:p>
        </w:tc>
        <w:tc>
          <w:tcPr>
            <w:tcW w:w="106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Sheraton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114.11</w:t>
            </w:r>
          </w:p>
        </w:tc>
        <w:tc>
          <w:tcPr>
            <w:tcW w:w="800" w:type="dxa"/>
            <w:vAlign w:val="bottom"/>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72.3%</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0.0 %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157.76</w:t>
            </w:r>
          </w:p>
        </w:tc>
        <w:tc>
          <w:tcPr>
            <w:tcW w:w="1060" w:type="dxa"/>
            <w:vAlign w:val="bottom"/>
          </w:tcPr>
          <w:p>
            <w:pPr>
              <w:jc w:val="right"/>
              <w:spacing w:after="0"/>
              <w:rPr>
                <w:sz w:val="20"/>
                <w:szCs w:val="20"/>
                <w:color w:val="auto"/>
              </w:rPr>
            </w:pPr>
            <w:r>
              <w:rPr>
                <w:rFonts w:ascii="Arial" w:cs="Arial" w:eastAsia="Arial" w:hAnsi="Arial"/>
                <w:sz w:val="14"/>
                <w:szCs w:val="14"/>
                <w:color w:val="auto"/>
              </w:rPr>
              <w:t>-0.1 %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Westin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149.74</w:t>
            </w:r>
          </w:p>
        </w:tc>
        <w:tc>
          <w:tcPr>
            <w:tcW w:w="800" w:type="dxa"/>
            <w:vAlign w:val="bottom"/>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75.5%</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0.5 %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198.44</w:t>
            </w:r>
          </w:p>
        </w:tc>
        <w:tc>
          <w:tcPr>
            <w:tcW w:w="1060" w:type="dxa"/>
            <w:vAlign w:val="bottom"/>
          </w:tcPr>
          <w:p>
            <w:pPr>
              <w:jc w:val="right"/>
              <w:spacing w:after="0"/>
              <w:rPr>
                <w:sz w:val="20"/>
                <w:szCs w:val="20"/>
                <w:color w:val="auto"/>
              </w:rPr>
            </w:pPr>
            <w:r>
              <w:rPr>
                <w:rFonts w:ascii="Arial" w:cs="Arial" w:eastAsia="Arial" w:hAnsi="Arial"/>
                <w:sz w:val="14"/>
                <w:szCs w:val="14"/>
                <w:color w:val="auto"/>
              </w:rPr>
              <w:t>0.4 %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Composite North American Upper Upscale </w:t>
            </w:r>
            <w:r>
              <w:rPr>
                <w:rFonts w:ascii="Arial" w:cs="Arial" w:eastAsia="Arial" w:hAnsi="Arial"/>
                <w:sz w:val="8"/>
                <w:szCs w:val="8"/>
                <w:b w:val="1"/>
                <w:bCs w:val="1"/>
                <w:color w:val="auto"/>
              </w:rPr>
              <w:t>2</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135.10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2.1 %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73.8%</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0.5 %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182.97</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North American Full-Service </w:t>
            </w:r>
            <w:r>
              <w:rPr>
                <w:rFonts w:ascii="Arial" w:cs="Arial" w:eastAsia="Arial" w:hAnsi="Arial"/>
                <w:sz w:val="8"/>
                <w:szCs w:val="8"/>
                <w:b w:val="1"/>
                <w:bCs w:val="1"/>
                <w:color w:val="auto"/>
              </w:rPr>
              <w:t>3</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147.53</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74.2%</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0.4 %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198.88</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Courtyard</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101.62</w:t>
            </w:r>
          </w:p>
        </w:tc>
        <w:tc>
          <w:tcPr>
            <w:tcW w:w="800" w:type="dxa"/>
            <w:vAlign w:val="bottom"/>
          </w:tcPr>
          <w:p>
            <w:pPr>
              <w:jc w:val="right"/>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72.0%</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-0.6 %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141.20</w:t>
            </w:r>
          </w:p>
        </w:tc>
        <w:tc>
          <w:tcPr>
            <w:tcW w:w="1060" w:type="dxa"/>
            <w:vAlign w:val="bottom"/>
          </w:tcPr>
          <w:p>
            <w:pPr>
              <w:jc w:val="right"/>
              <w:spacing w:after="0"/>
              <w:rPr>
                <w:sz w:val="20"/>
                <w:szCs w:val="20"/>
                <w:color w:val="auto"/>
              </w:rPr>
            </w:pPr>
            <w:r>
              <w:rPr>
                <w:rFonts w:ascii="Arial" w:cs="Arial" w:eastAsia="Arial" w:hAnsi="Arial"/>
                <w:sz w:val="14"/>
                <w:szCs w:val="14"/>
                <w:color w:val="auto"/>
              </w:rPr>
              <w:t>0.6 %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Residence Inn</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117.47</w:t>
            </w:r>
          </w:p>
        </w:tc>
        <w:tc>
          <w:tcPr>
            <w:tcW w:w="800" w:type="dxa"/>
            <w:vAlign w:val="bottom"/>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78.6%</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-0.5 %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149.45</w:t>
            </w:r>
          </w:p>
        </w:tc>
        <w:tc>
          <w:tcPr>
            <w:tcW w:w="1060" w:type="dxa"/>
            <w:vAlign w:val="bottom"/>
          </w:tcPr>
          <w:p>
            <w:pPr>
              <w:jc w:val="right"/>
              <w:spacing w:after="0"/>
              <w:rPr>
                <w:sz w:val="20"/>
                <w:szCs w:val="20"/>
                <w:color w:val="auto"/>
              </w:rPr>
            </w:pPr>
            <w:r>
              <w:rPr>
                <w:rFonts w:ascii="Arial" w:cs="Arial" w:eastAsia="Arial" w:hAnsi="Arial"/>
                <w:sz w:val="14"/>
                <w:szCs w:val="14"/>
                <w:color w:val="auto"/>
              </w:rPr>
              <w:t>0.5 %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Fairfield by Marriott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auto"/>
              </w:rPr>
              <w:t>82.09</w:t>
            </w:r>
          </w:p>
        </w:tc>
        <w:tc>
          <w:tcPr>
            <w:tcW w:w="800" w:type="dxa"/>
            <w:vAlign w:val="bottom"/>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color w:val="auto"/>
              </w:rPr>
              <w:t>71.0%</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-0.5 %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115.59</w:t>
            </w:r>
          </w:p>
        </w:tc>
        <w:tc>
          <w:tcPr>
            <w:tcW w:w="1060" w:type="dxa"/>
            <w:vAlign w:val="bottom"/>
          </w:tcPr>
          <w:p>
            <w:pPr>
              <w:jc w:val="right"/>
              <w:spacing w:after="0"/>
              <w:rPr>
                <w:sz w:val="20"/>
                <w:szCs w:val="20"/>
                <w:color w:val="auto"/>
              </w:rPr>
            </w:pPr>
            <w:r>
              <w:rPr>
                <w:rFonts w:ascii="Arial" w:cs="Arial" w:eastAsia="Arial" w:hAnsi="Arial"/>
                <w:sz w:val="14"/>
                <w:szCs w:val="14"/>
                <w:color w:val="auto"/>
              </w:rPr>
              <w:t>0.2 %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Composite North American Limited-Service </w:t>
            </w:r>
            <w:r>
              <w:rPr>
                <w:rFonts w:ascii="Arial" w:cs="Arial" w:eastAsia="Arial" w:hAnsi="Arial"/>
                <w:sz w:val="8"/>
                <w:szCs w:val="8"/>
                <w:b w:val="1"/>
                <w:bCs w:val="1"/>
                <w:color w:val="auto"/>
              </w:rPr>
              <w:t>4</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99.67</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73.8%</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-0.4 %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135.14</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0.5 %</w:t>
            </w:r>
          </w:p>
        </w:tc>
      </w:tr>
      <w:tr>
        <w:trPr>
          <w:trHeight w:val="270"/>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North American - All </w:t>
            </w:r>
            <w:r>
              <w:rPr>
                <w:rFonts w:ascii="Arial" w:cs="Arial" w:eastAsia="Arial" w:hAnsi="Arial"/>
                <w:sz w:val="8"/>
                <w:szCs w:val="8"/>
                <w:b w:val="1"/>
                <w:bCs w:val="1"/>
                <w:color w:val="auto"/>
              </w:rPr>
              <w:t>5</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119.61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1.0 %</w:t>
            </w:r>
          </w:p>
        </w:tc>
        <w:tc>
          <w:tcPr>
            <w:tcW w:w="100" w:type="dxa"/>
            <w:vAlign w:val="bottom"/>
          </w:tcPr>
          <w:p>
            <w:pPr>
              <w:spacing w:after="0"/>
              <w:rPr>
                <w:sz w:val="23"/>
                <w:szCs w:val="23"/>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73.9%</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-0.1 %</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161.79</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1.1 %</w:t>
            </w:r>
          </w:p>
        </w:tc>
      </w:tr>
    </w:tbl>
    <w:p>
      <w:pPr>
        <w:spacing w:after="0" w:line="155" w:lineRule="exact"/>
        <w:rPr>
          <w:sz w:val="20"/>
          <w:szCs w:val="20"/>
          <w:color w:val="auto"/>
        </w:rPr>
      </w:pPr>
    </w:p>
    <w:p>
      <w:pPr>
        <w:ind w:left="160" w:hanging="152"/>
        <w:spacing w:after="0"/>
        <w:tabs>
          <w:tab w:leader="none" w:pos="160" w:val="left"/>
        </w:tabs>
        <w:numPr>
          <w:ilvl w:val="0"/>
          <w:numId w:val="41"/>
        </w:numPr>
        <w:rPr>
          <w:rFonts w:ascii="Arial" w:cs="Arial" w:eastAsia="Arial" w:hAnsi="Arial"/>
          <w:sz w:val="9"/>
          <w:szCs w:val="9"/>
          <w:color w:val="auto"/>
        </w:rPr>
      </w:pPr>
      <w:r>
        <w:rPr>
          <w:rFonts w:ascii="Arial" w:cs="Arial" w:eastAsia="Arial" w:hAnsi="Arial"/>
          <w:sz w:val="14"/>
          <w:szCs w:val="14"/>
          <w:color w:val="auto"/>
        </w:rPr>
        <w:t>Includes JW Marriott, The Ritz-Carlton, W Hotels, The Luxury Collection, St. Regis, and EDITION.</w:t>
      </w:r>
    </w:p>
    <w:p>
      <w:pPr>
        <w:spacing w:after="0" w:line="13"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9"/>
          <w:szCs w:val="9"/>
          <w:color w:val="auto"/>
        </w:rPr>
      </w:pPr>
      <w:r>
        <w:rPr>
          <w:rFonts w:ascii="Arial" w:cs="Arial" w:eastAsia="Arial" w:hAnsi="Arial"/>
          <w:sz w:val="14"/>
          <w:szCs w:val="14"/>
          <w:color w:val="auto"/>
        </w:rPr>
        <w:t>Includes Marriott Hotels, Sheraton, Westin, Renaissance, Autograph Collection, Delta Hotels, Gaylord Hotels, and Le Méridien. Systemwide also includes Tribute Portfolio.</w:t>
      </w:r>
    </w:p>
    <w:p>
      <w:pPr>
        <w:spacing w:after="0" w:line="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Includes Composite North American Luxury and Composite North American Upper Upscale.</w:t>
      </w:r>
    </w:p>
    <w:p>
      <w:pPr>
        <w:spacing w:after="0" w:line="1" w:lineRule="exact"/>
        <w:rPr>
          <w:sz w:val="20"/>
          <w:szCs w:val="20"/>
          <w:color w:val="auto"/>
        </w:rPr>
      </w:pPr>
    </w:p>
    <w:p>
      <w:pPr>
        <w:ind w:left="160" w:hanging="152"/>
        <w:spacing w:after="0"/>
        <w:tabs>
          <w:tab w:leader="none" w:pos="160" w:val="left"/>
        </w:tabs>
        <w:numPr>
          <w:ilvl w:val="0"/>
          <w:numId w:val="43"/>
        </w:numPr>
        <w:rPr>
          <w:rFonts w:ascii="Arial" w:cs="Arial" w:eastAsia="Arial" w:hAnsi="Arial"/>
          <w:sz w:val="8"/>
          <w:szCs w:val="8"/>
          <w:color w:val="auto"/>
        </w:rPr>
      </w:pPr>
      <w:r>
        <w:rPr>
          <w:rFonts w:ascii="Arial" w:cs="Arial" w:eastAsia="Arial" w:hAnsi="Arial"/>
          <w:sz w:val="13"/>
          <w:szCs w:val="13"/>
          <w:color w:val="auto"/>
        </w:rPr>
        <w:t>Includes Courtyard, Residence Inn, Fairfield by Marriott, SpringHill Suites, TownePlace Suites, Four Points, Aloft, Element, and AC Hotels by Marriott. Systemwide also includes Moxy.</w:t>
      </w:r>
    </w:p>
    <w:p>
      <w:pPr>
        <w:spacing w:after="0" w:line="13" w:lineRule="exact"/>
        <w:rPr>
          <w:sz w:val="20"/>
          <w:szCs w:val="20"/>
          <w:color w:val="auto"/>
        </w:rPr>
      </w:pPr>
    </w:p>
    <w:p>
      <w:pPr>
        <w:ind w:left="160" w:hanging="152"/>
        <w:spacing w:after="0"/>
        <w:tabs>
          <w:tab w:leader="none" w:pos="160" w:val="left"/>
        </w:tabs>
        <w:numPr>
          <w:ilvl w:val="0"/>
          <w:numId w:val="44"/>
        </w:numPr>
        <w:rPr>
          <w:rFonts w:ascii="Arial" w:cs="Arial" w:eastAsia="Arial" w:hAnsi="Arial"/>
          <w:sz w:val="9"/>
          <w:szCs w:val="9"/>
          <w:color w:val="auto"/>
        </w:rPr>
      </w:pPr>
      <w:r>
        <w:rPr>
          <w:rFonts w:ascii="Arial" w:cs="Arial" w:eastAsia="Arial" w:hAnsi="Arial"/>
          <w:sz w:val="14"/>
          <w:szCs w:val="14"/>
          <w:color w:val="auto"/>
        </w:rPr>
        <w:t>Includes North American Full-Service and Composite North American Limited-Service.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342"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MARRIOTT INTERNATIONAL,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LODGING STATISTICS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Constant $</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Comparable Company-Operated International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8"/>
          </w:tcPr>
          <w:p>
            <w:pPr>
              <w:jc w:val="center"/>
              <w:ind w:right="248"/>
              <w:spacing w:after="0"/>
              <w:rPr>
                <w:sz w:val="20"/>
                <w:szCs w:val="20"/>
                <w:color w:val="auto"/>
              </w:rPr>
            </w:pPr>
            <w:r>
              <w:rPr>
                <w:rFonts w:ascii="Arial" w:cs="Arial" w:eastAsia="Arial" w:hAnsi="Arial"/>
                <w:sz w:val="14"/>
                <w:szCs w:val="14"/>
                <w:b w:val="1"/>
                <w:bCs w:val="1"/>
                <w:color w:val="auto"/>
                <w:w w:val="92"/>
              </w:rPr>
              <w:t>Twelve Months Ended December 31, 2019 and December 31, 2018</w:t>
            </w:r>
          </w:p>
        </w:tc>
        <w:tc>
          <w:tcPr>
            <w:tcW w:w="1060" w:type="dxa"/>
            <w:vAlign w:val="bottom"/>
            <w:tcBorders>
              <w:bottom w:val="single" w:sz="8" w:color="auto"/>
            </w:tcBorders>
          </w:tcPr>
          <w:p>
            <w:pPr>
              <w:spacing w:after="0"/>
              <w:rPr>
                <w:sz w:val="16"/>
                <w:szCs w:val="16"/>
                <w:color w:val="auto"/>
              </w:rPr>
            </w:pPr>
          </w:p>
        </w:tc>
      </w:tr>
      <w:tr>
        <w:trPr>
          <w:trHeight w:val="264"/>
        </w:trPr>
        <w:tc>
          <w:tcPr>
            <w:tcW w:w="3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REVPAR</w:t>
            </w:r>
          </w:p>
        </w:tc>
        <w:tc>
          <w:tcPr>
            <w:tcW w:w="8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center"/>
              <w:ind w:left="928"/>
              <w:spacing w:after="0"/>
              <w:rPr>
                <w:sz w:val="20"/>
                <w:szCs w:val="20"/>
                <w:color w:val="auto"/>
              </w:rPr>
            </w:pPr>
            <w:r>
              <w:rPr>
                <w:rFonts w:ascii="Arial" w:cs="Arial" w:eastAsia="Arial" w:hAnsi="Arial"/>
                <w:sz w:val="14"/>
                <w:szCs w:val="14"/>
                <w:b w:val="1"/>
                <w:bCs w:val="1"/>
                <w:color w:val="auto"/>
                <w:w w:val="92"/>
              </w:rPr>
              <w:t>Occupancy</w:t>
            </w:r>
          </w:p>
        </w:tc>
        <w:tc>
          <w:tcPr>
            <w:tcW w:w="6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Region</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8"/>
              </w:rPr>
              <w:t>vs. 2018</w:t>
            </w:r>
          </w:p>
        </w:tc>
        <w:tc>
          <w:tcPr>
            <w:tcW w:w="120" w:type="dxa"/>
            <w:vAlign w:val="bottom"/>
          </w:tcPr>
          <w:p>
            <w:pPr>
              <w:spacing w:after="0"/>
              <w:rPr>
                <w:sz w:val="22"/>
                <w:szCs w:val="22"/>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vs. 2018</w:t>
            </w: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vs. 2018</w:t>
            </w:r>
          </w:p>
        </w:tc>
      </w:tr>
      <w:tr>
        <w:trPr>
          <w:trHeight w:val="258"/>
        </w:trPr>
        <w:tc>
          <w:tcPr>
            <w:tcW w:w="4080" w:type="dxa"/>
            <w:vAlign w:val="bottom"/>
            <w:gridSpan w:val="2"/>
          </w:tcPr>
          <w:p>
            <w:pPr>
              <w:ind w:left="40"/>
              <w:spacing w:after="0"/>
              <w:rPr>
                <w:sz w:val="20"/>
                <w:szCs w:val="20"/>
                <w:color w:val="auto"/>
              </w:rPr>
            </w:pPr>
            <w:r>
              <w:rPr>
                <w:rFonts w:ascii="Arial" w:cs="Arial" w:eastAsia="Arial" w:hAnsi="Arial"/>
                <w:sz w:val="14"/>
                <w:szCs w:val="14"/>
                <w:color w:val="auto"/>
              </w:rPr>
              <w:t>Greater China</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color w:val="auto"/>
              </w:rPr>
              <w:t>84.19</w:t>
            </w:r>
          </w:p>
        </w:tc>
        <w:tc>
          <w:tcPr>
            <w:tcW w:w="800" w:type="dxa"/>
            <w:vAlign w:val="bottom"/>
          </w:tcPr>
          <w:p>
            <w:pPr>
              <w:jc w:val="right"/>
              <w:spacing w:after="0"/>
              <w:rPr>
                <w:sz w:val="20"/>
                <w:szCs w:val="20"/>
                <w:color w:val="auto"/>
              </w:rPr>
            </w:pPr>
            <w:r>
              <w:rPr>
                <w:rFonts w:ascii="Arial" w:cs="Arial" w:eastAsia="Arial" w:hAnsi="Arial"/>
                <w:sz w:val="14"/>
                <w:szCs w:val="14"/>
                <w:color w:val="auto"/>
              </w:rPr>
              <w:t>-0.2 %</w:t>
            </w:r>
          </w:p>
        </w:tc>
        <w:tc>
          <w:tcPr>
            <w:tcW w:w="120" w:type="dxa"/>
            <w:vAlign w:val="bottom"/>
          </w:tcPr>
          <w:p>
            <w:pPr>
              <w:spacing w:after="0"/>
              <w:rPr>
                <w:sz w:val="22"/>
                <w:szCs w:val="22"/>
                <w:color w:val="auto"/>
              </w:rPr>
            </w:pPr>
          </w:p>
        </w:tc>
        <w:tc>
          <w:tcPr>
            <w:tcW w:w="1700" w:type="dxa"/>
            <w:vAlign w:val="bottom"/>
          </w:tcPr>
          <w:p>
            <w:pPr>
              <w:ind w:left="640"/>
              <w:spacing w:after="0"/>
              <w:rPr>
                <w:sz w:val="20"/>
                <w:szCs w:val="20"/>
                <w:color w:val="auto"/>
              </w:rPr>
            </w:pPr>
            <w:r>
              <w:rPr>
                <w:rFonts w:ascii="Arial" w:cs="Arial" w:eastAsia="Arial" w:hAnsi="Arial"/>
                <w:sz w:val="14"/>
                <w:szCs w:val="14"/>
                <w:color w:val="auto"/>
              </w:rPr>
              <w:t>69.6%</w:t>
            </w:r>
          </w:p>
        </w:tc>
        <w:tc>
          <w:tcPr>
            <w:tcW w:w="620" w:type="dxa"/>
            <w:vAlign w:val="bottom"/>
          </w:tcPr>
          <w:p>
            <w:pPr>
              <w:ind w:left="180"/>
              <w:spacing w:after="0"/>
              <w:rPr>
                <w:sz w:val="20"/>
                <w:szCs w:val="20"/>
                <w:color w:val="auto"/>
              </w:rPr>
            </w:pPr>
            <w:r>
              <w:rPr>
                <w:rFonts w:ascii="Arial" w:cs="Arial" w:eastAsia="Arial" w:hAnsi="Arial"/>
                <w:sz w:val="14"/>
                <w:szCs w:val="14"/>
                <w:color w:val="auto"/>
              </w:rPr>
              <w:t>1.7%</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121.01</w:t>
            </w:r>
          </w:p>
        </w:tc>
        <w:tc>
          <w:tcPr>
            <w:tcW w:w="1060" w:type="dxa"/>
            <w:vAlign w:val="bottom"/>
          </w:tcPr>
          <w:p>
            <w:pPr>
              <w:jc w:val="right"/>
              <w:spacing w:after="0"/>
              <w:rPr>
                <w:sz w:val="20"/>
                <w:szCs w:val="20"/>
                <w:color w:val="auto"/>
              </w:rPr>
            </w:pPr>
            <w:r>
              <w:rPr>
                <w:rFonts w:ascii="Arial" w:cs="Arial" w:eastAsia="Arial" w:hAnsi="Arial"/>
                <w:sz w:val="14"/>
                <w:szCs w:val="14"/>
                <w:color w:val="auto"/>
              </w:rPr>
              <w:t>-2.6 %</w:t>
            </w:r>
          </w:p>
        </w:tc>
      </w:tr>
      <w:tr>
        <w:trPr>
          <w:trHeight w:val="270"/>
        </w:trPr>
        <w:tc>
          <w:tcPr>
            <w:tcW w:w="4080" w:type="dxa"/>
            <w:vAlign w:val="bottom"/>
            <w:gridSpan w:val="2"/>
          </w:tcPr>
          <w:p>
            <w:pPr>
              <w:ind w:left="40"/>
              <w:spacing w:after="0"/>
              <w:rPr>
                <w:sz w:val="20"/>
                <w:szCs w:val="20"/>
                <w:color w:val="auto"/>
              </w:rPr>
            </w:pPr>
            <w:r>
              <w:rPr>
                <w:rFonts w:ascii="Arial" w:cs="Arial" w:eastAsia="Arial" w:hAnsi="Arial"/>
                <w:sz w:val="14"/>
                <w:szCs w:val="14"/>
                <w:color w:val="auto"/>
              </w:rPr>
              <w:t>Rest of Asia Pacific</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color w:val="auto"/>
              </w:rPr>
              <w:t>126.49</w:t>
            </w:r>
          </w:p>
        </w:tc>
        <w:tc>
          <w:tcPr>
            <w:tcW w:w="800" w:type="dxa"/>
            <w:vAlign w:val="bottom"/>
          </w:tcPr>
          <w:p>
            <w:pPr>
              <w:jc w:val="right"/>
              <w:spacing w:after="0"/>
              <w:rPr>
                <w:sz w:val="20"/>
                <w:szCs w:val="20"/>
                <w:color w:val="auto"/>
              </w:rPr>
            </w:pPr>
            <w:r>
              <w:rPr>
                <w:rFonts w:ascii="Arial" w:cs="Arial" w:eastAsia="Arial" w:hAnsi="Arial"/>
                <w:sz w:val="14"/>
                <w:szCs w:val="14"/>
                <w:color w:val="auto"/>
              </w:rPr>
              <w:t>4.3 %</w:t>
            </w:r>
          </w:p>
        </w:tc>
        <w:tc>
          <w:tcPr>
            <w:tcW w:w="120" w:type="dxa"/>
            <w:vAlign w:val="bottom"/>
          </w:tcPr>
          <w:p>
            <w:pPr>
              <w:spacing w:after="0"/>
              <w:rPr>
                <w:sz w:val="23"/>
                <w:szCs w:val="23"/>
                <w:color w:val="auto"/>
              </w:rPr>
            </w:pPr>
          </w:p>
        </w:tc>
        <w:tc>
          <w:tcPr>
            <w:tcW w:w="1700" w:type="dxa"/>
            <w:vAlign w:val="bottom"/>
          </w:tcPr>
          <w:p>
            <w:pPr>
              <w:ind w:left="640"/>
              <w:spacing w:after="0"/>
              <w:rPr>
                <w:sz w:val="20"/>
                <w:szCs w:val="20"/>
                <w:color w:val="auto"/>
              </w:rPr>
            </w:pPr>
            <w:r>
              <w:rPr>
                <w:rFonts w:ascii="Arial" w:cs="Arial" w:eastAsia="Arial" w:hAnsi="Arial"/>
                <w:sz w:val="14"/>
                <w:szCs w:val="14"/>
                <w:color w:val="auto"/>
              </w:rPr>
              <w:t>76.2%</w:t>
            </w:r>
          </w:p>
        </w:tc>
        <w:tc>
          <w:tcPr>
            <w:tcW w:w="620" w:type="dxa"/>
            <w:vAlign w:val="bottom"/>
          </w:tcPr>
          <w:p>
            <w:pPr>
              <w:ind w:left="180"/>
              <w:spacing w:after="0"/>
              <w:rPr>
                <w:sz w:val="20"/>
                <w:szCs w:val="20"/>
                <w:color w:val="auto"/>
              </w:rPr>
            </w:pPr>
            <w:r>
              <w:rPr>
                <w:rFonts w:ascii="Arial" w:cs="Arial" w:eastAsia="Arial" w:hAnsi="Arial"/>
                <w:sz w:val="14"/>
                <w:szCs w:val="14"/>
                <w:color w:val="auto"/>
              </w:rPr>
              <w:t>2.7%</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166.02</w:t>
            </w:r>
          </w:p>
        </w:tc>
        <w:tc>
          <w:tcPr>
            <w:tcW w:w="1060" w:type="dxa"/>
            <w:vAlign w:val="bottom"/>
          </w:tcPr>
          <w:p>
            <w:pPr>
              <w:jc w:val="right"/>
              <w:spacing w:after="0"/>
              <w:rPr>
                <w:sz w:val="20"/>
                <w:szCs w:val="20"/>
                <w:color w:val="auto"/>
              </w:rPr>
            </w:pPr>
            <w:r>
              <w:rPr>
                <w:rFonts w:ascii="Arial" w:cs="Arial" w:eastAsia="Arial" w:hAnsi="Arial"/>
                <w:sz w:val="14"/>
                <w:szCs w:val="14"/>
                <w:color w:val="auto"/>
              </w:rPr>
              <w:t>0.5 %</w:t>
            </w:r>
          </w:p>
        </w:tc>
      </w:tr>
      <w:tr>
        <w:trPr>
          <w:trHeight w:val="270"/>
        </w:trPr>
        <w:tc>
          <w:tcPr>
            <w:tcW w:w="4080" w:type="dxa"/>
            <w:vAlign w:val="bottom"/>
            <w:gridSpan w:val="2"/>
          </w:tcPr>
          <w:p>
            <w:pPr>
              <w:ind w:left="40"/>
              <w:spacing w:after="0"/>
              <w:rPr>
                <w:sz w:val="20"/>
                <w:szCs w:val="20"/>
                <w:color w:val="auto"/>
              </w:rPr>
            </w:pPr>
            <w:r>
              <w:rPr>
                <w:rFonts w:ascii="Arial" w:cs="Arial" w:eastAsia="Arial" w:hAnsi="Arial"/>
                <w:sz w:val="14"/>
                <w:szCs w:val="14"/>
                <w:b w:val="1"/>
                <w:bCs w:val="1"/>
                <w:color w:val="auto"/>
              </w:rPr>
              <w:t>Asia Pacific</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b w:val="1"/>
                <w:bCs w:val="1"/>
                <w:color w:val="auto"/>
              </w:rPr>
              <w:t>102.39</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2.2 %</w:t>
            </w:r>
          </w:p>
        </w:tc>
        <w:tc>
          <w:tcPr>
            <w:tcW w:w="120" w:type="dxa"/>
            <w:vAlign w:val="bottom"/>
          </w:tcPr>
          <w:p>
            <w:pPr>
              <w:spacing w:after="0"/>
              <w:rPr>
                <w:sz w:val="23"/>
                <w:szCs w:val="23"/>
                <w:color w:val="auto"/>
              </w:rPr>
            </w:pPr>
          </w:p>
        </w:tc>
        <w:tc>
          <w:tcPr>
            <w:tcW w:w="1700" w:type="dxa"/>
            <w:vAlign w:val="bottom"/>
          </w:tcPr>
          <w:p>
            <w:pPr>
              <w:ind w:left="640"/>
              <w:spacing w:after="0"/>
              <w:rPr>
                <w:sz w:val="20"/>
                <w:szCs w:val="20"/>
                <w:color w:val="auto"/>
              </w:rPr>
            </w:pPr>
            <w:r>
              <w:rPr>
                <w:rFonts w:ascii="Arial" w:cs="Arial" w:eastAsia="Arial" w:hAnsi="Arial"/>
                <w:sz w:val="14"/>
                <w:szCs w:val="14"/>
                <w:b w:val="1"/>
                <w:bCs w:val="1"/>
                <w:color w:val="auto"/>
              </w:rPr>
              <w:t>72.4%</w:t>
            </w: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2.1%</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141.38</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-0.8 %</w:t>
            </w:r>
          </w:p>
        </w:tc>
      </w:tr>
      <w:tr>
        <w:trPr>
          <w:trHeight w:val="554"/>
        </w:trPr>
        <w:tc>
          <w:tcPr>
            <w:tcW w:w="4080" w:type="dxa"/>
            <w:vAlign w:val="bottom"/>
            <w:gridSpan w:val="2"/>
          </w:tcPr>
          <w:p>
            <w:pPr>
              <w:ind w:left="40"/>
              <w:spacing w:after="0"/>
              <w:rPr>
                <w:sz w:val="20"/>
                <w:szCs w:val="20"/>
                <w:color w:val="auto"/>
              </w:rPr>
            </w:pPr>
            <w:r>
              <w:rPr>
                <w:rFonts w:ascii="Arial" w:cs="Arial" w:eastAsia="Arial" w:hAnsi="Arial"/>
                <w:sz w:val="14"/>
                <w:szCs w:val="14"/>
                <w:color w:val="auto"/>
              </w:rPr>
              <w:t>Caribbean &amp; Latin America</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color w:val="auto"/>
              </w:rPr>
              <w:t>132.25</w:t>
            </w:r>
          </w:p>
        </w:tc>
        <w:tc>
          <w:tcPr>
            <w:tcW w:w="800" w:type="dxa"/>
            <w:vAlign w:val="bottom"/>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24"/>
                <w:szCs w:val="24"/>
                <w:color w:val="auto"/>
              </w:rPr>
            </w:pPr>
          </w:p>
        </w:tc>
        <w:tc>
          <w:tcPr>
            <w:tcW w:w="1700" w:type="dxa"/>
            <w:vAlign w:val="bottom"/>
          </w:tcPr>
          <w:p>
            <w:pPr>
              <w:ind w:left="640"/>
              <w:spacing w:after="0"/>
              <w:rPr>
                <w:sz w:val="20"/>
                <w:szCs w:val="20"/>
                <w:color w:val="auto"/>
              </w:rPr>
            </w:pPr>
            <w:r>
              <w:rPr>
                <w:rFonts w:ascii="Arial" w:cs="Arial" w:eastAsia="Arial" w:hAnsi="Arial"/>
                <w:sz w:val="14"/>
                <w:szCs w:val="14"/>
                <w:color w:val="auto"/>
              </w:rPr>
              <w:t>65.1%</w:t>
            </w:r>
          </w:p>
        </w:tc>
        <w:tc>
          <w:tcPr>
            <w:tcW w:w="620" w:type="dxa"/>
            <w:vAlign w:val="bottom"/>
          </w:tcPr>
          <w:p>
            <w:pPr>
              <w:ind w:left="180"/>
              <w:spacing w:after="0"/>
              <w:rPr>
                <w:sz w:val="20"/>
                <w:szCs w:val="20"/>
                <w:color w:val="auto"/>
              </w:rPr>
            </w:pPr>
            <w:r>
              <w:rPr>
                <w:rFonts w:ascii="Arial" w:cs="Arial" w:eastAsia="Arial" w:hAnsi="Arial"/>
                <w:sz w:val="14"/>
                <w:szCs w:val="14"/>
                <w:color w:val="auto"/>
              </w:rPr>
              <w:t>0.7%</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203.23</w:t>
            </w:r>
          </w:p>
        </w:tc>
        <w:tc>
          <w:tcPr>
            <w:tcW w:w="106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270"/>
        </w:trPr>
        <w:tc>
          <w:tcPr>
            <w:tcW w:w="4080" w:type="dxa"/>
            <w:vAlign w:val="bottom"/>
            <w:gridSpan w:val="2"/>
          </w:tcPr>
          <w:p>
            <w:pPr>
              <w:ind w:left="40"/>
              <w:spacing w:after="0"/>
              <w:rPr>
                <w:sz w:val="20"/>
                <w:szCs w:val="20"/>
                <w:color w:val="auto"/>
              </w:rPr>
            </w:pPr>
            <w:r>
              <w:rPr>
                <w:rFonts w:ascii="Arial" w:cs="Arial" w:eastAsia="Arial" w:hAnsi="Arial"/>
                <w:sz w:val="14"/>
                <w:szCs w:val="14"/>
                <w:color w:val="auto"/>
              </w:rPr>
              <w:t>Europe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color w:val="auto"/>
              </w:rPr>
              <w:t>149.51</w:t>
            </w:r>
          </w:p>
        </w:tc>
        <w:tc>
          <w:tcPr>
            <w:tcW w:w="800" w:type="dxa"/>
            <w:vAlign w:val="bottom"/>
          </w:tcPr>
          <w:p>
            <w:pPr>
              <w:jc w:val="right"/>
              <w:spacing w:after="0"/>
              <w:rPr>
                <w:sz w:val="20"/>
                <w:szCs w:val="20"/>
                <w:color w:val="auto"/>
              </w:rPr>
            </w:pPr>
            <w:r>
              <w:rPr>
                <w:rFonts w:ascii="Arial" w:cs="Arial" w:eastAsia="Arial" w:hAnsi="Arial"/>
                <w:sz w:val="14"/>
                <w:szCs w:val="14"/>
                <w:color w:val="auto"/>
              </w:rPr>
              <w:t>2.8 %</w:t>
            </w:r>
          </w:p>
        </w:tc>
        <w:tc>
          <w:tcPr>
            <w:tcW w:w="120" w:type="dxa"/>
            <w:vAlign w:val="bottom"/>
          </w:tcPr>
          <w:p>
            <w:pPr>
              <w:spacing w:after="0"/>
              <w:rPr>
                <w:sz w:val="23"/>
                <w:szCs w:val="23"/>
                <w:color w:val="auto"/>
              </w:rPr>
            </w:pPr>
          </w:p>
        </w:tc>
        <w:tc>
          <w:tcPr>
            <w:tcW w:w="1700" w:type="dxa"/>
            <w:vAlign w:val="bottom"/>
          </w:tcPr>
          <w:p>
            <w:pPr>
              <w:ind w:left="640"/>
              <w:spacing w:after="0"/>
              <w:rPr>
                <w:sz w:val="20"/>
                <w:szCs w:val="20"/>
                <w:color w:val="auto"/>
              </w:rPr>
            </w:pPr>
            <w:r>
              <w:rPr>
                <w:rFonts w:ascii="Arial" w:cs="Arial" w:eastAsia="Arial" w:hAnsi="Arial"/>
                <w:sz w:val="14"/>
                <w:szCs w:val="14"/>
                <w:color w:val="auto"/>
              </w:rPr>
              <w:t>74.7%</w:t>
            </w:r>
          </w:p>
        </w:tc>
        <w:tc>
          <w:tcPr>
            <w:tcW w:w="620" w:type="dxa"/>
            <w:vAlign w:val="bottom"/>
          </w:tcPr>
          <w:p>
            <w:pPr>
              <w:ind w:left="180"/>
              <w:spacing w:after="0"/>
              <w:rPr>
                <w:sz w:val="20"/>
                <w:szCs w:val="20"/>
                <w:color w:val="auto"/>
              </w:rPr>
            </w:pPr>
            <w:r>
              <w:rPr>
                <w:rFonts w:ascii="Arial" w:cs="Arial" w:eastAsia="Arial" w:hAnsi="Arial"/>
                <w:sz w:val="14"/>
                <w:szCs w:val="14"/>
                <w:color w:val="auto"/>
              </w:rPr>
              <w:t>0.9%</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200.21</w:t>
            </w:r>
          </w:p>
        </w:tc>
        <w:tc>
          <w:tcPr>
            <w:tcW w:w="106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270"/>
        </w:trPr>
        <w:tc>
          <w:tcPr>
            <w:tcW w:w="4080" w:type="dxa"/>
            <w:vAlign w:val="bottom"/>
            <w:gridSpan w:val="2"/>
          </w:tcPr>
          <w:p>
            <w:pPr>
              <w:ind w:left="40"/>
              <w:spacing w:after="0"/>
              <w:rPr>
                <w:sz w:val="20"/>
                <w:szCs w:val="20"/>
                <w:color w:val="auto"/>
              </w:rPr>
            </w:pPr>
            <w:r>
              <w:rPr>
                <w:rFonts w:ascii="Arial" w:cs="Arial" w:eastAsia="Arial" w:hAnsi="Arial"/>
                <w:sz w:val="14"/>
                <w:szCs w:val="14"/>
                <w:color w:val="auto"/>
              </w:rPr>
              <w:t>Middle East &amp; Africa</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color w:val="auto"/>
              </w:rPr>
              <w:t>107.20</w:t>
            </w:r>
          </w:p>
        </w:tc>
        <w:tc>
          <w:tcPr>
            <w:tcW w:w="800" w:type="dxa"/>
            <w:vAlign w:val="bottom"/>
          </w:tcPr>
          <w:p>
            <w:pPr>
              <w:jc w:val="right"/>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23"/>
                <w:szCs w:val="23"/>
                <w:color w:val="auto"/>
              </w:rPr>
            </w:pPr>
          </w:p>
        </w:tc>
        <w:tc>
          <w:tcPr>
            <w:tcW w:w="1700" w:type="dxa"/>
            <w:vAlign w:val="bottom"/>
          </w:tcPr>
          <w:p>
            <w:pPr>
              <w:ind w:left="640"/>
              <w:spacing w:after="0"/>
              <w:rPr>
                <w:sz w:val="20"/>
                <w:szCs w:val="20"/>
                <w:color w:val="auto"/>
              </w:rPr>
            </w:pPr>
            <w:r>
              <w:rPr>
                <w:rFonts w:ascii="Arial" w:cs="Arial" w:eastAsia="Arial" w:hAnsi="Arial"/>
                <w:sz w:val="14"/>
                <w:szCs w:val="14"/>
                <w:color w:val="auto"/>
              </w:rPr>
              <w:t>68.5%</w:t>
            </w:r>
          </w:p>
        </w:tc>
        <w:tc>
          <w:tcPr>
            <w:tcW w:w="620" w:type="dxa"/>
            <w:vAlign w:val="bottom"/>
          </w:tcPr>
          <w:p>
            <w:pPr>
              <w:ind w:left="180"/>
              <w:spacing w:after="0"/>
              <w:rPr>
                <w:sz w:val="20"/>
                <w:szCs w:val="20"/>
                <w:color w:val="auto"/>
              </w:rPr>
            </w:pPr>
            <w:r>
              <w:rPr>
                <w:rFonts w:ascii="Arial" w:cs="Arial" w:eastAsia="Arial" w:hAnsi="Arial"/>
                <w:sz w:val="14"/>
                <w:szCs w:val="14"/>
                <w:color w:val="auto"/>
              </w:rPr>
              <w:t>2.6%</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156.43</w:t>
            </w:r>
          </w:p>
        </w:tc>
        <w:tc>
          <w:tcPr>
            <w:tcW w:w="1060" w:type="dxa"/>
            <w:vAlign w:val="bottom"/>
          </w:tcPr>
          <w:p>
            <w:pPr>
              <w:jc w:val="right"/>
              <w:spacing w:after="0"/>
              <w:rPr>
                <w:sz w:val="20"/>
                <w:szCs w:val="20"/>
                <w:color w:val="auto"/>
              </w:rPr>
            </w:pPr>
            <w:r>
              <w:rPr>
                <w:rFonts w:ascii="Arial" w:cs="Arial" w:eastAsia="Arial" w:hAnsi="Arial"/>
                <w:sz w:val="14"/>
                <w:szCs w:val="14"/>
                <w:color w:val="auto"/>
              </w:rPr>
              <w:t>-3.8 %</w:t>
            </w:r>
          </w:p>
        </w:tc>
      </w:tr>
      <w:tr>
        <w:trPr>
          <w:trHeight w:val="554"/>
        </w:trPr>
        <w:tc>
          <w:tcPr>
            <w:tcW w:w="408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International - All </w:t>
            </w:r>
            <w:r>
              <w:rPr>
                <w:rFonts w:ascii="Arial" w:cs="Arial" w:eastAsia="Arial" w:hAnsi="Arial"/>
                <w:sz w:val="8"/>
                <w:szCs w:val="8"/>
                <w:b w:val="1"/>
                <w:bCs w:val="1"/>
                <w:color w:val="auto"/>
              </w:rPr>
              <w:t>1</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b w:val="1"/>
                <w:bCs w:val="1"/>
                <w:color w:val="auto"/>
              </w:rPr>
              <w:t>116.10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2.0 %</w:t>
            </w:r>
          </w:p>
        </w:tc>
        <w:tc>
          <w:tcPr>
            <w:tcW w:w="120" w:type="dxa"/>
            <w:vAlign w:val="bottom"/>
          </w:tcPr>
          <w:p>
            <w:pPr>
              <w:spacing w:after="0"/>
              <w:rPr>
                <w:sz w:val="24"/>
                <w:szCs w:val="24"/>
                <w:color w:val="auto"/>
              </w:rPr>
            </w:pPr>
          </w:p>
        </w:tc>
        <w:tc>
          <w:tcPr>
            <w:tcW w:w="1700" w:type="dxa"/>
            <w:vAlign w:val="bottom"/>
          </w:tcPr>
          <w:p>
            <w:pPr>
              <w:ind w:left="640"/>
              <w:spacing w:after="0"/>
              <w:rPr>
                <w:sz w:val="20"/>
                <w:szCs w:val="20"/>
                <w:color w:val="auto"/>
              </w:rPr>
            </w:pPr>
            <w:r>
              <w:rPr>
                <w:rFonts w:ascii="Arial" w:cs="Arial" w:eastAsia="Arial" w:hAnsi="Arial"/>
                <w:sz w:val="14"/>
                <w:szCs w:val="14"/>
                <w:b w:val="1"/>
                <w:bCs w:val="1"/>
                <w:color w:val="auto"/>
              </w:rPr>
              <w:t>71.7%</w:t>
            </w: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1.8%</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161.91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-0.6 %</w:t>
            </w:r>
          </w:p>
        </w:tc>
      </w:tr>
      <w:tr>
        <w:trPr>
          <w:trHeight w:val="554"/>
        </w:trPr>
        <w:tc>
          <w:tcPr>
            <w:tcW w:w="408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Worldwide </w:t>
            </w:r>
            <w:r>
              <w:rPr>
                <w:rFonts w:ascii="Arial" w:cs="Arial" w:eastAsia="Arial" w:hAnsi="Arial"/>
                <w:sz w:val="8"/>
                <w:szCs w:val="8"/>
                <w:b w:val="1"/>
                <w:bCs w:val="1"/>
                <w:color w:val="auto"/>
              </w:rPr>
              <w:t>2</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b w:val="1"/>
                <w:bCs w:val="1"/>
                <w:color w:val="auto"/>
              </w:rPr>
              <w:t>134.60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1.4 %</w:t>
            </w:r>
          </w:p>
        </w:tc>
        <w:tc>
          <w:tcPr>
            <w:tcW w:w="120" w:type="dxa"/>
            <w:vAlign w:val="bottom"/>
          </w:tcPr>
          <w:p>
            <w:pPr>
              <w:spacing w:after="0"/>
              <w:rPr>
                <w:sz w:val="24"/>
                <w:szCs w:val="24"/>
                <w:color w:val="auto"/>
              </w:rPr>
            </w:pPr>
          </w:p>
        </w:tc>
        <w:tc>
          <w:tcPr>
            <w:tcW w:w="1700" w:type="dxa"/>
            <w:vAlign w:val="bottom"/>
          </w:tcPr>
          <w:p>
            <w:pPr>
              <w:ind w:left="640"/>
              <w:spacing w:after="0"/>
              <w:rPr>
                <w:sz w:val="20"/>
                <w:szCs w:val="20"/>
                <w:color w:val="auto"/>
              </w:rPr>
            </w:pPr>
            <w:r>
              <w:rPr>
                <w:rFonts w:ascii="Arial" w:cs="Arial" w:eastAsia="Arial" w:hAnsi="Arial"/>
                <w:sz w:val="14"/>
                <w:szCs w:val="14"/>
                <w:b w:val="1"/>
                <w:bCs w:val="1"/>
                <w:color w:val="auto"/>
              </w:rPr>
              <w:t>73.7%</w:t>
            </w: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0.9%</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182.60</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0.2 %</w:t>
            </w:r>
          </w:p>
        </w:tc>
      </w:tr>
      <w:tr>
        <w:trPr>
          <w:trHeight w:val="668"/>
        </w:trPr>
        <w:tc>
          <w:tcPr>
            <w:tcW w:w="3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Comparable Systemwide International Properties</w:t>
            </w: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3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gridSpan w:val="8"/>
          </w:tcPr>
          <w:p>
            <w:pPr>
              <w:jc w:val="center"/>
              <w:ind w:right="248"/>
              <w:spacing w:after="0"/>
              <w:rPr>
                <w:sz w:val="20"/>
                <w:szCs w:val="20"/>
                <w:color w:val="auto"/>
              </w:rPr>
            </w:pPr>
            <w:r>
              <w:rPr>
                <w:rFonts w:ascii="Arial" w:cs="Arial" w:eastAsia="Arial" w:hAnsi="Arial"/>
                <w:sz w:val="14"/>
                <w:szCs w:val="14"/>
                <w:b w:val="1"/>
                <w:bCs w:val="1"/>
                <w:color w:val="auto"/>
                <w:w w:val="92"/>
              </w:rPr>
              <w:t>Twelve Months Ended December 31, 2019 and December 31, 2018</w:t>
            </w:r>
          </w:p>
        </w:tc>
        <w:tc>
          <w:tcPr>
            <w:tcW w:w="1060" w:type="dxa"/>
            <w:vAlign w:val="bottom"/>
            <w:tcBorders>
              <w:bottom w:val="single" w:sz="8" w:color="auto"/>
            </w:tcBorders>
          </w:tcPr>
          <w:p>
            <w:pPr>
              <w:spacing w:after="0"/>
              <w:rPr>
                <w:sz w:val="22"/>
                <w:szCs w:val="22"/>
                <w:color w:val="auto"/>
              </w:rPr>
            </w:pPr>
          </w:p>
        </w:tc>
      </w:tr>
      <w:tr>
        <w:trPr>
          <w:trHeight w:val="264"/>
        </w:trPr>
        <w:tc>
          <w:tcPr>
            <w:tcW w:w="3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REVPAR</w:t>
            </w:r>
          </w:p>
        </w:tc>
        <w:tc>
          <w:tcPr>
            <w:tcW w:w="8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center"/>
              <w:ind w:left="928"/>
              <w:spacing w:after="0"/>
              <w:rPr>
                <w:sz w:val="20"/>
                <w:szCs w:val="20"/>
                <w:color w:val="auto"/>
              </w:rPr>
            </w:pPr>
            <w:r>
              <w:rPr>
                <w:rFonts w:ascii="Arial" w:cs="Arial" w:eastAsia="Arial" w:hAnsi="Arial"/>
                <w:sz w:val="14"/>
                <w:szCs w:val="14"/>
                <w:b w:val="1"/>
                <w:bCs w:val="1"/>
                <w:color w:val="auto"/>
                <w:w w:val="92"/>
              </w:rPr>
              <w:t>Occupancy</w:t>
            </w:r>
          </w:p>
        </w:tc>
        <w:tc>
          <w:tcPr>
            <w:tcW w:w="6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Region</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8"/>
              </w:rPr>
              <w:t>vs. 2018</w:t>
            </w:r>
          </w:p>
        </w:tc>
        <w:tc>
          <w:tcPr>
            <w:tcW w:w="120" w:type="dxa"/>
            <w:vAlign w:val="bottom"/>
          </w:tcPr>
          <w:p>
            <w:pPr>
              <w:spacing w:after="0"/>
              <w:rPr>
                <w:sz w:val="22"/>
                <w:szCs w:val="22"/>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vs. 2018</w:t>
            </w: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vs. 2018</w:t>
            </w:r>
          </w:p>
        </w:tc>
      </w:tr>
      <w:tr>
        <w:trPr>
          <w:trHeight w:val="258"/>
        </w:trPr>
        <w:tc>
          <w:tcPr>
            <w:tcW w:w="4080" w:type="dxa"/>
            <w:vAlign w:val="bottom"/>
            <w:gridSpan w:val="2"/>
          </w:tcPr>
          <w:p>
            <w:pPr>
              <w:ind w:left="40"/>
              <w:spacing w:after="0"/>
              <w:rPr>
                <w:sz w:val="20"/>
                <w:szCs w:val="20"/>
                <w:color w:val="auto"/>
              </w:rPr>
            </w:pPr>
            <w:r>
              <w:rPr>
                <w:rFonts w:ascii="Arial" w:cs="Arial" w:eastAsia="Arial" w:hAnsi="Arial"/>
                <w:sz w:val="14"/>
                <w:szCs w:val="14"/>
                <w:color w:val="auto"/>
              </w:rPr>
              <w:t>Greater China</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color w:val="auto"/>
              </w:rPr>
              <w:t>83.53</w:t>
            </w:r>
          </w:p>
        </w:tc>
        <w:tc>
          <w:tcPr>
            <w:tcW w:w="800" w:type="dxa"/>
            <w:vAlign w:val="bottom"/>
          </w:tcPr>
          <w:p>
            <w:pPr>
              <w:jc w:val="right"/>
              <w:spacing w:after="0"/>
              <w:rPr>
                <w:sz w:val="20"/>
                <w:szCs w:val="20"/>
                <w:color w:val="auto"/>
              </w:rPr>
            </w:pPr>
            <w:r>
              <w:rPr>
                <w:rFonts w:ascii="Arial" w:cs="Arial" w:eastAsia="Arial" w:hAnsi="Arial"/>
                <w:sz w:val="14"/>
                <w:szCs w:val="14"/>
                <w:color w:val="auto"/>
              </w:rPr>
              <w:t>-0.1 %</w:t>
            </w:r>
          </w:p>
        </w:tc>
        <w:tc>
          <w:tcPr>
            <w:tcW w:w="120" w:type="dxa"/>
            <w:vAlign w:val="bottom"/>
          </w:tcPr>
          <w:p>
            <w:pPr>
              <w:spacing w:after="0"/>
              <w:rPr>
                <w:sz w:val="22"/>
                <w:szCs w:val="22"/>
                <w:color w:val="auto"/>
              </w:rPr>
            </w:pPr>
          </w:p>
        </w:tc>
        <w:tc>
          <w:tcPr>
            <w:tcW w:w="1700" w:type="dxa"/>
            <w:vAlign w:val="bottom"/>
          </w:tcPr>
          <w:p>
            <w:pPr>
              <w:ind w:left="640"/>
              <w:spacing w:after="0"/>
              <w:rPr>
                <w:sz w:val="20"/>
                <w:szCs w:val="20"/>
                <w:color w:val="auto"/>
              </w:rPr>
            </w:pPr>
            <w:r>
              <w:rPr>
                <w:rFonts w:ascii="Arial" w:cs="Arial" w:eastAsia="Arial" w:hAnsi="Arial"/>
                <w:sz w:val="14"/>
                <w:szCs w:val="14"/>
                <w:color w:val="auto"/>
              </w:rPr>
              <w:t>69.1%</w:t>
            </w:r>
          </w:p>
        </w:tc>
        <w:tc>
          <w:tcPr>
            <w:tcW w:w="620" w:type="dxa"/>
            <w:vAlign w:val="bottom"/>
          </w:tcPr>
          <w:p>
            <w:pPr>
              <w:ind w:left="180"/>
              <w:spacing w:after="0"/>
              <w:rPr>
                <w:sz w:val="20"/>
                <w:szCs w:val="20"/>
                <w:color w:val="auto"/>
              </w:rPr>
            </w:pPr>
            <w:r>
              <w:rPr>
                <w:rFonts w:ascii="Arial" w:cs="Arial" w:eastAsia="Arial" w:hAnsi="Arial"/>
                <w:sz w:val="14"/>
                <w:szCs w:val="14"/>
                <w:color w:val="auto"/>
              </w:rPr>
              <w:t>1.7%</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120.94</w:t>
            </w:r>
          </w:p>
        </w:tc>
        <w:tc>
          <w:tcPr>
            <w:tcW w:w="1060" w:type="dxa"/>
            <w:vAlign w:val="bottom"/>
          </w:tcPr>
          <w:p>
            <w:pPr>
              <w:jc w:val="right"/>
              <w:spacing w:after="0"/>
              <w:rPr>
                <w:sz w:val="20"/>
                <w:szCs w:val="20"/>
                <w:color w:val="auto"/>
              </w:rPr>
            </w:pPr>
            <w:r>
              <w:rPr>
                <w:rFonts w:ascii="Arial" w:cs="Arial" w:eastAsia="Arial" w:hAnsi="Arial"/>
                <w:sz w:val="14"/>
                <w:szCs w:val="14"/>
                <w:color w:val="auto"/>
              </w:rPr>
              <w:t>-2.6 %</w:t>
            </w:r>
          </w:p>
        </w:tc>
      </w:tr>
      <w:tr>
        <w:trPr>
          <w:trHeight w:val="270"/>
        </w:trPr>
        <w:tc>
          <w:tcPr>
            <w:tcW w:w="4080" w:type="dxa"/>
            <w:vAlign w:val="bottom"/>
            <w:gridSpan w:val="2"/>
          </w:tcPr>
          <w:p>
            <w:pPr>
              <w:ind w:left="40"/>
              <w:spacing w:after="0"/>
              <w:rPr>
                <w:sz w:val="20"/>
                <w:szCs w:val="20"/>
                <w:color w:val="auto"/>
              </w:rPr>
            </w:pPr>
            <w:r>
              <w:rPr>
                <w:rFonts w:ascii="Arial" w:cs="Arial" w:eastAsia="Arial" w:hAnsi="Arial"/>
                <w:sz w:val="14"/>
                <w:szCs w:val="14"/>
                <w:color w:val="auto"/>
              </w:rPr>
              <w:t>Rest of Asia Pacific</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color w:val="auto"/>
              </w:rPr>
              <w:t>125.26</w:t>
            </w:r>
          </w:p>
        </w:tc>
        <w:tc>
          <w:tcPr>
            <w:tcW w:w="800" w:type="dxa"/>
            <w:vAlign w:val="bottom"/>
          </w:tcPr>
          <w:p>
            <w:pPr>
              <w:jc w:val="right"/>
              <w:spacing w:after="0"/>
              <w:rPr>
                <w:sz w:val="20"/>
                <w:szCs w:val="20"/>
                <w:color w:val="auto"/>
              </w:rPr>
            </w:pPr>
            <w:r>
              <w:rPr>
                <w:rFonts w:ascii="Arial" w:cs="Arial" w:eastAsia="Arial" w:hAnsi="Arial"/>
                <w:sz w:val="14"/>
                <w:szCs w:val="14"/>
                <w:color w:val="auto"/>
              </w:rPr>
              <w:t>4.1 %</w:t>
            </w:r>
          </w:p>
        </w:tc>
        <w:tc>
          <w:tcPr>
            <w:tcW w:w="120" w:type="dxa"/>
            <w:vAlign w:val="bottom"/>
          </w:tcPr>
          <w:p>
            <w:pPr>
              <w:spacing w:after="0"/>
              <w:rPr>
                <w:sz w:val="23"/>
                <w:szCs w:val="23"/>
                <w:color w:val="auto"/>
              </w:rPr>
            </w:pPr>
          </w:p>
        </w:tc>
        <w:tc>
          <w:tcPr>
            <w:tcW w:w="1700" w:type="dxa"/>
            <w:vAlign w:val="bottom"/>
          </w:tcPr>
          <w:p>
            <w:pPr>
              <w:ind w:left="640"/>
              <w:spacing w:after="0"/>
              <w:rPr>
                <w:sz w:val="20"/>
                <w:szCs w:val="20"/>
                <w:color w:val="auto"/>
              </w:rPr>
            </w:pPr>
            <w:r>
              <w:rPr>
                <w:rFonts w:ascii="Arial" w:cs="Arial" w:eastAsia="Arial" w:hAnsi="Arial"/>
                <w:sz w:val="14"/>
                <w:szCs w:val="14"/>
                <w:color w:val="auto"/>
              </w:rPr>
              <w:t>75.6%</w:t>
            </w:r>
          </w:p>
        </w:tc>
        <w:tc>
          <w:tcPr>
            <w:tcW w:w="620" w:type="dxa"/>
            <w:vAlign w:val="bottom"/>
          </w:tcPr>
          <w:p>
            <w:pPr>
              <w:ind w:left="180"/>
              <w:spacing w:after="0"/>
              <w:rPr>
                <w:sz w:val="20"/>
                <w:szCs w:val="20"/>
                <w:color w:val="auto"/>
              </w:rPr>
            </w:pPr>
            <w:r>
              <w:rPr>
                <w:rFonts w:ascii="Arial" w:cs="Arial" w:eastAsia="Arial" w:hAnsi="Arial"/>
                <w:sz w:val="14"/>
                <w:szCs w:val="14"/>
                <w:color w:val="auto"/>
              </w:rPr>
              <w:t>2.4%</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165.72</w:t>
            </w:r>
          </w:p>
        </w:tc>
        <w:tc>
          <w:tcPr>
            <w:tcW w:w="1060" w:type="dxa"/>
            <w:vAlign w:val="bottom"/>
          </w:tcPr>
          <w:p>
            <w:pPr>
              <w:jc w:val="right"/>
              <w:spacing w:after="0"/>
              <w:rPr>
                <w:sz w:val="20"/>
                <w:szCs w:val="20"/>
                <w:color w:val="auto"/>
              </w:rPr>
            </w:pPr>
            <w:r>
              <w:rPr>
                <w:rFonts w:ascii="Arial" w:cs="Arial" w:eastAsia="Arial" w:hAnsi="Arial"/>
                <w:sz w:val="14"/>
                <w:szCs w:val="14"/>
                <w:color w:val="auto"/>
              </w:rPr>
              <w:t>0.8 %</w:t>
            </w:r>
          </w:p>
        </w:tc>
      </w:tr>
      <w:tr>
        <w:trPr>
          <w:trHeight w:val="270"/>
        </w:trPr>
        <w:tc>
          <w:tcPr>
            <w:tcW w:w="4080" w:type="dxa"/>
            <w:vAlign w:val="bottom"/>
            <w:gridSpan w:val="2"/>
          </w:tcPr>
          <w:p>
            <w:pPr>
              <w:ind w:left="40"/>
              <w:spacing w:after="0"/>
              <w:rPr>
                <w:sz w:val="20"/>
                <w:szCs w:val="20"/>
                <w:color w:val="auto"/>
              </w:rPr>
            </w:pPr>
            <w:r>
              <w:rPr>
                <w:rFonts w:ascii="Arial" w:cs="Arial" w:eastAsia="Arial" w:hAnsi="Arial"/>
                <w:sz w:val="14"/>
                <w:szCs w:val="14"/>
                <w:b w:val="1"/>
                <w:bCs w:val="1"/>
                <w:color w:val="auto"/>
              </w:rPr>
              <w:t>Asia Pacific</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b w:val="1"/>
                <w:bCs w:val="1"/>
                <w:color w:val="auto"/>
              </w:rPr>
              <w:t>103.98</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2.4 %</w:t>
            </w:r>
          </w:p>
        </w:tc>
        <w:tc>
          <w:tcPr>
            <w:tcW w:w="120" w:type="dxa"/>
            <w:vAlign w:val="bottom"/>
          </w:tcPr>
          <w:p>
            <w:pPr>
              <w:spacing w:after="0"/>
              <w:rPr>
                <w:sz w:val="23"/>
                <w:szCs w:val="23"/>
                <w:color w:val="auto"/>
              </w:rPr>
            </w:pPr>
          </w:p>
        </w:tc>
        <w:tc>
          <w:tcPr>
            <w:tcW w:w="1700" w:type="dxa"/>
            <w:vAlign w:val="bottom"/>
          </w:tcPr>
          <w:p>
            <w:pPr>
              <w:ind w:left="640"/>
              <w:spacing w:after="0"/>
              <w:rPr>
                <w:sz w:val="20"/>
                <w:szCs w:val="20"/>
                <w:color w:val="auto"/>
              </w:rPr>
            </w:pPr>
            <w:r>
              <w:rPr>
                <w:rFonts w:ascii="Arial" w:cs="Arial" w:eastAsia="Arial" w:hAnsi="Arial"/>
                <w:sz w:val="14"/>
                <w:szCs w:val="14"/>
                <w:b w:val="1"/>
                <w:bCs w:val="1"/>
                <w:color w:val="auto"/>
              </w:rPr>
              <w:t>72.3%</w:t>
            </w: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2.1%</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143.90</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-0.6 %</w:t>
            </w:r>
          </w:p>
        </w:tc>
      </w:tr>
      <w:tr>
        <w:trPr>
          <w:trHeight w:val="554"/>
        </w:trPr>
        <w:tc>
          <w:tcPr>
            <w:tcW w:w="4080" w:type="dxa"/>
            <w:vAlign w:val="bottom"/>
            <w:gridSpan w:val="2"/>
          </w:tcPr>
          <w:p>
            <w:pPr>
              <w:ind w:left="40"/>
              <w:spacing w:after="0"/>
              <w:rPr>
                <w:sz w:val="20"/>
                <w:szCs w:val="20"/>
                <w:color w:val="auto"/>
              </w:rPr>
            </w:pPr>
            <w:r>
              <w:rPr>
                <w:rFonts w:ascii="Arial" w:cs="Arial" w:eastAsia="Arial" w:hAnsi="Arial"/>
                <w:sz w:val="14"/>
                <w:szCs w:val="14"/>
                <w:color w:val="auto"/>
              </w:rPr>
              <w:t>Caribbean &amp; Latin America</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color w:val="auto"/>
              </w:rPr>
              <w:t>102.62</w:t>
            </w:r>
          </w:p>
        </w:tc>
        <w:tc>
          <w:tcPr>
            <w:tcW w:w="800" w:type="dxa"/>
            <w:vAlign w:val="bottom"/>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24"/>
                <w:szCs w:val="24"/>
                <w:color w:val="auto"/>
              </w:rPr>
            </w:pPr>
          </w:p>
        </w:tc>
        <w:tc>
          <w:tcPr>
            <w:tcW w:w="1700" w:type="dxa"/>
            <w:vAlign w:val="bottom"/>
          </w:tcPr>
          <w:p>
            <w:pPr>
              <w:ind w:left="640"/>
              <w:spacing w:after="0"/>
              <w:rPr>
                <w:sz w:val="20"/>
                <w:szCs w:val="20"/>
                <w:color w:val="auto"/>
              </w:rPr>
            </w:pPr>
            <w:r>
              <w:rPr>
                <w:rFonts w:ascii="Arial" w:cs="Arial" w:eastAsia="Arial" w:hAnsi="Arial"/>
                <w:sz w:val="14"/>
                <w:szCs w:val="14"/>
                <w:color w:val="auto"/>
              </w:rPr>
              <w:t>62.7%</w:t>
            </w:r>
          </w:p>
        </w:tc>
        <w:tc>
          <w:tcPr>
            <w:tcW w:w="620" w:type="dxa"/>
            <w:vAlign w:val="bottom"/>
          </w:tcPr>
          <w:p>
            <w:pPr>
              <w:ind w:left="180"/>
              <w:spacing w:after="0"/>
              <w:rPr>
                <w:sz w:val="20"/>
                <w:szCs w:val="20"/>
                <w:color w:val="auto"/>
              </w:rPr>
            </w:pPr>
            <w:r>
              <w:rPr>
                <w:rFonts w:ascii="Arial" w:cs="Arial" w:eastAsia="Arial" w:hAnsi="Arial"/>
                <w:sz w:val="14"/>
                <w:szCs w:val="14"/>
                <w:color w:val="auto"/>
              </w:rPr>
              <w:t>0.1%</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163.57</w:t>
            </w:r>
          </w:p>
        </w:tc>
        <w:tc>
          <w:tcPr>
            <w:tcW w:w="106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270"/>
        </w:trPr>
        <w:tc>
          <w:tcPr>
            <w:tcW w:w="4080" w:type="dxa"/>
            <w:vAlign w:val="bottom"/>
            <w:gridSpan w:val="2"/>
          </w:tcPr>
          <w:p>
            <w:pPr>
              <w:ind w:left="40"/>
              <w:spacing w:after="0"/>
              <w:rPr>
                <w:sz w:val="20"/>
                <w:szCs w:val="20"/>
                <w:color w:val="auto"/>
              </w:rPr>
            </w:pPr>
            <w:r>
              <w:rPr>
                <w:rFonts w:ascii="Arial" w:cs="Arial" w:eastAsia="Arial" w:hAnsi="Arial"/>
                <w:sz w:val="14"/>
                <w:szCs w:val="14"/>
                <w:color w:val="auto"/>
              </w:rPr>
              <w:t>Europe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color w:val="auto"/>
              </w:rPr>
              <w:t>130.75</w:t>
            </w:r>
          </w:p>
        </w:tc>
        <w:tc>
          <w:tcPr>
            <w:tcW w:w="800" w:type="dxa"/>
            <w:vAlign w:val="bottom"/>
          </w:tcPr>
          <w:p>
            <w:pPr>
              <w:jc w:val="right"/>
              <w:spacing w:after="0"/>
              <w:rPr>
                <w:sz w:val="20"/>
                <w:szCs w:val="20"/>
                <w:color w:val="auto"/>
              </w:rPr>
            </w:pPr>
            <w:r>
              <w:rPr>
                <w:rFonts w:ascii="Arial" w:cs="Arial" w:eastAsia="Arial" w:hAnsi="Arial"/>
                <w:sz w:val="14"/>
                <w:szCs w:val="14"/>
                <w:color w:val="auto"/>
              </w:rPr>
              <w:t>2.7 %</w:t>
            </w:r>
          </w:p>
        </w:tc>
        <w:tc>
          <w:tcPr>
            <w:tcW w:w="120" w:type="dxa"/>
            <w:vAlign w:val="bottom"/>
          </w:tcPr>
          <w:p>
            <w:pPr>
              <w:spacing w:after="0"/>
              <w:rPr>
                <w:sz w:val="23"/>
                <w:szCs w:val="23"/>
                <w:color w:val="auto"/>
              </w:rPr>
            </w:pPr>
          </w:p>
        </w:tc>
        <w:tc>
          <w:tcPr>
            <w:tcW w:w="1700" w:type="dxa"/>
            <w:vAlign w:val="bottom"/>
          </w:tcPr>
          <w:p>
            <w:pPr>
              <w:ind w:left="640"/>
              <w:spacing w:after="0"/>
              <w:rPr>
                <w:sz w:val="20"/>
                <w:szCs w:val="20"/>
                <w:color w:val="auto"/>
              </w:rPr>
            </w:pPr>
            <w:r>
              <w:rPr>
                <w:rFonts w:ascii="Arial" w:cs="Arial" w:eastAsia="Arial" w:hAnsi="Arial"/>
                <w:sz w:val="14"/>
                <w:szCs w:val="14"/>
                <w:color w:val="auto"/>
              </w:rPr>
              <w:t>73.3%</w:t>
            </w:r>
          </w:p>
        </w:tc>
        <w:tc>
          <w:tcPr>
            <w:tcW w:w="620" w:type="dxa"/>
            <w:vAlign w:val="bottom"/>
          </w:tcPr>
          <w:p>
            <w:pPr>
              <w:ind w:left="180"/>
              <w:spacing w:after="0"/>
              <w:rPr>
                <w:sz w:val="20"/>
                <w:szCs w:val="20"/>
                <w:color w:val="auto"/>
              </w:rPr>
            </w:pPr>
            <w:r>
              <w:rPr>
                <w:rFonts w:ascii="Arial" w:cs="Arial" w:eastAsia="Arial" w:hAnsi="Arial"/>
                <w:sz w:val="14"/>
                <w:szCs w:val="14"/>
                <w:color w:val="auto"/>
              </w:rPr>
              <w:t>0.8%</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178.26</w:t>
            </w:r>
          </w:p>
        </w:tc>
        <w:tc>
          <w:tcPr>
            <w:tcW w:w="106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270"/>
        </w:trPr>
        <w:tc>
          <w:tcPr>
            <w:tcW w:w="4080" w:type="dxa"/>
            <w:vAlign w:val="bottom"/>
            <w:gridSpan w:val="2"/>
          </w:tcPr>
          <w:p>
            <w:pPr>
              <w:ind w:left="40"/>
              <w:spacing w:after="0"/>
              <w:rPr>
                <w:sz w:val="20"/>
                <w:szCs w:val="20"/>
                <w:color w:val="auto"/>
              </w:rPr>
            </w:pPr>
            <w:r>
              <w:rPr>
                <w:rFonts w:ascii="Arial" w:cs="Arial" w:eastAsia="Arial" w:hAnsi="Arial"/>
                <w:sz w:val="14"/>
                <w:szCs w:val="14"/>
                <w:color w:val="auto"/>
              </w:rPr>
              <w:t>Middle East &amp; Africa</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color w:val="auto"/>
              </w:rPr>
              <w:t>101.79</w:t>
            </w:r>
          </w:p>
        </w:tc>
        <w:tc>
          <w:tcPr>
            <w:tcW w:w="800" w:type="dxa"/>
            <w:vAlign w:val="bottom"/>
          </w:tcPr>
          <w:p>
            <w:pPr>
              <w:jc w:val="right"/>
              <w:spacing w:after="0"/>
              <w:rPr>
                <w:sz w:val="20"/>
                <w:szCs w:val="20"/>
                <w:color w:val="auto"/>
              </w:rPr>
            </w:pPr>
            <w:r>
              <w:rPr>
                <w:rFonts w:ascii="Arial" w:cs="Arial" w:eastAsia="Arial" w:hAnsi="Arial"/>
                <w:sz w:val="14"/>
                <w:szCs w:val="14"/>
                <w:color w:val="auto"/>
              </w:rPr>
              <w:t>0.1 %</w:t>
            </w:r>
          </w:p>
        </w:tc>
        <w:tc>
          <w:tcPr>
            <w:tcW w:w="120" w:type="dxa"/>
            <w:vAlign w:val="bottom"/>
          </w:tcPr>
          <w:p>
            <w:pPr>
              <w:spacing w:after="0"/>
              <w:rPr>
                <w:sz w:val="23"/>
                <w:szCs w:val="23"/>
                <w:color w:val="auto"/>
              </w:rPr>
            </w:pPr>
          </w:p>
        </w:tc>
        <w:tc>
          <w:tcPr>
            <w:tcW w:w="1700" w:type="dxa"/>
            <w:vAlign w:val="bottom"/>
          </w:tcPr>
          <w:p>
            <w:pPr>
              <w:ind w:left="640"/>
              <w:spacing w:after="0"/>
              <w:rPr>
                <w:sz w:val="20"/>
                <w:szCs w:val="20"/>
                <w:color w:val="auto"/>
              </w:rPr>
            </w:pPr>
            <w:r>
              <w:rPr>
                <w:rFonts w:ascii="Arial" w:cs="Arial" w:eastAsia="Arial" w:hAnsi="Arial"/>
                <w:sz w:val="14"/>
                <w:szCs w:val="14"/>
                <w:color w:val="auto"/>
              </w:rPr>
              <w:t>67.9%</w:t>
            </w:r>
          </w:p>
        </w:tc>
        <w:tc>
          <w:tcPr>
            <w:tcW w:w="620" w:type="dxa"/>
            <w:vAlign w:val="bottom"/>
          </w:tcPr>
          <w:p>
            <w:pPr>
              <w:ind w:left="180"/>
              <w:spacing w:after="0"/>
              <w:rPr>
                <w:sz w:val="20"/>
                <w:szCs w:val="20"/>
                <w:color w:val="auto"/>
              </w:rPr>
            </w:pPr>
            <w:r>
              <w:rPr>
                <w:rFonts w:ascii="Arial" w:cs="Arial" w:eastAsia="Arial" w:hAnsi="Arial"/>
                <w:sz w:val="14"/>
                <w:szCs w:val="14"/>
                <w:color w:val="auto"/>
              </w:rPr>
              <w:t>2.3%</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149.88</w:t>
            </w:r>
          </w:p>
        </w:tc>
        <w:tc>
          <w:tcPr>
            <w:tcW w:w="1060" w:type="dxa"/>
            <w:vAlign w:val="bottom"/>
          </w:tcPr>
          <w:p>
            <w:pPr>
              <w:jc w:val="right"/>
              <w:spacing w:after="0"/>
              <w:rPr>
                <w:sz w:val="20"/>
                <w:szCs w:val="20"/>
                <w:color w:val="auto"/>
              </w:rPr>
            </w:pPr>
            <w:r>
              <w:rPr>
                <w:rFonts w:ascii="Arial" w:cs="Arial" w:eastAsia="Arial" w:hAnsi="Arial"/>
                <w:sz w:val="14"/>
                <w:szCs w:val="14"/>
                <w:color w:val="auto"/>
              </w:rPr>
              <w:t>-3.2 %</w:t>
            </w:r>
          </w:p>
        </w:tc>
      </w:tr>
      <w:tr>
        <w:trPr>
          <w:trHeight w:val="554"/>
        </w:trPr>
        <w:tc>
          <w:tcPr>
            <w:tcW w:w="408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International - All </w:t>
            </w:r>
            <w:r>
              <w:rPr>
                <w:rFonts w:ascii="Arial" w:cs="Arial" w:eastAsia="Arial" w:hAnsi="Arial"/>
                <w:sz w:val="8"/>
                <w:szCs w:val="8"/>
                <w:b w:val="1"/>
                <w:bCs w:val="1"/>
                <w:color w:val="auto"/>
              </w:rPr>
              <w:t>1</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b w:val="1"/>
                <w:bCs w:val="1"/>
                <w:color w:val="auto"/>
              </w:rPr>
              <w:t>111.51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2.2 %</w:t>
            </w:r>
          </w:p>
        </w:tc>
        <w:tc>
          <w:tcPr>
            <w:tcW w:w="120" w:type="dxa"/>
            <w:vAlign w:val="bottom"/>
          </w:tcPr>
          <w:p>
            <w:pPr>
              <w:spacing w:after="0"/>
              <w:rPr>
                <w:sz w:val="24"/>
                <w:szCs w:val="24"/>
                <w:color w:val="auto"/>
              </w:rPr>
            </w:pPr>
          </w:p>
        </w:tc>
        <w:tc>
          <w:tcPr>
            <w:tcW w:w="1700" w:type="dxa"/>
            <w:vAlign w:val="bottom"/>
          </w:tcPr>
          <w:p>
            <w:pPr>
              <w:ind w:left="640"/>
              <w:spacing w:after="0"/>
              <w:rPr>
                <w:sz w:val="20"/>
                <w:szCs w:val="20"/>
                <w:color w:val="auto"/>
              </w:rPr>
            </w:pPr>
            <w:r>
              <w:rPr>
                <w:rFonts w:ascii="Arial" w:cs="Arial" w:eastAsia="Arial" w:hAnsi="Arial"/>
                <w:sz w:val="14"/>
                <w:szCs w:val="14"/>
                <w:b w:val="1"/>
                <w:bCs w:val="1"/>
                <w:color w:val="auto"/>
              </w:rPr>
              <w:t>70.9%</w:t>
            </w: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1.5%</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157.31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0.0 %</w:t>
            </w:r>
          </w:p>
        </w:tc>
      </w:tr>
      <w:tr>
        <w:trPr>
          <w:trHeight w:val="554"/>
        </w:trPr>
        <w:tc>
          <w:tcPr>
            <w:tcW w:w="408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Worldwide </w:t>
            </w:r>
            <w:r>
              <w:rPr>
                <w:rFonts w:ascii="Arial" w:cs="Arial" w:eastAsia="Arial" w:hAnsi="Arial"/>
                <w:sz w:val="8"/>
                <w:szCs w:val="8"/>
                <w:b w:val="1"/>
                <w:bCs w:val="1"/>
                <w:color w:val="auto"/>
              </w:rPr>
              <w:t>2</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48"/>
              <w:spacing w:after="0"/>
              <w:rPr>
                <w:sz w:val="20"/>
                <w:szCs w:val="20"/>
                <w:color w:val="auto"/>
              </w:rPr>
            </w:pPr>
            <w:r>
              <w:rPr>
                <w:rFonts w:ascii="Arial" w:cs="Arial" w:eastAsia="Arial" w:hAnsi="Arial"/>
                <w:sz w:val="14"/>
                <w:szCs w:val="14"/>
                <w:b w:val="1"/>
                <w:bCs w:val="1"/>
                <w:color w:val="auto"/>
              </w:rPr>
              <w:t>117.30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1.3 %</w:t>
            </w:r>
          </w:p>
        </w:tc>
        <w:tc>
          <w:tcPr>
            <w:tcW w:w="120" w:type="dxa"/>
            <w:vAlign w:val="bottom"/>
          </w:tcPr>
          <w:p>
            <w:pPr>
              <w:spacing w:after="0"/>
              <w:rPr>
                <w:sz w:val="24"/>
                <w:szCs w:val="24"/>
                <w:color w:val="auto"/>
              </w:rPr>
            </w:pPr>
          </w:p>
        </w:tc>
        <w:tc>
          <w:tcPr>
            <w:tcW w:w="1700" w:type="dxa"/>
            <w:vAlign w:val="bottom"/>
          </w:tcPr>
          <w:p>
            <w:pPr>
              <w:ind w:left="640"/>
              <w:spacing w:after="0"/>
              <w:rPr>
                <w:sz w:val="20"/>
                <w:szCs w:val="20"/>
                <w:color w:val="auto"/>
              </w:rPr>
            </w:pPr>
            <w:r>
              <w:rPr>
                <w:rFonts w:ascii="Arial" w:cs="Arial" w:eastAsia="Arial" w:hAnsi="Arial"/>
                <w:sz w:val="14"/>
                <w:szCs w:val="14"/>
                <w:b w:val="1"/>
                <w:bCs w:val="1"/>
                <w:color w:val="auto"/>
              </w:rPr>
              <w:t>73.1%</w:t>
            </w: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0.4%</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160.55</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0.8 %</w:t>
            </w:r>
          </w:p>
        </w:tc>
      </w:tr>
    </w:tbl>
    <w:p>
      <w:pPr>
        <w:spacing w:after="0" w:line="155" w:lineRule="exact"/>
        <w:rPr>
          <w:sz w:val="20"/>
          <w:szCs w:val="20"/>
          <w:color w:val="auto"/>
        </w:rPr>
      </w:pPr>
    </w:p>
    <w:p>
      <w:pPr>
        <w:ind w:right="6340" w:firstLine="8"/>
        <w:spacing w:after="0" w:line="273" w:lineRule="auto"/>
        <w:tabs>
          <w:tab w:leader="none" w:pos="81" w:val="left"/>
        </w:tabs>
        <w:numPr>
          <w:ilvl w:val="0"/>
          <w:numId w:val="45"/>
        </w:numPr>
        <w:rPr>
          <w:rFonts w:ascii="Arial" w:cs="Arial" w:eastAsia="Arial" w:hAnsi="Arial"/>
          <w:sz w:val="9"/>
          <w:szCs w:val="9"/>
          <w:color w:val="auto"/>
        </w:rPr>
      </w:pPr>
      <w:r>
        <w:rPr>
          <w:rFonts w:ascii="Arial" w:cs="Arial" w:eastAsia="Arial" w:hAnsi="Arial"/>
          <w:sz w:val="14"/>
          <w:szCs w:val="14"/>
          <w:color w:val="auto"/>
        </w:rPr>
        <w:t xml:space="preserve">Includes Asia Pacific, Caribbean &amp; Latin America, Europe, and Middle East &amp; Africa. </w:t>
      </w:r>
      <w:r>
        <w:rPr>
          <w:rFonts w:ascii="Arial" w:cs="Arial" w:eastAsia="Arial" w:hAnsi="Arial"/>
          <w:sz w:val="8"/>
          <w:szCs w:val="8"/>
          <w:color w:val="auto"/>
        </w:rPr>
        <w:t xml:space="preserve">2 </w:t>
      </w:r>
      <w:r>
        <w:rPr>
          <w:rFonts w:ascii="Arial" w:cs="Arial" w:eastAsia="Arial" w:hAnsi="Arial"/>
          <w:sz w:val="14"/>
          <w:szCs w:val="14"/>
          <w:color w:val="auto"/>
        </w:rPr>
        <w:t>Includes North American - All and International - All.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558" w:right="239" w:bottom="1440" w:gutter="0" w:footer="0" w:header="0"/>
        </w:sectPr>
      </w:pPr>
    </w:p>
    <w:bookmarkStart w:id="24" w:name="page25"/>
    <w:bookmarkEnd w:id="24"/>
    <w:p>
      <w:pPr>
        <w:jc w:val="center"/>
        <w:ind w:right="-359"/>
        <w:spacing w:after="0"/>
        <w:rPr>
          <w:sz w:val="20"/>
          <w:szCs w:val="20"/>
          <w:color w:val="auto"/>
        </w:rPr>
      </w:pPr>
      <w:r>
        <w:rPr>
          <w:rFonts w:ascii="Arial" w:cs="Arial" w:eastAsia="Arial" w:hAnsi="Arial"/>
          <w:sz w:val="18"/>
          <w:szCs w:val="18"/>
          <w:b w:val="1"/>
          <w:bCs w:val="1"/>
          <w:color w:val="auto"/>
        </w:rPr>
        <w:t>MARRIOTT INTERNATIONAL,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ADJUSTED EBITDA</w:t>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 in millions)</w:t>
      </w:r>
    </w:p>
    <w:p>
      <w:pPr>
        <w:spacing w:after="0" w:line="200" w:lineRule="exact"/>
        <w:rPr>
          <w:sz w:val="20"/>
          <w:szCs w:val="20"/>
          <w:color w:val="auto"/>
        </w:rPr>
      </w:pP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1"/>
              </w:rPr>
              <w:t>Fiscal Year 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60" w:type="dxa"/>
            <w:vAlign w:val="bottom"/>
          </w:tcPr>
          <w:p>
            <w:pPr>
              <w:spacing w:after="0"/>
              <w:rPr>
                <w:sz w:val="13"/>
                <w:szCs w:val="13"/>
                <w:color w:val="auto"/>
              </w:rPr>
            </w:pPr>
          </w:p>
        </w:tc>
        <w:tc>
          <w:tcPr>
            <w:tcW w:w="110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right"/>
              <w:ind w:right="108"/>
              <w:spacing w:after="0" w:line="153" w:lineRule="exact"/>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580"/>
              <w:spacing w:after="0" w:line="153" w:lineRule="exact"/>
              <w:rPr>
                <w:sz w:val="20"/>
                <w:szCs w:val="20"/>
                <w:color w:val="auto"/>
              </w:rPr>
            </w:pPr>
            <w:r>
              <w:rPr>
                <w:rFonts w:ascii="Arial" w:cs="Arial" w:eastAsia="Arial" w:hAnsi="Arial"/>
                <w:sz w:val="14"/>
                <w:szCs w:val="14"/>
                <w:b w:val="1"/>
                <w:bCs w:val="1"/>
                <w:color w:val="auto"/>
                <w:w w:val="97"/>
              </w:rPr>
              <w:t>Third</w:t>
            </w:r>
          </w:p>
        </w:tc>
        <w:tc>
          <w:tcPr>
            <w:tcW w:w="11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Fourth Quarter</w:t>
            </w:r>
          </w:p>
        </w:tc>
        <w:tc>
          <w:tcPr>
            <w:tcW w:w="100" w:type="dxa"/>
            <w:vAlign w:val="bottom"/>
            <w:gridSpan w:val="2"/>
            <w:vMerge w:val="restart"/>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Quarter</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560" w:type="dxa"/>
            <w:vAlign w:val="bottom"/>
          </w:tcPr>
          <w:p>
            <w:pPr>
              <w:spacing w:after="0"/>
              <w:rPr>
                <w:sz w:val="20"/>
                <w:szCs w:val="20"/>
                <w:color w:val="auto"/>
              </w:rPr>
            </w:pPr>
            <w:r>
              <w:rPr>
                <w:rFonts w:ascii="Arial" w:cs="Arial" w:eastAsia="Arial" w:hAnsi="Arial"/>
                <w:sz w:val="14"/>
                <w:szCs w:val="14"/>
                <w:color w:val="auto"/>
              </w:rPr>
              <w:t>Net income, as reported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232</w:t>
            </w: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279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Cost reimbursement revenue</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(3,756)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3"/>
          </w:tcPr>
          <w:p>
            <w:pPr>
              <w:jc w:val="right"/>
              <w:ind w:right="68"/>
              <w:spacing w:after="0"/>
              <w:rPr>
                <w:sz w:val="20"/>
                <w:szCs w:val="20"/>
                <w:color w:val="auto"/>
              </w:rPr>
            </w:pPr>
            <w:r>
              <w:rPr>
                <w:rFonts w:ascii="Arial" w:cs="Arial" w:eastAsia="Arial" w:hAnsi="Arial"/>
                <w:sz w:val="14"/>
                <w:szCs w:val="14"/>
                <w:color w:val="auto"/>
              </w:rPr>
              <w:t>(3,903)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(3,952)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(3,988)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(15,599)</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Reimbursed expenses</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3,892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4,107</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4,070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4,370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16,439</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95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Interest expense from unconsolidated joint ventures</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Tax provision</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47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179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Contract investment amortization</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Depreciation classified in reimbursed expenses</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Depreciation and amortization from unconsolidated joint ventures</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Gain on asset dispositions</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76"/>
        </w:trPr>
        <w:tc>
          <w:tcPr>
            <w:tcW w:w="4560" w:type="dxa"/>
            <w:vAlign w:val="bottom"/>
          </w:tcPr>
          <w:p>
            <w:pPr>
              <w:spacing w:after="0"/>
              <w:rPr>
                <w:sz w:val="20"/>
                <w:szCs w:val="20"/>
                <w:color w:val="auto"/>
              </w:rPr>
            </w:pPr>
            <w:r>
              <w:rPr>
                <w:rFonts w:ascii="Arial" w:cs="Arial" w:eastAsia="Arial" w:hAnsi="Arial"/>
                <w:sz w:val="14"/>
                <w:szCs w:val="14"/>
                <w:color w:val="auto"/>
              </w:rPr>
              <w:t>Merger-related costs and charges (credits)</w:t>
            </w: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173</w:t>
            </w: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4"/>
                <w:szCs w:val="14"/>
                <w:b w:val="1"/>
                <w:bCs w:val="1"/>
                <w:color w:val="auto"/>
              </w:rPr>
              <w:t>Adjusted EBITDA **</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1"/>
                <w:szCs w:val="21"/>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821</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952</w:t>
            </w:r>
          </w:p>
        </w:tc>
        <w:tc>
          <w:tcPr>
            <w:tcW w:w="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rPr>
              <w:t>901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1"/>
                <w:szCs w:val="21"/>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901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3,575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4560" w:type="dxa"/>
            <w:vAlign w:val="bottom"/>
          </w:tcPr>
          <w:p>
            <w:pPr>
              <w:spacing w:after="0"/>
              <w:rPr>
                <w:sz w:val="20"/>
                <w:szCs w:val="20"/>
                <w:color w:val="auto"/>
              </w:rPr>
            </w:pPr>
            <w:r>
              <w:rPr>
                <w:rFonts w:ascii="Arial" w:cs="Arial" w:eastAsia="Arial" w:hAnsi="Arial"/>
                <w:sz w:val="14"/>
                <w:szCs w:val="14"/>
                <w:b w:val="1"/>
                <w:bCs w:val="1"/>
                <w:color w:val="auto"/>
              </w:rPr>
              <w:t>Increase over 2018 Adjusted EBITDA **</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411"/>
        </w:trPr>
        <w:tc>
          <w:tcPr>
            <w:tcW w:w="4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5"/>
              </w:rPr>
              <w:t xml:space="preserve">Fiscal Year 2018 </w:t>
            </w:r>
            <w:r>
              <w:rPr>
                <w:rFonts w:ascii="Arial" w:cs="Arial" w:eastAsia="Arial" w:hAnsi="Arial"/>
                <w:sz w:val="8"/>
                <w:szCs w:val="8"/>
                <w:b w:val="1"/>
                <w:bCs w:val="1"/>
                <w:color w:val="auto"/>
                <w:w w:val="95"/>
              </w:rPr>
              <w:t>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8"/>
              <w:spacing w:after="0" w:line="153"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jc w:val="right"/>
              <w:ind w:right="320"/>
              <w:spacing w:after="0" w:line="153" w:lineRule="exact"/>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3"/>
          </w:tcPr>
          <w:p>
            <w:pPr>
              <w:ind w:left="140"/>
              <w:spacing w:after="0" w:line="153" w:lineRule="exact"/>
              <w:rPr>
                <w:sz w:val="20"/>
                <w:szCs w:val="20"/>
                <w:color w:val="auto"/>
              </w:rPr>
            </w:pPr>
            <w:r>
              <w:rPr>
                <w:rFonts w:ascii="Arial" w:cs="Arial" w:eastAsia="Arial" w:hAnsi="Arial"/>
                <w:sz w:val="14"/>
                <w:szCs w:val="14"/>
                <w:b w:val="1"/>
                <w:bCs w:val="1"/>
                <w:color w:val="auto"/>
              </w:rPr>
              <w:t>Fourth</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10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560" w:type="dxa"/>
            <w:vAlign w:val="bottom"/>
          </w:tcPr>
          <w:p>
            <w:pPr>
              <w:spacing w:after="0"/>
              <w:rPr>
                <w:sz w:val="20"/>
                <w:szCs w:val="20"/>
                <w:color w:val="auto"/>
              </w:rPr>
            </w:pPr>
            <w:r>
              <w:rPr>
                <w:rFonts w:ascii="Arial" w:cs="Arial" w:eastAsia="Arial" w:hAnsi="Arial"/>
                <w:sz w:val="14"/>
                <w:szCs w:val="14"/>
                <w:color w:val="auto"/>
              </w:rPr>
              <w:t>Net income, as reported</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w w:val="85"/>
              </w:rPr>
              <w:t>420</w:t>
            </w:r>
          </w:p>
        </w:tc>
        <w:tc>
          <w:tcPr>
            <w:tcW w:w="72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667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503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Cost reimbursement revenue</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(3,776)</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4"/>
                <w:szCs w:val="14"/>
                <w:color w:val="auto"/>
                <w:w w:val="90"/>
              </w:rPr>
              <w:t>(4,048)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(3,735)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(3,984)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(15,543)</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Reimbursed expenses</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3,808</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3,964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3,855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4,151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15,778</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Interest expense from unconsolidated joint ventures</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Tax provision</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w w:val="85"/>
              </w:rPr>
              <w:t>112</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Contract investment amortization</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Depreciation classified in reimbursed expenses</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Depreciation and amortization from unconsolidated joint ventures</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Gain on asset dispositions</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(58)</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Gain on investees’ property sales</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6"/>
        </w:trPr>
        <w:tc>
          <w:tcPr>
            <w:tcW w:w="4560" w:type="dxa"/>
            <w:vAlign w:val="bottom"/>
          </w:tcPr>
          <w:p>
            <w:pPr>
              <w:spacing w:after="0"/>
              <w:rPr>
                <w:sz w:val="20"/>
                <w:szCs w:val="20"/>
                <w:color w:val="auto"/>
              </w:rPr>
            </w:pPr>
            <w:r>
              <w:rPr>
                <w:rFonts w:ascii="Arial" w:cs="Arial" w:eastAsia="Arial" w:hAnsi="Arial"/>
                <w:sz w:val="14"/>
                <w:szCs w:val="14"/>
                <w:color w:val="auto"/>
              </w:rPr>
              <w:t>Merger-related costs and charges</w:t>
            </w: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4"/>
                <w:szCs w:val="14"/>
                <w:b w:val="1"/>
                <w:bCs w:val="1"/>
                <w:color w:val="auto"/>
              </w:rPr>
              <w:t>Adjusted EBITDA **</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770</w:t>
            </w:r>
          </w:p>
        </w:tc>
        <w:tc>
          <w:tcPr>
            <w:tcW w:w="72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939</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900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864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3,473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**Denotes non-GAAP financial measures. See pages A-14 and A-15 for information about our reasons for providing these alternative financial measures and the limitations on their use.</w:t>
      </w:r>
    </w:p>
    <w:p>
      <w:pPr>
        <w:spacing w:after="0" w:line="175"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9"/>
          <w:szCs w:val="9"/>
          <w:color w:val="auto"/>
        </w:rPr>
      </w:pPr>
      <w:r>
        <w:rPr>
          <w:rFonts w:ascii="Arial" w:cs="Arial" w:eastAsia="Arial" w:hAnsi="Arial"/>
          <w:sz w:val="14"/>
          <w:szCs w:val="14"/>
          <w:color w:val="auto"/>
        </w:rPr>
        <w:t>Reflects revised information for our 2018 first, second, and third quarters as presented in our 2018 Annual Report on Form 10-K.</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60"/>
          </w:cols>
          <w:pgMar w:left="240" w:top="337" w:right="59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Net income excluding certain items </w:t>
      </w:r>
      <w:r>
        <w:rPr>
          <w:rFonts w:ascii="Arial" w:cs="Arial" w:eastAsia="Arial" w:hAnsi="Arial"/>
          <w:sz w:val="8"/>
          <w:szCs w:val="8"/>
          <w:color w:val="auto"/>
        </w:rPr>
        <w:t>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 from unconsolidated joint ventures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Tax provision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Contract investment amortization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 classified in reimbursed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Depreciation and amortization from unconsolidated joint ventures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EBITDA **</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Increase over 2019 Adjusted EBITDA**</w:t>
      </w:r>
    </w:p>
    <w:p>
      <w:pPr>
        <w:spacing w:after="0" w:line="20" w:lineRule="exact"/>
        <w:rPr>
          <w:sz w:val="20"/>
          <w:szCs w:val="20"/>
          <w:color w:val="auto"/>
        </w:rPr>
      </w:pPr>
      <w:r>
        <w:rPr>
          <w:sz w:val="20"/>
          <w:szCs w:val="20"/>
          <w:color w:val="auto"/>
        </w:rPr>
        <w:br w:type="column"/>
      </w:r>
    </w:p>
    <w:p>
      <w:pPr>
        <w:jc w:val="center"/>
        <w:ind w:right="4320"/>
        <w:spacing w:after="0"/>
        <w:rPr>
          <w:sz w:val="20"/>
          <w:szCs w:val="20"/>
          <w:color w:val="auto"/>
        </w:rPr>
      </w:pPr>
      <w:r>
        <w:rPr>
          <w:rFonts w:ascii="Arial" w:cs="Arial" w:eastAsia="Arial" w:hAnsi="Arial"/>
          <w:sz w:val="16"/>
          <w:szCs w:val="16"/>
          <w:b w:val="1"/>
          <w:bCs w:val="1"/>
          <w:color w:val="auto"/>
        </w:rPr>
        <w:t>MARRIOTT INTERNATIONAL, INC.</w:t>
      </w:r>
    </w:p>
    <w:p>
      <w:pPr>
        <w:spacing w:after="0" w:line="23" w:lineRule="exact"/>
        <w:rPr>
          <w:sz w:val="20"/>
          <w:szCs w:val="20"/>
          <w:color w:val="auto"/>
        </w:rPr>
      </w:pPr>
    </w:p>
    <w:p>
      <w:pPr>
        <w:jc w:val="center"/>
        <w:ind w:right="4320"/>
        <w:spacing w:after="0"/>
        <w:rPr>
          <w:sz w:val="20"/>
          <w:szCs w:val="20"/>
          <w:color w:val="auto"/>
        </w:rPr>
      </w:pPr>
      <w:r>
        <w:rPr>
          <w:rFonts w:ascii="Arial" w:cs="Arial" w:eastAsia="Arial" w:hAnsi="Arial"/>
          <w:sz w:val="16"/>
          <w:szCs w:val="16"/>
          <w:b w:val="1"/>
          <w:bCs w:val="1"/>
          <w:color w:val="auto"/>
        </w:rPr>
        <w:t>NON-GAAP FINANCIAL MEASURES</w:t>
      </w:r>
    </w:p>
    <w:p>
      <w:pPr>
        <w:spacing w:after="0" w:line="5" w:lineRule="exact"/>
        <w:rPr>
          <w:sz w:val="20"/>
          <w:szCs w:val="20"/>
          <w:color w:val="auto"/>
        </w:rPr>
      </w:pPr>
    </w:p>
    <w:p>
      <w:pPr>
        <w:jc w:val="center"/>
        <w:ind w:right="4320"/>
        <w:spacing w:after="0"/>
        <w:rPr>
          <w:sz w:val="20"/>
          <w:szCs w:val="20"/>
          <w:color w:val="auto"/>
        </w:rPr>
      </w:pPr>
      <w:r>
        <w:rPr>
          <w:rFonts w:ascii="Arial" w:cs="Arial" w:eastAsia="Arial" w:hAnsi="Arial"/>
          <w:sz w:val="16"/>
          <w:szCs w:val="16"/>
          <w:b w:val="1"/>
          <w:bCs w:val="1"/>
          <w:color w:val="auto"/>
        </w:rPr>
        <w:t>ADJUSTED EBITDA FORECAST</w:t>
      </w:r>
    </w:p>
    <w:p>
      <w:pPr>
        <w:jc w:val="center"/>
        <w:ind w:right="4320"/>
        <w:spacing w:after="0"/>
        <w:rPr>
          <w:sz w:val="20"/>
          <w:szCs w:val="20"/>
          <w:color w:val="auto"/>
        </w:rPr>
      </w:pPr>
      <w:r>
        <w:rPr>
          <w:rFonts w:ascii="Arial" w:cs="Arial" w:eastAsia="Arial" w:hAnsi="Arial"/>
          <w:sz w:val="16"/>
          <w:szCs w:val="16"/>
          <w:b w:val="1"/>
          <w:bCs w:val="1"/>
          <w:color w:val="auto"/>
        </w:rPr>
        <w:t>FIRST QUARTER 2020</w:t>
      </w:r>
    </w:p>
    <w:p>
      <w:pPr>
        <w:ind w:left="980"/>
        <w:spacing w:after="0"/>
        <w:rPr>
          <w:sz w:val="20"/>
          <w:szCs w:val="20"/>
          <w:color w:val="auto"/>
        </w:rPr>
      </w:pPr>
      <w:r>
        <w:rPr>
          <w:rFonts w:ascii="Arial" w:cs="Arial" w:eastAsia="Arial" w:hAnsi="Arial"/>
          <w:sz w:val="14"/>
          <w:szCs w:val="14"/>
          <w:color w:val="auto"/>
        </w:rPr>
        <w:t>($ in millions)</w:t>
      </w:r>
    </w:p>
    <w:p>
      <w:pPr>
        <w:spacing w:after="0" w:line="200" w:lineRule="exact"/>
        <w:rPr>
          <w:sz w:val="20"/>
          <w:szCs w:val="20"/>
          <w:color w:val="auto"/>
        </w:rPr>
      </w:pPr>
    </w:p>
    <w:p>
      <w:pPr>
        <w:spacing w:after="0" w:line="231" w:lineRule="exact"/>
        <w:rPr>
          <w:sz w:val="20"/>
          <w:szCs w:val="20"/>
          <w:color w:val="auto"/>
        </w:rPr>
      </w:pPr>
    </w:p>
    <w:tbl>
      <w:tblPr>
        <w:tblLayout w:type="fixed"/>
        <w:tblInd w:w="1680" w:type="dxa"/>
        <w:tblCellMar>
          <w:top w:w="0" w:type="dxa"/>
          <w:left w:w="0" w:type="dxa"/>
          <w:bottom w:w="0" w:type="dxa"/>
          <w:right w:w="0" w:type="dxa"/>
        </w:tblCellMar>
      </w:tblPr>
      <w:tr>
        <w:trPr>
          <w:trHeight w:val="192"/>
        </w:trPr>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88"/>
              </w:rPr>
              <w:t>Range</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0" w:type="dxa"/>
            <w:vAlign w:val="bottom"/>
          </w:tcPr>
          <w:p>
            <w:pPr>
              <w:spacing w:after="0"/>
              <w:rPr>
                <w:sz w:val="13"/>
                <w:szCs w:val="13"/>
                <w:color w:val="auto"/>
              </w:rPr>
            </w:pPr>
          </w:p>
        </w:tc>
        <w:tc>
          <w:tcPr>
            <w:tcW w:w="1700" w:type="dxa"/>
            <w:vAlign w:val="bottom"/>
            <w:gridSpan w:val="4"/>
          </w:tcPr>
          <w:p>
            <w:pPr>
              <w:jc w:val="center"/>
              <w:ind w:left="88"/>
              <w:spacing w:after="0" w:line="153" w:lineRule="exact"/>
              <w:rPr>
                <w:sz w:val="20"/>
                <w:szCs w:val="20"/>
                <w:color w:val="auto"/>
              </w:rPr>
            </w:pPr>
            <w:r>
              <w:rPr>
                <w:rFonts w:ascii="Arial" w:cs="Arial" w:eastAsia="Arial" w:hAnsi="Arial"/>
                <w:sz w:val="14"/>
                <w:szCs w:val="14"/>
                <w:b w:val="1"/>
                <w:bCs w:val="1"/>
                <w:color w:val="auto"/>
                <w:w w:val="92"/>
              </w:rPr>
              <w:t>Estimated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 xml:space="preserve">First Quarter 2019 </w:t>
            </w: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r>
        <w:trPr>
          <w:trHeight w:val="192"/>
        </w:trPr>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left="68"/>
              <w:spacing w:after="0"/>
              <w:rPr>
                <w:sz w:val="20"/>
                <w:szCs w:val="20"/>
                <w:color w:val="auto"/>
              </w:rPr>
            </w:pPr>
            <w:r>
              <w:rPr>
                <w:rFonts w:ascii="Arial" w:cs="Arial" w:eastAsia="Arial" w:hAnsi="Arial"/>
                <w:sz w:val="14"/>
                <w:szCs w:val="14"/>
                <w:b w:val="1"/>
                <w:bCs w:val="1"/>
                <w:color w:val="auto"/>
                <w:w w:val="96"/>
              </w:rPr>
              <w:t>First Quarter 2020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481</w:t>
            </w:r>
          </w:p>
        </w:tc>
        <w:tc>
          <w:tcPr>
            <w:tcW w:w="100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853</w:t>
            </w:r>
          </w:p>
        </w:tc>
        <w:tc>
          <w:tcPr>
            <w:tcW w:w="10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867</w:t>
            </w:r>
          </w:p>
        </w:tc>
        <w:tc>
          <w:tcPr>
            <w:tcW w:w="100" w:type="dxa"/>
            <w:vAlign w:val="bottom"/>
          </w:tcPr>
          <w:p>
            <w:pPr>
              <w:spacing w:after="0"/>
              <w:rPr>
                <w:sz w:val="20"/>
                <w:szCs w:val="20"/>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2220" w:type="dxa"/>
            <w:vAlign w:val="bottom"/>
          </w:tcPr>
          <w:p>
            <w:pPr>
              <w:jc w:val="right"/>
              <w:ind w:right="28"/>
              <w:spacing w:after="0"/>
              <w:rPr>
                <w:sz w:val="20"/>
                <w:szCs w:val="20"/>
                <w:color w:val="auto"/>
              </w:rPr>
            </w:pPr>
            <w:r>
              <w:rPr>
                <w:rFonts w:ascii="Arial" w:cs="Arial" w:eastAsia="Arial" w:hAnsi="Arial"/>
                <w:sz w:val="14"/>
                <w:szCs w:val="14"/>
                <w:b w:val="1"/>
                <w:bCs w:val="1"/>
                <w:color w:val="auto"/>
              </w:rPr>
              <w:t>821</w:t>
            </w:r>
          </w:p>
        </w:tc>
        <w:tc>
          <w:tcPr>
            <w:tcW w:w="0" w:type="dxa"/>
            <w:vAlign w:val="bottom"/>
          </w:tcPr>
          <w:p>
            <w:pPr>
              <w:spacing w:after="0"/>
              <w:rPr>
                <w:sz w:val="1"/>
                <w:szCs w:val="1"/>
                <w:color w:val="auto"/>
              </w:rPr>
            </w:pP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2740"/>
        <w:spacing w:after="0"/>
        <w:tabs>
          <w:tab w:leader="none" w:pos="414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4"/>
          <w:szCs w:val="14"/>
          <w:b w:val="1"/>
          <w:bCs w:val="1"/>
          <w:color w:val="auto"/>
        </w:rPr>
        <w:t>6%</w:t>
      </w:r>
    </w:p>
    <w:p>
      <w:pPr>
        <w:spacing w:after="0" w:line="181" w:lineRule="exact"/>
        <w:rPr>
          <w:sz w:val="20"/>
          <w:szCs w:val="20"/>
          <w:color w:val="auto"/>
        </w:rPr>
      </w:pPr>
    </w:p>
    <w:p>
      <w:pPr>
        <w:sectPr>
          <w:pgSz w:w="11900" w:h="16838" w:orient="portrait"/>
          <w:cols w:equalWidth="0" w:num="2">
            <w:col w:w="3840" w:space="480"/>
            <w:col w:w="7100"/>
          </w:cols>
          <w:pgMar w:left="240" w:top="342" w:right="239" w:bottom="1440" w:gutter="0" w:footer="0" w:header="0"/>
        </w:sectPr>
      </w:pPr>
    </w:p>
    <w:p>
      <w:pPr>
        <w:spacing w:after="0"/>
        <w:rPr>
          <w:sz w:val="20"/>
          <w:szCs w:val="20"/>
          <w:color w:val="auto"/>
        </w:rPr>
      </w:pPr>
      <w:r>
        <w:rPr>
          <w:rFonts w:ascii="Arial" w:cs="Arial" w:eastAsia="Arial" w:hAnsi="Arial"/>
          <w:sz w:val="13"/>
          <w:szCs w:val="13"/>
          <w:color w:val="auto"/>
        </w:rPr>
        <w:t>** Denotes non-GAAP financial measures. See pages A-14 and A-15 for information about our reasons for providing these alternative financial measures and the limitations on their use.</w:t>
      </w:r>
    </w:p>
    <w:p>
      <w:pPr>
        <w:spacing w:after="0" w:line="175" w:lineRule="exact"/>
        <w:rPr>
          <w:sz w:val="20"/>
          <w:szCs w:val="20"/>
          <w:color w:val="auto"/>
        </w:rPr>
      </w:pPr>
    </w:p>
    <w:p>
      <w:pPr>
        <w:ind w:left="180" w:right="300" w:hanging="172"/>
        <w:spacing w:after="0" w:line="257" w:lineRule="auto"/>
        <w:tabs>
          <w:tab w:leader="none" w:pos="180" w:val="left"/>
        </w:tabs>
        <w:numPr>
          <w:ilvl w:val="0"/>
          <w:numId w:val="47"/>
        </w:numPr>
        <w:rPr>
          <w:rFonts w:ascii="Arial" w:cs="Arial" w:eastAsia="Arial" w:hAnsi="Arial"/>
          <w:sz w:val="9"/>
          <w:szCs w:val="9"/>
          <w:color w:val="auto"/>
        </w:rPr>
      </w:pPr>
      <w:r>
        <w:rPr>
          <w:rFonts w:ascii="Arial" w:cs="Arial" w:eastAsia="Arial" w:hAnsi="Arial"/>
          <w:sz w:val="14"/>
          <w:szCs w:val="14"/>
          <w:color w:val="auto"/>
        </w:rPr>
        <w:t>Guidance excludes the impact from the Coronavirus outbreak, cost reimbursement revenue, reimbursed expenses, and merger-related costs and charges, which the company cannot accurately forecast and which may be significant, except for depreciation classified in reimbursed expenses, which is included in the caption “Depreciation classified in reimbursed expenses” above. Guidance does not reflect any additional asset sales that may occur during the year.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342" w:right="239" w:bottom="1440"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Net income excluding certain items </w:t>
      </w:r>
      <w:r>
        <w:rPr>
          <w:rFonts w:ascii="Arial" w:cs="Arial" w:eastAsia="Arial" w:hAnsi="Arial"/>
          <w:sz w:val="8"/>
          <w:szCs w:val="8"/>
          <w:color w:val="auto"/>
        </w:rPr>
        <w:t>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 from unconsolidated joint ventures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Tax provision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Contract investment amortization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 classified in reimbursed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Depreciation and amortization from unconsolidated joint ventures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EBITDA **</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Increase over 2019 Adjusted EBITDA**</w:t>
      </w:r>
    </w:p>
    <w:p>
      <w:pPr>
        <w:spacing w:after="0" w:line="20" w:lineRule="exact"/>
        <w:rPr>
          <w:sz w:val="20"/>
          <w:szCs w:val="20"/>
          <w:color w:val="auto"/>
        </w:rPr>
      </w:pPr>
      <w:r>
        <w:rPr>
          <w:sz w:val="20"/>
          <w:szCs w:val="20"/>
          <w:color w:val="auto"/>
        </w:rPr>
        <w:br w:type="column"/>
      </w:r>
    </w:p>
    <w:p>
      <w:pPr>
        <w:jc w:val="center"/>
        <w:ind w:right="4320"/>
        <w:spacing w:after="0"/>
        <w:rPr>
          <w:sz w:val="20"/>
          <w:szCs w:val="20"/>
          <w:color w:val="auto"/>
        </w:rPr>
      </w:pPr>
      <w:r>
        <w:rPr>
          <w:rFonts w:ascii="Arial" w:cs="Arial" w:eastAsia="Arial" w:hAnsi="Arial"/>
          <w:sz w:val="16"/>
          <w:szCs w:val="16"/>
          <w:b w:val="1"/>
          <w:bCs w:val="1"/>
          <w:color w:val="auto"/>
        </w:rPr>
        <w:t>MARRIOTT INTERNATIONAL, INC.</w:t>
      </w:r>
    </w:p>
    <w:p>
      <w:pPr>
        <w:spacing w:after="0" w:line="23" w:lineRule="exact"/>
        <w:rPr>
          <w:sz w:val="20"/>
          <w:szCs w:val="20"/>
          <w:color w:val="auto"/>
        </w:rPr>
      </w:pPr>
    </w:p>
    <w:p>
      <w:pPr>
        <w:jc w:val="center"/>
        <w:ind w:right="4320"/>
        <w:spacing w:after="0"/>
        <w:rPr>
          <w:sz w:val="20"/>
          <w:szCs w:val="20"/>
          <w:color w:val="auto"/>
        </w:rPr>
      </w:pPr>
      <w:r>
        <w:rPr>
          <w:rFonts w:ascii="Arial" w:cs="Arial" w:eastAsia="Arial" w:hAnsi="Arial"/>
          <w:sz w:val="16"/>
          <w:szCs w:val="16"/>
          <w:b w:val="1"/>
          <w:bCs w:val="1"/>
          <w:color w:val="auto"/>
        </w:rPr>
        <w:t>NON-GAAP FINANCIAL MEASURES</w:t>
      </w:r>
    </w:p>
    <w:p>
      <w:pPr>
        <w:spacing w:after="0" w:line="5" w:lineRule="exact"/>
        <w:rPr>
          <w:sz w:val="20"/>
          <w:szCs w:val="20"/>
          <w:color w:val="auto"/>
        </w:rPr>
      </w:pPr>
    </w:p>
    <w:p>
      <w:pPr>
        <w:jc w:val="center"/>
        <w:ind w:right="4320"/>
        <w:spacing w:after="0"/>
        <w:rPr>
          <w:sz w:val="20"/>
          <w:szCs w:val="20"/>
          <w:color w:val="auto"/>
        </w:rPr>
      </w:pPr>
      <w:r>
        <w:rPr>
          <w:rFonts w:ascii="Arial" w:cs="Arial" w:eastAsia="Arial" w:hAnsi="Arial"/>
          <w:sz w:val="16"/>
          <w:szCs w:val="16"/>
          <w:b w:val="1"/>
          <w:bCs w:val="1"/>
          <w:color w:val="auto"/>
        </w:rPr>
        <w:t>ADJUSTED EBITDA FORECAST</w:t>
      </w:r>
    </w:p>
    <w:p>
      <w:pPr>
        <w:jc w:val="center"/>
        <w:ind w:right="4320"/>
        <w:spacing w:after="0"/>
        <w:rPr>
          <w:sz w:val="20"/>
          <w:szCs w:val="20"/>
          <w:color w:val="auto"/>
        </w:rPr>
      </w:pPr>
      <w:r>
        <w:rPr>
          <w:rFonts w:ascii="Arial" w:cs="Arial" w:eastAsia="Arial" w:hAnsi="Arial"/>
          <w:sz w:val="16"/>
          <w:szCs w:val="16"/>
          <w:b w:val="1"/>
          <w:bCs w:val="1"/>
          <w:color w:val="auto"/>
        </w:rPr>
        <w:t>FULL YEAR 2020</w:t>
      </w:r>
    </w:p>
    <w:p>
      <w:pPr>
        <w:ind w:left="980"/>
        <w:spacing w:after="0"/>
        <w:rPr>
          <w:sz w:val="20"/>
          <w:szCs w:val="20"/>
          <w:color w:val="auto"/>
        </w:rPr>
      </w:pPr>
      <w:r>
        <w:rPr>
          <w:rFonts w:ascii="Arial" w:cs="Arial" w:eastAsia="Arial" w:hAnsi="Arial"/>
          <w:sz w:val="14"/>
          <w:szCs w:val="14"/>
          <w:color w:val="auto"/>
        </w:rPr>
        <w:t>($ in millions)</w:t>
      </w:r>
    </w:p>
    <w:p>
      <w:pPr>
        <w:spacing w:after="0" w:line="200" w:lineRule="exact"/>
        <w:rPr>
          <w:sz w:val="20"/>
          <w:szCs w:val="20"/>
          <w:color w:val="auto"/>
        </w:rPr>
      </w:pPr>
    </w:p>
    <w:p>
      <w:pPr>
        <w:spacing w:after="0" w:line="231" w:lineRule="exact"/>
        <w:rPr>
          <w:sz w:val="20"/>
          <w:szCs w:val="20"/>
          <w:color w:val="auto"/>
        </w:rPr>
      </w:pPr>
    </w:p>
    <w:tbl>
      <w:tblPr>
        <w:tblLayout w:type="fixed"/>
        <w:tblInd w:w="1680" w:type="dxa"/>
        <w:tblCellMar>
          <w:top w:w="0" w:type="dxa"/>
          <w:left w:w="0" w:type="dxa"/>
          <w:bottom w:w="0" w:type="dxa"/>
          <w:right w:w="0" w:type="dxa"/>
        </w:tblCellMar>
      </w:tblPr>
      <w:tr>
        <w:trPr>
          <w:trHeight w:val="192"/>
        </w:trPr>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8"/>
              </w:rPr>
              <w:t>Range</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0" w:type="dxa"/>
            <w:vAlign w:val="bottom"/>
          </w:tcPr>
          <w:p>
            <w:pPr>
              <w:spacing w:after="0"/>
              <w:rPr>
                <w:sz w:val="13"/>
                <w:szCs w:val="13"/>
                <w:color w:val="auto"/>
              </w:rPr>
            </w:pPr>
          </w:p>
        </w:tc>
        <w:tc>
          <w:tcPr>
            <w:tcW w:w="1580" w:type="dxa"/>
            <w:vAlign w:val="bottom"/>
            <w:gridSpan w:val="4"/>
          </w:tcPr>
          <w:p>
            <w:pPr>
              <w:jc w:val="center"/>
              <w:ind w:left="208"/>
              <w:spacing w:after="0" w:line="153" w:lineRule="exact"/>
              <w:rPr>
                <w:sz w:val="20"/>
                <w:szCs w:val="20"/>
                <w:color w:val="auto"/>
              </w:rPr>
            </w:pPr>
            <w:r>
              <w:rPr>
                <w:rFonts w:ascii="Arial" w:cs="Arial" w:eastAsia="Arial" w:hAnsi="Arial"/>
                <w:sz w:val="14"/>
                <w:szCs w:val="14"/>
                <w:b w:val="1"/>
                <w:bCs w:val="1"/>
                <w:color w:val="auto"/>
                <w:w w:val="92"/>
              </w:rPr>
              <w:t>Estimated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6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 xml:space="preserve">Full Year 2019 </w:t>
            </w: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r>
        <w:trPr>
          <w:trHeight w:val="192"/>
        </w:trPr>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left="208"/>
              <w:spacing w:after="0"/>
              <w:rPr>
                <w:sz w:val="20"/>
                <w:szCs w:val="20"/>
                <w:color w:val="auto"/>
              </w:rPr>
            </w:pPr>
            <w:r>
              <w:rPr>
                <w:rFonts w:ascii="Arial" w:cs="Arial" w:eastAsia="Arial" w:hAnsi="Arial"/>
                <w:sz w:val="14"/>
                <w:szCs w:val="14"/>
                <w:b w:val="1"/>
                <w:bCs w:val="1"/>
                <w:color w:val="auto"/>
                <w:w w:val="95"/>
              </w:rPr>
              <w:t>Full Year 2020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2,041</w:t>
            </w:r>
          </w:p>
        </w:tc>
        <w:tc>
          <w:tcPr>
            <w:tcW w:w="88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2,117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619</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3,700</w:t>
            </w:r>
          </w:p>
        </w:tc>
        <w:tc>
          <w:tcPr>
            <w:tcW w:w="8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3,800</w:t>
            </w:r>
          </w:p>
        </w:tc>
        <w:tc>
          <w:tcPr>
            <w:tcW w:w="100" w:type="dxa"/>
            <w:vAlign w:val="bottom"/>
          </w:tcPr>
          <w:p>
            <w:pPr>
              <w:spacing w:after="0"/>
              <w:rPr>
                <w:sz w:val="20"/>
                <w:szCs w:val="20"/>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3,575</w:t>
            </w:r>
          </w:p>
        </w:tc>
        <w:tc>
          <w:tcPr>
            <w:tcW w:w="0" w:type="dxa"/>
            <w:vAlign w:val="bottom"/>
          </w:tcPr>
          <w:p>
            <w:pPr>
              <w:spacing w:after="0"/>
              <w:rPr>
                <w:sz w:val="1"/>
                <w:szCs w:val="1"/>
                <w:color w:val="auto"/>
              </w:rPr>
            </w:pP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2740"/>
        <w:spacing w:after="0"/>
        <w:tabs>
          <w:tab w:leader="none" w:pos="414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4"/>
          <w:szCs w:val="14"/>
          <w:b w:val="1"/>
          <w:bCs w:val="1"/>
          <w:color w:val="auto"/>
        </w:rPr>
        <w:t>6%</w:t>
      </w:r>
    </w:p>
    <w:p>
      <w:pPr>
        <w:spacing w:after="0" w:line="200" w:lineRule="exact"/>
        <w:rPr>
          <w:sz w:val="20"/>
          <w:szCs w:val="20"/>
          <w:color w:val="auto"/>
        </w:rPr>
      </w:pPr>
    </w:p>
    <w:p>
      <w:pPr>
        <w:sectPr>
          <w:pgSz w:w="11900" w:h="16838" w:orient="portrait"/>
          <w:cols w:equalWidth="0" w:num="2">
            <w:col w:w="3840" w:space="480"/>
            <w:col w:w="7100"/>
          </w:cols>
          <w:pgMar w:left="240" w:top="342" w:right="23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Denotes non-GAAP financial measures. See pages A-14 and A-15 for information about our reasons for providing these alternative financial measures and the limitations on their use.</w:t>
      </w:r>
    </w:p>
    <w:p>
      <w:pPr>
        <w:spacing w:after="0" w:line="175" w:lineRule="exact"/>
        <w:rPr>
          <w:sz w:val="20"/>
          <w:szCs w:val="20"/>
          <w:color w:val="auto"/>
        </w:rPr>
      </w:pPr>
    </w:p>
    <w:p>
      <w:pPr>
        <w:ind w:left="180" w:right="300" w:hanging="172"/>
        <w:spacing w:after="0" w:line="257" w:lineRule="auto"/>
        <w:tabs>
          <w:tab w:leader="none" w:pos="180" w:val="left"/>
        </w:tabs>
        <w:numPr>
          <w:ilvl w:val="0"/>
          <w:numId w:val="48"/>
        </w:numPr>
        <w:rPr>
          <w:rFonts w:ascii="Arial" w:cs="Arial" w:eastAsia="Arial" w:hAnsi="Arial"/>
          <w:sz w:val="9"/>
          <w:szCs w:val="9"/>
          <w:color w:val="auto"/>
        </w:rPr>
      </w:pPr>
      <w:r>
        <w:rPr>
          <w:rFonts w:ascii="Arial" w:cs="Arial" w:eastAsia="Arial" w:hAnsi="Arial"/>
          <w:sz w:val="14"/>
          <w:szCs w:val="14"/>
          <w:color w:val="auto"/>
        </w:rPr>
        <w:t>Guidance excludes the impact from the Coronavirus outbreak, cost reimbursement revenue, reimbursed expenses, and merger-related costs and charges, which the company cannot accurately forecast and which may be significant, except for depreciation classified in reimbursed expenses, which is included in the caption “Depreciation classified in reimbursed expenses” above. Guidance does not reflect any additional asset sales that may occur during the year.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342" w:right="239" w:bottom="1440" w:gutter="0" w:footer="0" w:header="0"/>
          <w:type w:val="continuous"/>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MARRIOTT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EXPLANATION OF NON-GAAP FINANCIAL AND PERFORMANCE MEASURES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our press release and schedules, and on the related conference call, we report certain financial measures that are not required by, or presented in accordance with, United States generally accepted accounting principles (</w:t>
      </w:r>
      <w:r>
        <w:rPr>
          <w:rFonts w:ascii="Arial" w:cs="Arial" w:eastAsia="Arial" w:hAnsi="Arial"/>
          <w:sz w:val="16"/>
          <w:szCs w:val="16"/>
          <w:b w:val="1"/>
          <w:bCs w:val="1"/>
          <w:color w:val="auto"/>
        </w:rPr>
        <w:t>“</w:t>
      </w:r>
      <w:r>
        <w:rPr>
          <w:rFonts w:ascii="Arial" w:cs="Arial" w:eastAsia="Arial" w:hAnsi="Arial"/>
          <w:sz w:val="16"/>
          <w:szCs w:val="16"/>
          <w:color w:val="auto"/>
        </w:rPr>
        <w:t>GAAP</w:t>
      </w:r>
      <w:r>
        <w:rPr>
          <w:rFonts w:ascii="Arial" w:cs="Arial" w:eastAsia="Arial" w:hAnsi="Arial"/>
          <w:sz w:val="16"/>
          <w:szCs w:val="16"/>
          <w:b w:val="1"/>
          <w:bCs w:val="1"/>
          <w:color w:val="auto"/>
        </w:rPr>
        <w:t>”</w:t>
      </w:r>
      <w:r>
        <w:rPr>
          <w:rFonts w:ascii="Arial" w:cs="Arial" w:eastAsia="Arial" w:hAnsi="Arial"/>
          <w:sz w:val="16"/>
          <w:szCs w:val="16"/>
          <w:color w:val="auto"/>
        </w:rPr>
        <w:t>). We discuss management’s reasons for reporting these non-GAAP measures below, and the press release schedules reconcile the most directly comparable GAAP measure to each non-GAAP measure that we refer to. Although management evaluates and presents these non-GAAP measures for the reasons described below, please be aware that these non-GAAP measures have limitations and should not be considered in isolation or as a substitute for revenue, operating income, net income, earnings per share or any other comparable operating measure prescribed by GAAP. In addition, we may calculate and/or present these non-GAAP financial measures differently than measures with the same or similar names that other companies report, and as a result, the non-GAAP measures we report may not be comparable to those reported by others.</w:t>
      </w:r>
    </w:p>
    <w:p>
      <w:pPr>
        <w:spacing w:after="0" w:line="16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Adjusted Operating Income and Adjusted Operating Income Margin. </w:t>
      </w:r>
      <w:r>
        <w:rPr>
          <w:rFonts w:ascii="Arial" w:cs="Arial" w:eastAsia="Arial" w:hAnsi="Arial"/>
          <w:sz w:val="18"/>
          <w:szCs w:val="18"/>
          <w:color w:val="auto"/>
        </w:rPr>
        <w:t>Adjusted operating income and Adjusted operating income margin exclude cost</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revenue, reimbursed expenses, and merger-related costs and charges (credits). Adjusted operating income margin reflects Adjusted operating income divided by Adjusted total revenues. We believe that these are meaningful metrics because they allow for period-over-period comparisons of our ongoing operations before these items and for the reasons further described below.</w:t>
      </w:r>
    </w:p>
    <w:p>
      <w:pPr>
        <w:spacing w:after="0" w:line="194"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Adjusted Net Income and Adjusted Diluted EPS. </w:t>
      </w:r>
      <w:r>
        <w:rPr>
          <w:rFonts w:ascii="Arial" w:cs="Arial" w:eastAsia="Arial" w:hAnsi="Arial"/>
          <w:sz w:val="17"/>
          <w:szCs w:val="17"/>
          <w:color w:val="auto"/>
        </w:rPr>
        <w:t>Adjusted net income and Adjusted diluted EPS reflect our net income and diluted earnings per share</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the impact of cost reimbursement revenue, reimbursed expenses, merger-related costs and charges (credits), the gain on the sale of our ownership interest in Avendra, and the income tax effect of these adjustments, as well as the impact of the U.S. Tax Cuts and Jobs Act of 2017. We calculate the income tax effect of the adjustments using an estimated tax rate applicable to each adjustment. We have also presented Adjusted Net Income and Adjusted Diluted EPS excluding the impact of asset impairments, gains on asset dispositions, gains on investee's property sales, and the income tax effect of these adjustments. We believe that these measures are meaningful indicators of our performance because they allow for period-over-period comparisons of our ongoing operations before these items and for the reasons further described below.</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Adjusted Earnings Before Interest Expense, Taxes, Depreciation and Amortization (“Adjusted EBITDA”). </w:t>
      </w:r>
      <w:r>
        <w:rPr>
          <w:rFonts w:ascii="Arial" w:cs="Arial" w:eastAsia="Arial" w:hAnsi="Arial"/>
          <w:sz w:val="18"/>
          <w:szCs w:val="18"/>
          <w:color w:val="auto"/>
        </w:rPr>
        <w:t>Adjusted EBITDA reflects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the impact of the following items: cost reimbursement revenue and reimbursed expenses, interest expense, depreciation (including depreciation classified in “Reimbursed expenses,” as discussed below), amortization, and provision for income taxes, merger-related costs and charges (credits), and share-based compensation expense for all periods presented. When applicable, Adjusted EBITDA also excludes gains and losses on asset dispositions made by us or by our joint venture investees.</w:t>
      </w:r>
    </w:p>
    <w:p>
      <w:pPr>
        <w:spacing w:after="0" w:line="18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our presentations of Adjusted operating income and Adjusted operating income margin, Adjusted net income, Adjusted diluted EPS and Adjusted EBITDA, we exclude transaction and transition costs associated with the Starwood merger, which we record in the “Merger-related costs and charges” caption of our Income Statements, to allow for period-over period comparisons of our ongoing operations before the impact of these items. We exclude cost reimbursement revenue and reimbursed expenses, which relate to property-level and centralized programs and services that we operate for the benefit of our hotel owners. We do not operate these programs and services to generate a profit over the contract term, and accordingly, when we recover the costs that we incur for these programs and services from our hotel owners, we do not seek a mark-up. For property-level services, our owners typically reimburse us at the same time that we incur expenses. However, for centralized programs and services, our owners may reimburse us before or after we incur expenses, causing timing differences between the costs we incur and the related reimbursement from hotel owners in our operating and net income. Over the long term, these programs and services are not designed to impact our economics, either positively or negatively. Because we do not retain any such profits or losses over time, we exclude the net impact when evaluating period-over-period changes in our operating results.</w:t>
      </w:r>
    </w:p>
    <w:p>
      <w:pPr>
        <w:spacing w:after="0" w:line="2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believe that Adjusted EBITDA is a meaningful indicator of our operating performance because it permits period-over-period comparisons of our ongoing operations before these items and facilitates our comparison of results before these items with results from other lodging companies. We use Adjusted EBITDA to evaluate companies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Our Adjusted EBITDA also excludes depreciation and amortization expense which we report under “Depreciation, amortization, and other” as well as depreciation classified in “Reimbursed expenses” and “Contract investment amortization” in our Consolidated Statements of Income (our “Income Statements”), because companies utilize productive assets of different ages and use different methods of both acquiring and depreciating productive assets. Depreciation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337"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MARRIOTT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EXPLANATION OF NON-GAAP FINANCIAL AND PERFORMANCE MEASURES</w:t>
      </w:r>
    </w:p>
    <w:p>
      <w:pPr>
        <w:spacing w:after="0" w:line="200" w:lineRule="exact"/>
        <w:rPr>
          <w:sz w:val="20"/>
          <w:szCs w:val="20"/>
          <w:color w:val="auto"/>
        </w:rPr>
      </w:pPr>
    </w:p>
    <w:p>
      <w:pPr>
        <w:spacing w:after="0" w:line="2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classified in “Reimbursed expenses” reflects depreciation of Marriott-owned assets, for which we receive cash from owners to reimburse the company for its investments made for the benefit of the system. These differences can result in considerable variability in the relative costs of productive assets and the depreciation and amortization expense among companies. We exclude share-based compensation expense in all periods presented to address the considerable variability among companies in recording compensation expense because companies use share-based payment awards differently, both in the type and quantity of awards granted.</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RevPAR. </w:t>
      </w:r>
      <w:r>
        <w:rPr>
          <w:rFonts w:ascii="Arial" w:cs="Arial" w:eastAsia="Arial" w:hAnsi="Arial"/>
          <w:sz w:val="17"/>
          <w:szCs w:val="17"/>
          <w:color w:val="auto"/>
        </w:rPr>
        <w:t>In addition to the foregoing non-GAAP financial measures, we present Revenue per Available Room (“RevPAR”) as a performance measure. 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RevPAR is a meaningful indicator of our performance because it measures the period-over-period change in room revenues for comparable properties. RevPAR relates to property level revenue and may not be comparable to similarly titled measures, such as revenues, and should not be viewed as necessarily correlating with our fee revenue. We calculate RevPAR by dividing room sales (recorded in local currency) for comparable properties by room nights available for the period. We present growth in comparative RevPAR on a constant dollar basis, which we calculate by applying exchange rates for the current period to each period presented. We believe constant dollar analysis provides valuable information regarding our properties’ performance as it removes currency fluctuations from the presentation of such results.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sectPr>
      <w:pgSz w:w="11900" w:h="16838" w:orient="portrait"/>
      <w:cols w:equalWidth="0" w:num="1">
        <w:col w:w="11400"/>
      </w:cols>
      <w:pgMar w:left="240" w:top="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04"/>
    </w:lvl>
  </w:abstractNum>
  <w:abstractNum w:abstractNumId="2">
    <w:nsid w:val="4353D0CD"/>
    <w:multiLevelType w:val="hybridMultilevel"/>
    <w:lvl w:ilvl="0">
      <w:lvlJc w:val="left"/>
      <w:lvlText w:val="(%1)"/>
      <w:numFmt w:val="decimal"/>
      <w:start w:val="30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bullet"/>
      <w:start w:val="1"/>
    </w:lvl>
  </w:abstractNum>
  <w:abstractNum w:abstractNumId="6">
    <w:nsid w:val="71F32454"/>
    <w:multiLevelType w:val="hybridMultilevel"/>
    <w:lvl w:ilvl="0">
      <w:lvlJc w:val="left"/>
      <w:lvlText w:val="(%1)"/>
      <w:numFmt w:val="decimal"/>
      <w:start w:val="301"/>
    </w:lvl>
  </w:abstractNum>
  <w:abstractNum w:abstractNumId="7">
    <w:nsid w:val="2CA88611"/>
    <w:multiLevelType w:val="hybridMultilevel"/>
    <w:lvl w:ilvl="0">
      <w:lvlJc w:val="left"/>
      <w:lvlText w:val="(%1)"/>
      <w:numFmt w:val="decimal"/>
      <w:start w:val="301"/>
    </w:lvl>
  </w:abstractNum>
  <w:abstractNum w:abstractNumId="8">
    <w:nsid w:val="836C40E"/>
    <w:multiLevelType w:val="hybridMultilevel"/>
    <w:lvl w:ilvl="0">
      <w:lvlJc w:val="left"/>
      <w:lvlText w:val="(%1)"/>
      <w:numFmt w:val="decimal"/>
      <w:start w:val="301"/>
    </w:lvl>
  </w:abstractNum>
  <w:abstractNum w:abstractNumId="9">
    <w:nsid w:val="2901D82"/>
    <w:multiLevelType w:val="hybridMultilevel"/>
    <w:lvl w:ilvl="0">
      <w:lvlJc w:val="left"/>
      <w:lvlText w:val="1"/>
      <w:numFmt w:val="bullet"/>
      <w:start w:val="1"/>
    </w:lvl>
  </w:abstractNum>
  <w:abstractNum w:abstractNumId="10">
    <w:nsid w:val="3A95F874"/>
    <w:multiLevelType w:val="hybridMultilevel"/>
    <w:lvl w:ilvl="0">
      <w:lvlJc w:val="left"/>
      <w:lvlText w:val="2"/>
      <w:numFmt w:val="bullet"/>
      <w:start w:val="1"/>
    </w:lvl>
  </w:abstractNum>
  <w:abstractNum w:abstractNumId="11">
    <w:nsid w:val="8138641"/>
    <w:multiLevelType w:val="hybridMultilevel"/>
    <w:lvl w:ilvl="0">
      <w:lvlJc w:val="left"/>
      <w:lvlText w:val="3"/>
      <w:numFmt w:val="bullet"/>
      <w:start w:val="1"/>
    </w:lvl>
  </w:abstractNum>
  <w:abstractNum w:abstractNumId="12">
    <w:nsid w:val="1E7FF521"/>
    <w:multiLevelType w:val="hybridMultilevel"/>
    <w:lvl w:ilvl="0">
      <w:lvlJc w:val="left"/>
      <w:lvlText w:val="4"/>
      <w:numFmt w:val="bullet"/>
      <w:start w:val="1"/>
    </w:lvl>
  </w:abstractNum>
  <w:abstractNum w:abstractNumId="13">
    <w:nsid w:val="7C3DBD3D"/>
    <w:multiLevelType w:val="hybridMultilevel"/>
    <w:lvl w:ilvl="0">
      <w:lvlJc w:val="left"/>
      <w:lvlText w:val="5"/>
      <w:numFmt w:val="bullet"/>
      <w:start w:val="1"/>
    </w:lvl>
  </w:abstractNum>
  <w:abstractNum w:abstractNumId="14">
    <w:nsid w:val="737B8DDC"/>
    <w:multiLevelType w:val="hybridMultilevel"/>
    <w:lvl w:ilvl="0">
      <w:lvlJc w:val="left"/>
      <w:lvlText w:val="6"/>
      <w:numFmt w:val="bullet"/>
      <w:start w:val="1"/>
    </w:lvl>
  </w:abstractNum>
  <w:abstractNum w:abstractNumId="15">
    <w:nsid w:val="6CEAF087"/>
    <w:multiLevelType w:val="hybridMultilevel"/>
    <w:lvl w:ilvl="0">
      <w:lvlJc w:val="left"/>
      <w:lvlText w:val="7"/>
      <w:numFmt w:val="bullet"/>
      <w:start w:val="1"/>
    </w:lvl>
  </w:abstractNum>
  <w:abstractNum w:abstractNumId="16">
    <w:nsid w:val="22221A70"/>
    <w:multiLevelType w:val="hybridMultilevel"/>
    <w:lvl w:ilvl="0">
      <w:lvlJc w:val="left"/>
      <w:lvlText w:val="8"/>
      <w:numFmt w:val="bullet"/>
      <w:start w:val="1"/>
    </w:lvl>
  </w:abstractNum>
  <w:abstractNum w:abstractNumId="17">
    <w:nsid w:val="4516DDE9"/>
    <w:multiLevelType w:val="hybridMultilevel"/>
    <w:lvl w:ilvl="0">
      <w:lvlJc w:val="left"/>
      <w:lvlText w:val="9"/>
      <w:numFmt w:val="bullet"/>
      <w:start w:val="1"/>
    </w:lvl>
  </w:abstractNum>
  <w:abstractNum w:abstractNumId="18">
    <w:nsid w:val="3006C83E"/>
    <w:multiLevelType w:val="hybridMultilevel"/>
    <w:lvl w:ilvl="0">
      <w:lvlJc w:val="left"/>
      <w:lvlText w:val="1"/>
      <w:numFmt w:val="bullet"/>
      <w:start w:val="1"/>
    </w:lvl>
  </w:abstractNum>
  <w:abstractNum w:abstractNumId="19">
    <w:nsid w:val="614FD4A1"/>
    <w:multiLevelType w:val="hybridMultilevel"/>
    <w:lvl w:ilvl="0">
      <w:lvlJc w:val="left"/>
      <w:lvlText w:val="2"/>
      <w:numFmt w:val="bullet"/>
      <w:start w:val="1"/>
    </w:lvl>
  </w:abstractNum>
  <w:abstractNum w:abstractNumId="20">
    <w:nsid w:val="419AC241"/>
    <w:multiLevelType w:val="hybridMultilevel"/>
    <w:lvl w:ilvl="0">
      <w:lvlJc w:val="left"/>
      <w:lvlText w:val="3"/>
      <w:numFmt w:val="bullet"/>
      <w:start w:val="1"/>
    </w:lvl>
  </w:abstractNum>
  <w:abstractNum w:abstractNumId="21">
    <w:nsid w:val="5577F8E1"/>
    <w:multiLevelType w:val="hybridMultilevel"/>
    <w:lvl w:ilvl="0">
      <w:lvlJc w:val="left"/>
      <w:lvlText w:val="4"/>
      <w:numFmt w:val="bullet"/>
      <w:start w:val="1"/>
    </w:lvl>
  </w:abstractNum>
  <w:abstractNum w:abstractNumId="22">
    <w:nsid w:val="440BADFC"/>
    <w:multiLevelType w:val="hybridMultilevel"/>
    <w:lvl w:ilvl="0">
      <w:lvlJc w:val="left"/>
      <w:lvlText w:val="5"/>
      <w:numFmt w:val="bullet"/>
      <w:start w:val="1"/>
    </w:lvl>
  </w:abstractNum>
  <w:abstractNum w:abstractNumId="23">
    <w:nsid w:val="5072367"/>
    <w:multiLevelType w:val="hybridMultilevel"/>
    <w:lvl w:ilvl="0">
      <w:lvlJc w:val="left"/>
      <w:lvlText w:val="6"/>
      <w:numFmt w:val="bullet"/>
      <w:start w:val="1"/>
    </w:lvl>
  </w:abstractNum>
  <w:abstractNum w:abstractNumId="24">
    <w:nsid w:val="3804823E"/>
    <w:multiLevelType w:val="hybridMultilevel"/>
    <w:lvl w:ilvl="0">
      <w:lvlJc w:val="left"/>
      <w:lvlText w:val="7"/>
      <w:numFmt w:val="bullet"/>
      <w:start w:val="1"/>
    </w:lvl>
  </w:abstractNum>
  <w:abstractNum w:abstractNumId="25">
    <w:nsid w:val="77465F01"/>
    <w:multiLevelType w:val="hybridMultilevel"/>
    <w:lvl w:ilvl="0">
      <w:lvlJc w:val="left"/>
      <w:lvlText w:val="8"/>
      <w:numFmt w:val="bullet"/>
      <w:start w:val="1"/>
    </w:lvl>
  </w:abstractNum>
  <w:abstractNum w:abstractNumId="26">
    <w:nsid w:val="7724C67E"/>
    <w:multiLevelType w:val="hybridMultilevel"/>
    <w:lvl w:ilvl="0">
      <w:lvlJc w:val="left"/>
      <w:lvlText w:val="9"/>
      <w:numFmt w:val="bullet"/>
      <w:start w:val="1"/>
    </w:lvl>
  </w:abstractNum>
  <w:abstractNum w:abstractNumId="27">
    <w:nsid w:val="5C482A97"/>
    <w:multiLevelType w:val="hybridMultilevel"/>
    <w:lvl w:ilvl="0">
      <w:lvlJc w:val="left"/>
      <w:lvlText w:val="%1"/>
      <w:numFmt w:val="decimal"/>
      <w:start w:val="10"/>
    </w:lvl>
  </w:abstractNum>
  <w:abstractNum w:abstractNumId="28">
    <w:nsid w:val="2463B9EA"/>
    <w:multiLevelType w:val="hybridMultilevel"/>
    <w:lvl w:ilvl="0">
      <w:lvlJc w:val="left"/>
      <w:lvlText w:val="1"/>
      <w:numFmt w:val="bullet"/>
      <w:start w:val="1"/>
    </w:lvl>
  </w:abstractNum>
  <w:abstractNum w:abstractNumId="29">
    <w:nsid w:val="5E884ADC"/>
    <w:multiLevelType w:val="hybridMultilevel"/>
    <w:lvl w:ilvl="0">
      <w:lvlJc w:val="left"/>
      <w:lvlText w:val="1"/>
      <w:numFmt w:val="bullet"/>
      <w:start w:val="1"/>
    </w:lvl>
  </w:abstractNum>
  <w:abstractNum w:abstractNumId="30">
    <w:nsid w:val="51EAD36B"/>
    <w:multiLevelType w:val="hybridMultilevel"/>
    <w:lvl w:ilvl="0">
      <w:lvlJc w:val="left"/>
      <w:lvlText w:val="2"/>
      <w:numFmt w:val="bullet"/>
      <w:start w:val="1"/>
    </w:lvl>
  </w:abstractNum>
  <w:abstractNum w:abstractNumId="31">
    <w:nsid w:val="2D517796"/>
    <w:multiLevelType w:val="hybridMultilevel"/>
    <w:lvl w:ilvl="0">
      <w:lvlJc w:val="left"/>
      <w:lvlText w:val="1"/>
      <w:numFmt w:val="bullet"/>
      <w:start w:val="1"/>
    </w:lvl>
  </w:abstractNum>
  <w:abstractNum w:abstractNumId="32">
    <w:nsid w:val="580BD78F"/>
    <w:multiLevelType w:val="hybridMultilevel"/>
    <w:lvl w:ilvl="0">
      <w:lvlJc w:val="left"/>
      <w:lvlText w:val="2"/>
      <w:numFmt w:val="bullet"/>
      <w:start w:val="1"/>
    </w:lvl>
  </w:abstractNum>
  <w:abstractNum w:abstractNumId="33">
    <w:nsid w:val="153EA438"/>
    <w:multiLevelType w:val="hybridMultilevel"/>
    <w:lvl w:ilvl="0">
      <w:lvlJc w:val="left"/>
      <w:lvlText w:val="1"/>
      <w:numFmt w:val="bullet"/>
      <w:start w:val="1"/>
    </w:lvl>
  </w:abstractNum>
  <w:abstractNum w:abstractNumId="34">
    <w:nsid w:val="3855585C"/>
    <w:multiLevelType w:val="hybridMultilevel"/>
    <w:lvl w:ilvl="0">
      <w:lvlJc w:val="left"/>
      <w:lvlText w:val="2"/>
      <w:numFmt w:val="bullet"/>
      <w:start w:val="1"/>
    </w:lvl>
  </w:abstractNum>
  <w:abstractNum w:abstractNumId="35">
    <w:nsid w:val="70A64E2A"/>
    <w:multiLevelType w:val="hybridMultilevel"/>
    <w:lvl w:ilvl="0">
      <w:lvlJc w:val="left"/>
      <w:lvlText w:val="3"/>
      <w:numFmt w:val="bullet"/>
      <w:start w:val="1"/>
    </w:lvl>
  </w:abstractNum>
  <w:abstractNum w:abstractNumId="36">
    <w:nsid w:val="6A2342EC"/>
    <w:multiLevelType w:val="hybridMultilevel"/>
    <w:lvl w:ilvl="0">
      <w:lvlJc w:val="left"/>
      <w:lvlText w:val="4"/>
      <w:numFmt w:val="bullet"/>
      <w:start w:val="1"/>
    </w:lvl>
  </w:abstractNum>
  <w:abstractNum w:abstractNumId="37">
    <w:nsid w:val="2A487CB0"/>
    <w:multiLevelType w:val="hybridMultilevel"/>
    <w:lvl w:ilvl="0">
      <w:lvlJc w:val="left"/>
      <w:lvlText w:val="5"/>
      <w:numFmt w:val="bullet"/>
      <w:start w:val="1"/>
    </w:lvl>
  </w:abstractNum>
  <w:abstractNum w:abstractNumId="38">
    <w:nsid w:val="1D4ED43B"/>
    <w:multiLevelType w:val="hybridMultilevel"/>
    <w:lvl w:ilvl="0">
      <w:lvlJc w:val="left"/>
      <w:lvlText w:val="1"/>
      <w:numFmt w:val="bullet"/>
      <w:start w:val="1"/>
    </w:lvl>
  </w:abstractNum>
  <w:abstractNum w:abstractNumId="39">
    <w:nsid w:val="725A06FB"/>
    <w:multiLevelType w:val="hybridMultilevel"/>
    <w:lvl w:ilvl="0">
      <w:lvlJc w:val="left"/>
      <w:lvlText w:val="2"/>
      <w:numFmt w:val="bullet"/>
      <w:start w:val="1"/>
    </w:lvl>
  </w:abstractNum>
  <w:abstractNum w:abstractNumId="40">
    <w:nsid w:val="2CD89A32"/>
    <w:multiLevelType w:val="hybridMultilevel"/>
    <w:lvl w:ilvl="0">
      <w:lvlJc w:val="left"/>
      <w:lvlText w:val="1"/>
      <w:numFmt w:val="bullet"/>
      <w:start w:val="1"/>
    </w:lvl>
  </w:abstractNum>
  <w:abstractNum w:abstractNumId="41">
    <w:nsid w:val="57E4CCAF"/>
    <w:multiLevelType w:val="hybridMultilevel"/>
    <w:lvl w:ilvl="0">
      <w:lvlJc w:val="left"/>
      <w:lvlText w:val="2"/>
      <w:numFmt w:val="bullet"/>
      <w:start w:val="1"/>
    </w:lvl>
  </w:abstractNum>
  <w:abstractNum w:abstractNumId="42">
    <w:nsid w:val="7A6D8D3C"/>
    <w:multiLevelType w:val="hybridMultilevel"/>
    <w:lvl w:ilvl="0">
      <w:lvlJc w:val="left"/>
      <w:lvlText w:val="4"/>
      <w:numFmt w:val="bullet"/>
      <w:start w:val="1"/>
    </w:lvl>
  </w:abstractNum>
  <w:abstractNum w:abstractNumId="43">
    <w:nsid w:val="4B588F54"/>
    <w:multiLevelType w:val="hybridMultilevel"/>
    <w:lvl w:ilvl="0">
      <w:lvlJc w:val="left"/>
      <w:lvlText w:val="5"/>
      <w:numFmt w:val="bullet"/>
      <w:start w:val="1"/>
    </w:lvl>
  </w:abstractNum>
  <w:abstractNum w:abstractNumId="44">
    <w:nsid w:val="542289EC"/>
    <w:multiLevelType w:val="hybridMultilevel"/>
    <w:lvl w:ilvl="0">
      <w:lvlJc w:val="left"/>
      <w:lvlText w:val="1"/>
      <w:numFmt w:val="bullet"/>
      <w:start w:val="1"/>
    </w:lvl>
  </w:abstractNum>
  <w:abstractNum w:abstractNumId="45">
    <w:nsid w:val="6DE91B18"/>
    <w:multiLevelType w:val="hybridMultilevel"/>
    <w:lvl w:ilvl="0">
      <w:lvlJc w:val="left"/>
      <w:lvlText w:val="1"/>
      <w:numFmt w:val="bullet"/>
      <w:start w:val="1"/>
    </w:lvl>
  </w:abstractNum>
  <w:abstractNum w:abstractNumId="46">
    <w:nsid w:val="38437FDB"/>
    <w:multiLevelType w:val="hybridMultilevel"/>
    <w:lvl w:ilvl="0">
      <w:lvlJc w:val="left"/>
      <w:lvlText w:val="1"/>
      <w:numFmt w:val="bullet"/>
      <w:start w:val="1"/>
    </w:lvl>
  </w:abstractNum>
  <w:abstractNum w:abstractNumId="47">
    <w:nsid w:val="7644A45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2020-02-26T16:26:23Z</dcterms:created>
  <dcterms:modified xsi:type="dcterms:W3CDTF">2020-02-26T16:26:23Z</dcterms:modified>
</cp:coreProperties>
</file>