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Harrison Deborah Marriott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7750 WISCONSIN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INTERNATIONAL INC /MD/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Member of 13(d) group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765"/>
        <w:gridCol w:w="930"/>
        <w:gridCol w:w="801"/>
        <w:gridCol w:w="617"/>
        <w:gridCol w:w="332"/>
        <w:gridCol w:w="725"/>
        <w:gridCol w:w="392"/>
        <w:gridCol w:w="848"/>
        <w:gridCol w:w="1330"/>
        <w:gridCol w:w="936"/>
        <w:gridCol w:w="15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76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76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Stock-Dir. Def. Stock Comp Plan-1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1,962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43,631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9,845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2024 Trust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695,861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1974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16,799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285,883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240,000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Generations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21,343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Grandchildren Multi-Trust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22,027,118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Family Enterprises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70,203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III Trustee 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60,636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III Trustee 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48,327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III Trustee 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251,000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JWM Insurance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34,920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MCH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57,420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MCH Irrev.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90,561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SMH Investments,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12,658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SMH Irrev.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176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175,210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Harrison Generation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will vest on a daily pro rata basis over the 12-month period following the grant and will be distributed on the one-year anniversary of the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disclaims beneficial ownership of the reported securities except to the extent of her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P.C. Wright,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9807" TargetMode="External"/><Relationship Id="rId5" Type="http://schemas.openxmlformats.org/officeDocument/2006/relationships/hyperlink" Target="http://www.sec.gov/cgi-bin/browse-edgar?action=getcompany&amp;CIK=00010482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765</Words>
  <Characters>4053</Characters>
  <CharactersWithSpaces>4706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