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(Initial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Marriott International, Inc.</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571903202</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571903202</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4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9,442,000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320"/>
        <w:spacing w:after="0"/>
        <w:rPr>
          <w:sz w:val="20"/>
          <w:szCs w:val="20"/>
          <w:color w:val="auto"/>
        </w:rPr>
      </w:pPr>
      <w:r>
        <w:rPr>
          <w:rFonts w:ascii="Courier New" w:cs="Courier New" w:eastAsia="Courier New" w:hAnsi="Courier New"/>
          <w:sz w:val="18"/>
          <w:szCs w:val="18"/>
          <w:color w:val="auto"/>
        </w:rPr>
        <w:t>10,389,800 shares (shared)</w:t>
      </w:r>
    </w:p>
    <w:p>
      <w:pPr>
        <w:ind w:left="4640"/>
        <w:spacing w:after="0" w:line="238" w:lineRule="auto"/>
        <w:rPr>
          <w:sz w:val="20"/>
          <w:szCs w:val="20"/>
          <w:color w:val="auto"/>
        </w:rPr>
      </w:pPr>
      <w:r>
        <w:rPr>
          <w:rFonts w:ascii="Courier New" w:cs="Courier New" w:eastAsia="Courier New" w:hAnsi="Courier New"/>
          <w:sz w:val="18"/>
          <w:szCs w:val="18"/>
          <w:color w:val="auto"/>
        </w:rPr>
        <w:t>2,399,000 shares (No Vote)</w:t>
      </w:r>
    </w:p>
    <w:p>
      <w:pPr>
        <w:spacing w:after="0" w:line="5"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sectPr>
          <w:pgSz w:w="11900" w:h="16855" w:orient="portrait"/>
          <w:cols w:equalWidth="0" w:num="1">
            <w:col w:w="10219"/>
          </w:cols>
          <w:pgMar w:left="240" w:top="244" w:right="1440" w:bottom="0" w:gutter="0" w:footer="0" w:header="0"/>
        </w:sectPr>
      </w:pPr>
    </w:p>
    <w:bookmarkStart w:id="1" w:name="page2"/>
    <w:bookmarkEnd w:id="1"/>
    <w:p>
      <w:pPr>
        <w:ind w:left="4540" w:hanging="845"/>
        <w:spacing w:after="0"/>
        <w:tabs>
          <w:tab w:leader="none" w:pos="4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11,813,000 shares</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320" w:hanging="625"/>
        <w:spacing w:after="0"/>
        <w:tabs>
          <w:tab w:leader="none" w:pos="4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10,389,800 shares (Shared)</w:t>
      </w:r>
    </w:p>
    <w:p>
      <w:pPr>
        <w:ind w:left="4640"/>
        <w:spacing w:after="0" w:line="238" w:lineRule="auto"/>
        <w:rPr>
          <w:sz w:val="20"/>
          <w:szCs w:val="20"/>
          <w:color w:val="auto"/>
        </w:rPr>
      </w:pPr>
      <w:r>
        <w:rPr>
          <w:rFonts w:ascii="Courier New" w:cs="Courier New" w:eastAsia="Courier New" w:hAnsi="Courier New"/>
          <w:sz w:val="18"/>
          <w:szCs w:val="18"/>
          <w:color w:val="auto"/>
        </w:rPr>
        <w:t>28,000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640"/>
        <w:spacing w:after="0" w:line="238" w:lineRule="auto"/>
        <w:rPr>
          <w:sz w:val="20"/>
          <w:szCs w:val="20"/>
          <w:color w:val="auto"/>
        </w:rPr>
      </w:pPr>
      <w:r>
        <w:rPr>
          <w:rFonts w:ascii="Courier New" w:cs="Courier New" w:eastAsia="Courier New" w:hAnsi="Courier New"/>
          <w:sz w:val="18"/>
          <w:szCs w:val="18"/>
          <w:color w:val="auto"/>
        </w:rPr>
        <w:t>(Discretionary &amp; Non-discretionary Accounts)</w:t>
      </w:r>
    </w:p>
    <w:p>
      <w:pPr>
        <w:ind w:left="860"/>
        <w:spacing w:after="0"/>
        <w:rPr>
          <w:sz w:val="20"/>
          <w:szCs w:val="20"/>
          <w:color w:val="auto"/>
        </w:rPr>
      </w:pPr>
      <w:r>
        <w:rPr>
          <w:rFonts w:ascii="Courier New" w:cs="Courier New" w:eastAsia="Courier New" w:hAnsi="Courier New"/>
          <w:sz w:val="18"/>
          <w:szCs w:val="18"/>
          <w:color w:val="auto"/>
        </w:rPr>
        <w:t>22,230,800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68"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-X- See Items 4(c)(ii) and (iv)</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9.2 %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571903202</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(See Item 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Marriott International, Inc.</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10400 Fernwood Road</w:t>
      </w:r>
    </w:p>
    <w:p>
      <w:pPr>
        <w:ind w:left="1060"/>
        <w:spacing w:after="0" w:line="238" w:lineRule="auto"/>
        <w:rPr>
          <w:sz w:val="20"/>
          <w:szCs w:val="20"/>
          <w:color w:val="auto"/>
        </w:rPr>
      </w:pPr>
      <w:r>
        <w:rPr>
          <w:rFonts w:ascii="Courier New" w:cs="Courier New" w:eastAsia="Courier New" w:hAnsi="Courier New"/>
          <w:sz w:val="18"/>
          <w:szCs w:val="18"/>
          <w:color w:val="auto"/>
        </w:rPr>
        <w:t>Bethesda, Maryland 20817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and (b). Names and Principal Business Addresses of Persons</w:t>
      </w:r>
    </w:p>
    <w:p>
      <w:pPr>
        <w:sectPr>
          <w:pgSz w:w="11900" w:h="16838" w:orient="portrait"/>
          <w:cols w:equalWidth="0" w:num="1">
            <w:col w:w="10219"/>
          </w:cols>
          <w:pgMar w:left="240" w:top="136" w:right="1440" w:bottom="0" w:gutter="0" w:footer="0" w:header="0"/>
        </w:sectPr>
      </w:pPr>
    </w:p>
    <w:bookmarkStart w:id="2" w:name="page3"/>
    <w:bookmarkEnd w:id="2"/>
    <w:p>
      <w:pPr>
        <w:ind w:left="960"/>
        <w:spacing w:after="0"/>
        <w:rPr>
          <w:sz w:val="20"/>
          <w:szCs w:val="20"/>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700" w:right="4839" w:hanging="1692"/>
        <w:spacing w:after="0" w:line="236" w:lineRule="auto"/>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700" w:hanging="1692"/>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700" w:right="4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280" w:right="3259" w:hanging="73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A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571903202</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ind w:left="120"/>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6"/>
          <w:szCs w:val="16"/>
          <w:color w:val="auto"/>
        </w:rPr>
        <w:t>(e.) 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84"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(g.) 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12/31/98)</w:t>
      </w:r>
    </w:p>
    <w:p>
      <w:pPr>
        <w:ind w:left="1280"/>
        <w:spacing w:after="0" w:line="238" w:lineRule="auto"/>
        <w:rPr>
          <w:sz w:val="20"/>
          <w:szCs w:val="20"/>
          <w:color w:val="auto"/>
        </w:rPr>
      </w:pPr>
      <w:r>
        <w:rPr>
          <w:rFonts w:ascii="Courier New" w:cs="Courier New" w:eastAsia="Courier New" w:hAnsi="Courier New"/>
          <w:sz w:val="18"/>
          <w:szCs w:val="18"/>
          <w:color w:val="auto"/>
        </w:rPr>
        <w:t>22,230,800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280"/>
        <w:spacing w:after="0" w:line="238" w:lineRule="auto"/>
        <w:rPr>
          <w:sz w:val="20"/>
          <w:szCs w:val="20"/>
          <w:color w:val="auto"/>
        </w:rPr>
      </w:pPr>
      <w:r>
        <w:rPr>
          <w:rFonts w:ascii="Courier New" w:cs="Courier New" w:eastAsia="Courier New" w:hAnsi="Courier New"/>
          <w:sz w:val="18"/>
          <w:szCs w:val="18"/>
          <w:color w:val="auto"/>
        </w:rPr>
        <w:t>9.2 %</w:t>
      </w:r>
    </w:p>
    <w:p>
      <w:pPr>
        <w:spacing w:after="0" w:line="207" w:lineRule="exact"/>
        <w:rPr>
          <w:sz w:val="20"/>
          <w:szCs w:val="20"/>
          <w:color w:val="auto"/>
        </w:rPr>
      </w:pPr>
    </w:p>
    <w:p>
      <w:pPr>
        <w:ind w:left="1060" w:right="3159"/>
        <w:spacing w:after="0" w:line="235" w:lineRule="auto"/>
        <w:rPr>
          <w:sz w:val="20"/>
          <w:szCs w:val="20"/>
          <w:color w:val="auto"/>
        </w:rPr>
      </w:pPr>
      <w:r>
        <w:rPr>
          <w:rFonts w:ascii="Courier New" w:cs="Courier New" w:eastAsia="Courier New" w:hAnsi="Courier New"/>
          <w:sz w:val="18"/>
          <w:szCs w:val="18"/>
          <w:color w:val="auto"/>
        </w:rPr>
        <w:t>Above percentage is based on 242,775,247 shares of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9,442,000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- 10,389,800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Fund - 10,103,600</w:t>
      </w:r>
    </w:p>
    <w:p>
      <w:pPr>
        <w:ind w:left="2120"/>
        <w:spacing w:after="0" w:line="238" w:lineRule="auto"/>
        <w:rPr>
          <w:sz w:val="20"/>
          <w:szCs w:val="20"/>
          <w:color w:val="auto"/>
        </w:rPr>
      </w:pPr>
      <w:r>
        <w:rPr>
          <w:rFonts w:ascii="Courier New" w:cs="Courier New" w:eastAsia="Courier New" w:hAnsi="Courier New"/>
          <w:sz w:val="18"/>
          <w:szCs w:val="18"/>
          <w:color w:val="auto"/>
        </w:rPr>
        <w:t>Longleaf Partners Realty Fund - 286,200</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- 2,399,000</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(iii). sole power to dispose or to direct the disposition</w:t>
      </w:r>
    </w:p>
    <w:p>
      <w:pPr>
        <w:sectPr>
          <w:pgSz w:w="11900" w:h="16838" w:orient="portrait"/>
          <w:cols w:equalWidth="0" w:num="1">
            <w:col w:w="10219"/>
          </w:cols>
          <w:pgMar w:left="240" w:top="136" w:right="1440" w:bottom="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11,813,000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- 10,389,800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Fund - 10,103,600</w:t>
      </w:r>
    </w:p>
    <w:p>
      <w:pPr>
        <w:ind w:left="2120"/>
        <w:spacing w:after="0" w:line="238" w:lineRule="auto"/>
        <w:rPr>
          <w:sz w:val="20"/>
          <w:szCs w:val="20"/>
          <w:color w:val="auto"/>
        </w:rPr>
      </w:pPr>
      <w:r>
        <w:rPr>
          <w:rFonts w:ascii="Courier New" w:cs="Courier New" w:eastAsia="Courier New" w:hAnsi="Courier New"/>
          <w:sz w:val="18"/>
          <w:szCs w:val="18"/>
          <w:color w:val="auto"/>
        </w:rPr>
        <w:t>Longleaf Partners Realty Fund - 286,200</w:t>
      </w:r>
    </w:p>
    <w:p>
      <w:pPr>
        <w:spacing w:after="0" w:line="202"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No Power - 28,000 shares</w:t>
      </w:r>
    </w:p>
    <w:p>
      <w:pPr>
        <w:spacing w:after="0" w:line="201"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w:t>
      </w: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ind w:left="860"/>
        <w:spacing w:after="0" w:line="238" w:lineRule="auto"/>
        <w:rPr>
          <w:sz w:val="20"/>
          <w:szCs w:val="20"/>
          <w:color w:val="auto"/>
        </w:rPr>
      </w:pPr>
      <w:r>
        <w:rPr>
          <w:rFonts w:ascii="Courier New" w:cs="Courier New" w:eastAsia="Courier New" w:hAnsi="Courier New"/>
          <w:sz w:val="18"/>
          <w:szCs w:val="18"/>
          <w:color w:val="auto"/>
        </w:rPr>
        <w:t>Acquired the Security Being Reported on By the Parent</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Holding Company:</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5, 1999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D. Reaves</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w:t>
      </w:r>
    </w:p>
    <w:p>
      <w:pPr>
        <w:spacing w:after="0" w:line="20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the 5th day of February, 1999.</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D. Reaves</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MAR13G.doc</w:t>
      </w:r>
    </w:p>
    <w:p>
      <w:pPr>
        <w:spacing w:after="0" w:line="238" w:lineRule="auto"/>
        <w:rPr>
          <w:sz w:val="20"/>
          <w:szCs w:val="20"/>
          <w:color w:val="auto"/>
        </w:rPr>
      </w:pPr>
      <w:r>
        <w:rPr>
          <w:rFonts w:ascii="Courier New" w:cs="Courier New" w:eastAsia="Courier New" w:hAnsi="Courier New"/>
          <w:sz w:val="18"/>
          <w:szCs w:val="18"/>
          <w:color w:val="auto"/>
        </w:rPr>
        <w:t>SCHEDULE 13G - Marriott International , Inc. ("Issuer")</w:t>
      </w:r>
    </w:p>
    <w:p>
      <w:pPr>
        <w:spacing w:after="0"/>
        <w:rPr>
          <w:sz w:val="20"/>
          <w:szCs w:val="20"/>
          <w:color w:val="auto"/>
        </w:rPr>
      </w:pPr>
      <w:r>
        <w:rPr>
          <w:rFonts w:ascii="Courier New" w:cs="Courier New" w:eastAsia="Courier New" w:hAnsi="Courier New"/>
          <w:sz w:val="18"/>
          <w:szCs w:val="18"/>
          <w:color w:val="auto"/>
        </w:rPr>
        <w:t>Initial Filing</w:t>
      </w:r>
    </w:p>
    <w:p>
      <w:pPr>
        <w:spacing w:after="0" w:line="237" w:lineRule="auto"/>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MAR13G.doc</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2019-12-14T17:17:21Z</dcterms:created>
  <dcterms:modified xsi:type="dcterms:W3CDTF">2019-12-14T17:17:21Z</dcterms:modified>
</cp:coreProperties>
</file>