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2127d8k.htm"/>
      <w:bookmarkStart w:id="1" w:name="ksd1621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858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342900"/>
                    </a:xfrm>
                    <a:prstGeom prst="rect">
                      <a:avLst/>
                    </a:prstGeom>
                  </pic:spPr>
                </pic:pic>
              </a:graphicData>
            </a:graphic>
          </wp:inline>
        </w:drawing>
      </w:r>
    </w:p>
    <w:p>
      <w:pPr>
        <w:pStyle w:val="TextBody"/>
        <w:bidi w:val="0"/>
        <w:spacing w:before="12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1-13881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52-2055918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4640"/>
        <w:gridCol w:w="60"/>
        <w:gridCol w:w="1145"/>
      </w:tblGrid>
      <w:tr>
        <w:trPr/>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center"/>
              <w:rPr>
                <w:b/>
              </w:rPr>
            </w:pPr>
            <w:r>
              <w:rPr>
                <w:b/>
              </w:rPr>
              <w:t>7750 Wisconsin Avenue, Bethesda, 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20814</w:t>
            </w:r>
          </w:p>
        </w:tc>
      </w:tr>
      <w:tr>
        <w:trPr/>
        <w:tc>
          <w:tcPr>
            <w:tcW w:w="464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(301) 380-3000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605" w:type="dxa"/>
        <w:jc w:val="left"/>
        <w:tblInd w:w="0" w:type="dxa"/>
        <w:tblLayout w:type="fixed"/>
        <w:tblCellMar>
          <w:top w:w="0" w:type="dxa"/>
          <w:left w:w="0" w:type="dxa"/>
          <w:bottom w:w="0" w:type="dxa"/>
          <w:right w:w="0" w:type="dxa"/>
        </w:tblCellMar>
      </w:tblPr>
      <w:tblGrid>
        <w:gridCol w:w="3920"/>
        <w:gridCol w:w="60"/>
        <w:gridCol w:w="740"/>
        <w:gridCol w:w="60"/>
        <w:gridCol w:w="2825"/>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20" w:type="dxa"/>
            <w:tcBorders/>
            <w:vAlign w:val="center"/>
          </w:tcPr>
          <w:p>
            <w:pPr>
              <w:pStyle w:val="TableContents"/>
              <w:bidi w:val="0"/>
              <w:spacing w:before="0" w:after="283"/>
              <w:jc w:val="center"/>
              <w:rPr/>
            </w:pPr>
            <w:r>
              <w:rPr/>
              <w:t>Class A 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MAR</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Marriott International, Inc. (“we”) entered into a Terms Agreement with J.P. Morgan Securities LLC, PNC Capital Markets LLC, Truist Securities, Inc., U.S. Bancorp Investments, Inc. and the other Underwriters listed on Schedule I thereto (the “Terms Agreement,” which incorporates by reference the Underwriting Agreement General Terms and Provisions, dated March 3, 2021 (which we previously filed on March 5, 2021 as Exhibit 1.1 to our Current Report on Form 8-K)) to issue $250,000,000 aggregate principal amount of our 4.875% Series NN Notes due 2029 (the “Series NN Notes”) and $1,000,000,000 aggregate principal amount of our 5.650% Series YY Notes due 2036 (the “Series YY Notes” and, together with the Series NN Notes, the “Notes”). We issued the Notes on August 13, 2026. The Series NN Notes issued pursuant to the Terms Agreement (the “New Series NN Notes”) constitute an additional issuance of, and a single series (the “Series NN”) with, the $500 million aggregate principal amount of 4.875% Series NN Notes due 2029 which we issued on February 22, 2024. </w:t>
      </w:r>
    </w:p>
    <w:p>
      <w:pPr>
        <w:pStyle w:val="TextBody"/>
        <w:bidi w:val="0"/>
        <w:spacing w:before="240" w:after="0"/>
        <w:jc w:val="left"/>
        <w:rPr>
          <w:rFonts w:ascii="Times New Roman" w:hAnsi="Times New Roman"/>
          <w:sz w:val="20"/>
        </w:rPr>
      </w:pPr>
      <w:r>
        <w:rPr>
          <w:rFonts w:ascii="Times New Roman" w:hAnsi="Times New Roman"/>
          <w:sz w:val="20"/>
        </w:rPr>
        <w:t xml:space="preserve">Net proceeds of the offering are approximately $1.233 billion, after deducting the underwriting discount and estimated expenses of the offering and excluding accrued interest on the New Series NN Notes from May 15, 2026 through the day before the settlement date, which the purchasers of the New Series NN Notes paid to us at closing. We intend to use the net proceeds from the offering of the Notes for general corporate purposes, which may include working capital, capital expenditures, acquisitions, stock repurchases or repayment of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on the Series NN Notes on May 15 and November 15 of each year, commencing on November 15, 2026 and we will pay interest on the Series YY Notes on March 15 and September 15 of each year, commencing on March 15, 2027. The Series NN Notes will mature on May 15, 2029 and the Series YY Notes will mature on September 15, 2036. We may redeem the Notes, in whole or in part, at our option, under the terms provided in the applicable Form of Note. </w:t>
      </w:r>
    </w:p>
    <w:p>
      <w:pPr>
        <w:pStyle w:val="TextBody"/>
        <w:bidi w:val="0"/>
        <w:spacing w:before="240" w:after="0"/>
        <w:jc w:val="left"/>
        <w:rPr>
          <w:rFonts w:ascii="Times New Roman" w:hAnsi="Times New Roman"/>
          <w:sz w:val="20"/>
        </w:rPr>
      </w:pPr>
      <w:r>
        <w:rPr>
          <w:rFonts w:ascii="Times New Roman" w:hAnsi="Times New Roman"/>
          <w:sz w:val="20"/>
        </w:rPr>
        <w:t xml:space="preserve">We issued the Notes under an indenture dated as of November 16, 1998 with The Bank of New York Mellon, as successor to JPMorgan Chase Bank, N.A., formerly known as The Chase Manhattan Bank, as trustee (the “Indenture”) (which we previously filed as Exhibit 4.1 to our Annual Report on Form 10-K for the fiscal year ended January 1, 1999). The Series NN was established by the Indenture Officers’ Certificate, dated February 22, 2024, pursuant to Section 301 of the Indenture (which we previously filed on February 22, 2024 as Exhibit 4.3 to our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public offering of the Notes, we filed a Prospectus dated February 13, 2024 and a Prospectus Supplement dated August 11, 2026 with the Securities and Exchange Commission, each of which forms a part of our Registration Statement on Form S-3 (Registration No. 333-277039) (the “Registration Statement”). We are filing the Terms Agreement, the Indenture Officers’ Certificate pursuant to Section 301 of the Indenture establishing the terms of the New Series NN Notes and the Series YY Notes, the Forms of Notes, and a legal opinion of our counsel, Gibson, Dunn &amp; Crutcher LLP, on the Notes as exhibits to this report for the purpose of incorporating them as exhibits to the Registration Statement.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filed with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11.htm">
              <w:r>
                <w:rPr>
                  <w:rStyle w:val="InternetLink"/>
                </w:rPr>
                <w:t xml:space="preserve">Terms Agreement, dated August 11, 2026, among Marriott International, Inc. and the Underwriters named therein.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41.htm">
              <w:r>
                <w:rPr>
                  <w:rStyle w:val="InternetLink"/>
                </w:rPr>
                <w:t xml:space="preserve">Form of Note for the 4.875% Series NN Notes due 2029.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42.htm">
              <w:r>
                <w:rPr>
                  <w:rStyle w:val="InternetLink"/>
                </w:rPr>
                <w:t xml:space="preserve">Form of Note for the 5.650% Series YY Notes due 2036.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43.htm">
              <w:r>
                <w:rPr>
                  <w:rStyle w:val="InternetLink"/>
                </w:rPr>
                <w:t xml:space="preserve">Indenture Officers’ Certificate (with respect to the 4.875% Series NN Notes due 2029 and the 5.650% Series YY Notes due 2036) pursuant to Section 301 of the Indenture, dated August 13,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51.htm">
              <w:r>
                <w:rPr>
                  <w:rStyle w:val="InternetLink"/>
                </w:rPr>
                <w:t xml:space="preserve">Opinion of Gibson, Dunn &amp; Crutcher LLP, dated August 13,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2127dex51.htm">
              <w:r>
                <w:rPr>
                  <w:rStyle w:val="InternetLink"/>
                </w:rPr>
                <w:t xml:space="preserve">Consent of Gibson, Dunn &amp; Crutcher LLP (included in Exhibit 5.1 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The cover page to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5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89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15" w:type="dxa"/>
            <w:gridSpan w:val="3"/>
            <w:tcBorders/>
            <w:vAlign w:val="center"/>
          </w:tcPr>
          <w:p>
            <w:pPr>
              <w:pStyle w:val="TableContents"/>
              <w:bidi w:val="0"/>
              <w:spacing w:before="0" w:after="283"/>
              <w:jc w:val="left"/>
              <w:rPr>
                <w:b/>
              </w:rPr>
            </w:pPr>
            <w:r>
              <w:rPr>
                <w:b/>
              </w:rPr>
              <w:t>MARRIOTT INTERNATIONAL,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Felitia O. Lee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Felitia O. Lee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Controller and Chief Accounting Officer</w:t>
            </w:r>
          </w:p>
        </w:tc>
      </w:tr>
    </w:tbl>
    <w:p>
      <w:pPr>
        <w:pStyle w:val="TextBody"/>
        <w:bidi w:val="0"/>
        <w:spacing w:before="0" w:after="0"/>
        <w:jc w:val="right"/>
        <w:rPr>
          <w:rFonts w:ascii="Times New Roman" w:hAnsi="Times New Roman"/>
          <w:b/>
          <w:sz w:val="20"/>
        </w:rPr>
      </w:pPr>
      <w:bookmarkStart w:id="2" w:name="d162127dex11.htm"/>
      <w:bookmarkStart w:id="3" w:name="ksd162127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w:t>
      </w:r>
    </w:p>
    <w:p>
      <w:pPr>
        <w:pStyle w:val="TextBody"/>
        <w:bidi w:val="0"/>
        <w:spacing w:before="0" w:after="0"/>
        <w:jc w:val="left"/>
        <w:rPr>
          <w:rFonts w:ascii="Times New Roman" w:hAnsi="Times New Roman"/>
          <w:sz w:val="20"/>
        </w:rPr>
      </w:pPr>
      <w:r>
        <w:rPr>
          <w:rFonts w:ascii="Times New Roman" w:hAnsi="Times New Roman"/>
          <w:sz w:val="20"/>
        </w:rPr>
        <w:t xml:space="preserve">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listed in </w:t>
      </w:r>
    </w:p>
    <w:p>
      <w:pPr>
        <w:pStyle w:val="TextBody"/>
        <w:bidi w:val="0"/>
        <w:spacing w:before="0" w:after="0"/>
        <w:jc w:val="left"/>
        <w:rPr>
          <w:rFonts w:ascii="Times New Roman" w:hAnsi="Times New Roman"/>
          <w:sz w:val="20"/>
        </w:rPr>
      </w:pPr>
      <w:r>
        <w:rPr>
          <w:rFonts w:ascii="Times New Roman" w:hAnsi="Times New Roman"/>
          <w:sz w:val="20"/>
        </w:rPr>
        <w:t xml:space="preserve">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240" w:after="0"/>
        <w:jc w:val="left"/>
        <w:rPr>
          <w:rFonts w:ascii="Times New Roman" w:hAnsi="Times New Roman"/>
          <w:sz w:val="20"/>
        </w:rPr>
      </w:pPr>
      <w:r>
        <w:rPr>
          <w:rFonts w:ascii="Times New Roman" w:hAnsi="Times New Roman"/>
          <w:sz w:val="20"/>
        </w:rPr>
        <w:t xml:space="preserve">c/o 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c/o 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214 N. Tryon Street, 26th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righ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Marriott International, Inc., a Delaware corporation (the “Company”), proposes, subject to the terms and conditions stated herein and in the Underwriting Agreement General Terms and Provisions (the “Terms and Provisions”) attached hereto, to issue and sell to each of the Underwriters named in </w:t>
      </w:r>
      <w:r>
        <w:rPr>
          <w:rFonts w:ascii="Times New Roman" w:hAnsi="Times New Roman"/>
          <w:sz w:val="20"/>
          <w:u w:val="single"/>
        </w:rPr>
        <w:t>Schedule I</w:t>
      </w:r>
      <w:r>
        <w:rPr>
          <w:rFonts w:ascii="Times New Roman" w:hAnsi="Times New Roman"/>
          <w:sz w:val="20"/>
        </w:rPr>
        <w:t xml:space="preserve"> hereto (the “Underwriters”), and each of the Underwriters agrees, severally and not jointly, to purchase from the Company, at the time and place and at the purchase price to the Underwriters set forth in </w:t>
      </w:r>
      <w:r>
        <w:rPr>
          <w:rFonts w:ascii="Times New Roman" w:hAnsi="Times New Roman"/>
          <w:sz w:val="20"/>
          <w:u w:val="single"/>
        </w:rPr>
        <w:t>Schedule II</w:t>
      </w:r>
      <w:r>
        <w:rPr>
          <w:rFonts w:ascii="Times New Roman" w:hAnsi="Times New Roman"/>
          <w:sz w:val="20"/>
        </w:rPr>
        <w:t xml:space="preserve"> hereto, the principal amount of Securities set forth opposite the name of such Underwriter in </w:t>
      </w:r>
      <w:r>
        <w:rPr>
          <w:rFonts w:ascii="Times New Roman" w:hAnsi="Times New Roman"/>
          <w:sz w:val="20"/>
          <w:u w:val="single"/>
        </w:rPr>
        <w:t>Schedule I</w:t>
      </w:r>
      <w:r>
        <w:rPr>
          <w:rFonts w:ascii="Times New Roman" w:hAnsi="Times New Roman"/>
          <w:sz w:val="20"/>
        </w:rPr>
        <w:t xml:space="preserve"> hereto. Each of the provisions of the Terms and Provisions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Terms Agreement. Each reference to the Representatives herein and in the provisions of the Terms and Provisions so incorporated by reference shall be deemed to refer to you. Certain terms defined in the Terms and Provisions and the addresses of the Representatives referred to in Section 11 of the Terms and Provisions are set forth in </w:t>
      </w:r>
      <w:r>
        <w:rPr>
          <w:rFonts w:ascii="Times New Roman" w:hAnsi="Times New Roman"/>
          <w:sz w:val="20"/>
          <w:u w:val="single"/>
        </w:rPr>
        <w:t>Schedule II</w:t>
      </w:r>
      <w:r>
        <w:rPr>
          <w:rFonts w:ascii="Times New Roman" w:hAnsi="Times New Roman"/>
          <w:sz w:val="20"/>
        </w:rPr>
        <w:t xml:space="preserve"> hereto. For the avoidance of doubt, the Company and the Underwriters acknowledge and agree that the phrase “since the date of this Agreement” in Section 6(j) of the Terms and Provisions shall refer to the date of this Terms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Representatives hereby confirm and the Company acknowledges that the list of the Underwriters and their respective participation in the sale of the Securities and the statements with respect to the public offering of the Securities by the Underwriters set forth (i) in the last paragraph of the cover page regarding delivery of the Securities and (ii) in the fifth paragraph, the first sentence of the eighth paragraph, and each paragraph under the sub-heading “Other Relationships” under the heading “Underwriting” in the Company’s Prospectus Supplement dated August 11, 2026, to the Company’s Prospectus dated February 13, 2024, relating to the Securities (the “Prospectus Supplement”) constitute the only information concerning such Underwriters furnished in writing to the Company by or on behalf of the Underwriters specifically for inclusion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All the provisions contained in the Terms and Provisions, a copy of which you have previously received, are herein incorporated by reference in their entirety and shall be deemed to be a part of this Terms Agreement to the same extent as if the Terms and Provisions had been set forth in full herein, </w:t>
      </w:r>
      <w:r>
        <w:rPr>
          <w:rFonts w:ascii="Times New Roman" w:hAnsi="Times New Roman"/>
          <w:i/>
          <w:sz w:val="20"/>
        </w:rPr>
        <w:t>except</w:t>
      </w:r>
      <w:r>
        <w:rPr>
          <w:rFonts w:ascii="Times New Roman" w:hAnsi="Times New Roman"/>
          <w:sz w:val="20"/>
        </w:rPr>
        <w:t xml:space="preserv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1(a), which is hereby deleted in its entirety and replaced with the following: “(a) A registration statement on Form S-3 (File No. 333-277039), including a Basic Prospectus (as defined herein), with respect to the Securities has (i) been prepared by the Company in conformity with the requirements of the Securities Act of 1933, as amended (the “Securities Act”), and the rules and regulations (the “Rules and Regulations”) of the Securities and Exchange Commission (the “Commission”) thereunder, (ii) been filed with the Commission under the Securities Act, and (iii) become effective under the Securities Act. The Indenture pursuant to which the Securities will be issued (the “Indenture”) has been qualified under the Trust Indenture Act of 1939, as amended (the “Trust Indenture Act”). Copies of such registration statement and any amendments thereto have been delivered by the Company to the Representatives. As used in this Agreement, “Registration Statement” means such registration statement when it became effective under the Securities Act, and as from time to time amended or supplemented thereafter at the time of effectiveness of such amendment or filing of such supplement with the Commission (including all documents incorporated therein by reference); “Basic Prospectus” means the basic prospectus (including all documents incorporated therein by reference) included in the Registration Statement referred to above in the form in which it most recently has been filed with the Commission on or before the date of this Agreement; “Preliminary Prospectus” means each preliminary prospectus supplement (including all documents incorporated therein by reference) to the Basic Prospectus and specifically relating to the Securities used prior to the filing of the Prospectus; and “Prospectus” means the prospectus supplement (including all documents incorporated therein by reference) to the Basic Prospectus and specifically relating to the Securities, together with any amendments or supplements thereto, first filed with the Commission after the execution and delivery of this Agreement pursuant to paragraph (2) or (5) of Rule 424(b) of the Rules and Regulations. The Commission has not issued any order suspending the effectiveness of the Registration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or preventing or suspending the use of any Preliminary Prospectus or the Prospectus. The Registration Statement and the Prospectus, as of the date when they became or become effective under the Securities Act or were or are filed with the Commission, as the case may be, complied or will comply as to form in all material respects with the requirements of the Securities Act and the Trust Indenture Act and the applicable rules and regulations of the Commission thereunder. The initial Effective Date of the Registration Statement was not earlier than three years before the Applicable Time (as that term is defined in the Terms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1(y), which is hereby deleted in its entirety and replaced with the following: “(y) Neither the Company nor any of its subsidiaries, directors, officers or employees, nor, to the knowledge of the Company, any agent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the European Union, HM Treasury or other relevant sanctions authority (collectively, “Sanctions”), nor is the Company or any of its subsidiaries located, organized or resident in a country or territory that is the subject or the target of Sanctions, including, without limitation, the so-called Donetsk People’s Republic, the so-called Luhansk People’s Republic, the non-government controlled areas of the Kherson and Zaporizhzhia Regions and Crimea Region of Ukraine, Cuba, Iran and North Korea (each, a “Sanctioned Country”); and the Company will not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in all cases unless otherwise authorized under a license issued by OFAC. Since April 24, 2019, the Company and its subsidiaries have not knowingly engaged in and are not now knowingly engaged in any material dealings or transactions with any person that at the time of the dealing or transaction is or was the subject or the target of Sanctions or with any Sanctioned Country.”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Terms and Provisions, the “Applicable Time” shall be 3:00 p.m. (Eastern Time)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two counterparts hereof, and upon acceptance hereof by you, on behalf of each of the Underwriters, this letter and such acceptance hereof, including the provisions of the Terms and Provisions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w:t>
            </w:r>
            <w:r>
              <w:rPr>
                <w:sz w:val="20"/>
              </w:rPr>
              <w:t>ARRIOTT</w:t>
            </w:r>
            <w:r>
              <w:rPr/>
              <w:t xml:space="preserve"> I</w:t>
            </w:r>
            <w:r>
              <w:rPr>
                <w:sz w:val="20"/>
              </w:rPr>
              <w:t>NTERNATIONAL</w:t>
            </w:r>
            <w:r>
              <w:rPr/>
              <w:t>, I</w:t>
            </w:r>
            <w:r>
              <w:rPr>
                <w:sz w:val="20"/>
              </w:rPr>
              <w:t>NC</w:t>
            </w:r>
            <w:r>
              <w:rPr/>
              <w:t>.</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/s/ Jennifer C. Mason</w:t>
            </w:r>
          </w:p>
        </w:tc>
      </w:tr>
      <w:tr>
        <w:trPr/>
        <w:tc>
          <w:tcPr>
            <w:tcW w:w="67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283"/>
              <w:jc w:val="left"/>
              <w:rPr/>
            </w:pPr>
            <w:r>
              <w:rPr/>
              <w:t>Jennifer C. Mason</w:t>
            </w:r>
          </w:p>
        </w:tc>
      </w:tr>
      <w:tr>
        <w:trPr/>
        <w:tc>
          <w:tcPr>
            <w:tcW w:w="67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 Terms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accepted as of the date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w:t>
            </w:r>
            <w:r>
              <w:rPr>
                <w:sz w:val="20"/>
              </w:rPr>
              <w:t>ORGAN</w:t>
            </w:r>
            <w:r>
              <w:rPr/>
              <w:t xml:space="preserve"> S</w:t>
            </w:r>
            <w:r>
              <w:rPr>
                <w:sz w:val="20"/>
              </w:rPr>
              <w:t>ECURITIES</w:t>
            </w:r>
            <w:r>
              <w:rPr/>
              <w:t xml:space="preserve"> LLC</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Stephen L. Sheiner</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Stephen L. Sheiner</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Executive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w:t>
            </w:r>
            <w:r>
              <w:rPr>
                <w:sz w:val="20"/>
              </w:rPr>
              <w:t>APITAL</w:t>
            </w:r>
            <w:r>
              <w:rPr/>
              <w:t xml:space="preserve"> M</w:t>
            </w:r>
            <w:r>
              <w:rPr>
                <w:sz w:val="20"/>
              </w:rPr>
              <w:t>ARKETS</w:t>
            </w:r>
            <w:r>
              <w:rPr/>
              <w:t xml:space="preserve"> LLC</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Colton Currey</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Colton Currey</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w:t>
            </w:r>
            <w:r>
              <w:rPr>
                <w:sz w:val="20"/>
              </w:rPr>
              <w:t>RUIST</w:t>
            </w:r>
            <w:r>
              <w:rPr/>
              <w:t xml:space="preserve"> S</w:t>
            </w:r>
            <w:r>
              <w:rPr>
                <w:sz w:val="20"/>
              </w:rPr>
              <w:t>ECURITIES</w:t>
            </w:r>
            <w:r>
              <w:rPr/>
              <w:t>, I</w:t>
            </w:r>
            <w:r>
              <w:rPr>
                <w:sz w:val="20"/>
              </w:rPr>
              <w:t>NC</w:t>
            </w:r>
            <w:r>
              <w:rPr/>
              <w:t>.</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Rob Nordlinger</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Rob Nordlinger</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w:t>
            </w:r>
            <w:r>
              <w:rPr>
                <w:sz w:val="20"/>
              </w:rPr>
              <w:t>ANCORP</w:t>
            </w:r>
            <w:r>
              <w:rPr/>
              <w:t xml:space="preserve"> I</w:t>
            </w:r>
            <w:r>
              <w:rPr>
                <w:sz w:val="20"/>
              </w:rPr>
              <w:t>NVESTMENTS</w:t>
            </w:r>
            <w:r>
              <w:rPr/>
              <w:t>, I</w:t>
            </w:r>
            <w:r>
              <w:rPr>
                <w:sz w:val="20"/>
              </w:rPr>
              <w:t>NC</w:t>
            </w:r>
            <w:r>
              <w:rPr/>
              <w:t>.</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Charles P. Carpenter</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Charles P. Carpenter</w:t>
            </w:r>
          </w:p>
        </w:tc>
      </w:tr>
      <w:tr>
        <w:trPr/>
        <w:tc>
          <w:tcPr>
            <w:tcW w:w="6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the other several Underwriters named in Schedule I to the foregoing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 Terms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7"/>
        <w:gridCol w:w="145"/>
        <w:gridCol w:w="171"/>
        <w:gridCol w:w="1516"/>
        <w:gridCol w:w="71"/>
        <w:gridCol w:w="160"/>
        <w:gridCol w:w="167"/>
        <w:gridCol w:w="1704"/>
        <w:gridCol w:w="64"/>
      </w:tblGrid>
      <w:tr>
        <w:trPr/>
        <w:tc>
          <w:tcPr>
            <w:tcW w:w="6207"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0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7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Principal Amount of Securities to be</w:t>
              <w:br/>
              <w:t>Purchased</w:t>
            </w:r>
          </w:p>
        </w:tc>
        <w:tc>
          <w:tcPr>
            <w:tcW w:w="64" w:type="dxa"/>
            <w:tcBorders/>
            <w:vAlign w:val="bottom"/>
          </w:tcPr>
          <w:p>
            <w:pPr>
              <w:pStyle w:val="TableContents"/>
              <w:bidi w:val="0"/>
              <w:spacing w:before="0" w:after="283"/>
              <w:jc w:val="left"/>
              <w:rPr/>
            </w:pPr>
            <w:r>
              <w:rPr/>
              <w:t> </w:t>
            </w:r>
          </w:p>
        </w:tc>
      </w:tr>
      <w:tr>
        <w:trPr/>
        <w:tc>
          <w:tcPr>
            <w:tcW w:w="6207" w:type="dxa"/>
            <w:tcBorders/>
            <w:vAlign w:val="bottom"/>
          </w:tcPr>
          <w:p>
            <w:pPr>
              <w:pStyle w:val="TableContents"/>
              <w:bidi w:val="0"/>
              <w:spacing w:before="0" w:after="283"/>
              <w:jc w:val="left"/>
              <w:rPr>
                <w:b/>
              </w:rPr>
            </w:pPr>
            <w:r>
              <w:rPr>
                <w:b/>
              </w:rPr>
              <w:t>Underwriter</w:t>
            </w:r>
          </w:p>
        </w:tc>
        <w:tc>
          <w:tcPr>
            <w:tcW w:w="145" w:type="dxa"/>
            <w:tcBorders/>
            <w:vAlign w:val="bottom"/>
          </w:tcPr>
          <w:p>
            <w:pPr>
              <w:pStyle w:val="TableContents"/>
              <w:bidi w:val="0"/>
              <w:spacing w:before="0" w:after="283"/>
              <w:jc w:val="left"/>
              <w:rPr/>
            </w:pPr>
            <w:r>
              <w:rPr/>
              <w:t>  </w:t>
            </w:r>
          </w:p>
        </w:tc>
        <w:tc>
          <w:tcPr>
            <w:tcW w:w="1687" w:type="dxa"/>
            <w:gridSpan w:val="2"/>
            <w:tcBorders/>
            <w:vAlign w:val="bottom"/>
          </w:tcPr>
          <w:p>
            <w:pPr>
              <w:pStyle w:val="TableContents"/>
              <w:bidi w:val="0"/>
              <w:spacing w:before="0" w:after="283"/>
              <w:jc w:val="center"/>
              <w:rPr>
                <w:b/>
              </w:rPr>
            </w:pPr>
            <w:r>
              <w:rPr>
                <w:b/>
              </w:rPr>
              <w:t>Series NN Notes</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71" w:type="dxa"/>
            <w:gridSpan w:val="2"/>
            <w:tcBorders/>
            <w:vAlign w:val="bottom"/>
          </w:tcPr>
          <w:p>
            <w:pPr>
              <w:pStyle w:val="TableContents"/>
              <w:bidi w:val="0"/>
              <w:spacing w:before="0" w:after="283"/>
              <w:jc w:val="center"/>
              <w:rPr>
                <w:b/>
              </w:rPr>
            </w:pPr>
            <w:r>
              <w:rPr>
                <w:b/>
              </w:rPr>
              <w:t>Series YY Notes</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16" w:type="dxa"/>
            <w:tcBorders/>
            <w:shd w:fill="CCEEFF" w:val="clear"/>
            <w:vAlign w:val="bottom"/>
          </w:tcPr>
          <w:p>
            <w:pPr>
              <w:pStyle w:val="TableContents"/>
              <w:bidi w:val="0"/>
              <w:spacing w:before="0" w:after="283"/>
              <w:jc w:val="right"/>
              <w:rPr/>
            </w:pPr>
            <w:r>
              <w:rPr/>
              <w:t>20,750,000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704" w:type="dxa"/>
            <w:tcBorders/>
            <w:shd w:fill="CCEEFF" w:val="clear"/>
            <w:vAlign w:val="bottom"/>
          </w:tcPr>
          <w:p>
            <w:pPr>
              <w:pStyle w:val="TableContents"/>
              <w:bidi w:val="0"/>
              <w:spacing w:before="0" w:after="283"/>
              <w:jc w:val="right"/>
              <w:rPr/>
            </w:pPr>
            <w:r>
              <w:rPr/>
              <w:t>83,000,000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19,250,000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77,000,000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19,250,000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77,000,000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19,250,000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77,000,000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14,750,000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59,000,000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14,750,000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59,000,000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14,750,000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59,000,000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13,750,000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55,000,000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13,750,000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55,000,000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13,750,000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55,000,000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10,250,000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41,000,000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10,250,000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41,000,000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10,250,000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41,000,000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10,250,000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41,000,000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7,500,000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30,000,000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7,500,000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30,000,000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7,500,000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30,000,000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UniCredit Capital Markets LLC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7,500,000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30,000,000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5,000,000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20,000,000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5,000,000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04" w:type="dxa"/>
            <w:tcBorders/>
            <w:vAlign w:val="bottom"/>
          </w:tcPr>
          <w:p>
            <w:pPr>
              <w:pStyle w:val="TableContents"/>
              <w:bidi w:val="0"/>
              <w:spacing w:before="0" w:after="283"/>
              <w:jc w:val="right"/>
              <w:rPr/>
            </w:pPr>
            <w:r>
              <w:rPr/>
              <w:t>20,000,000</w:t>
            </w:r>
          </w:p>
        </w:tc>
        <w:tc>
          <w:tcPr>
            <w:tcW w:w="64" w:type="dxa"/>
            <w:tcBorders/>
            <w:vAlign w:val="bottom"/>
          </w:tcPr>
          <w:p>
            <w:pPr>
              <w:pStyle w:val="TableContents"/>
              <w:bidi w:val="0"/>
              <w:spacing w:before="0" w:after="283"/>
              <w:jc w:val="left"/>
              <w:rPr/>
            </w:pPr>
            <w:r>
              <w:rPr/>
              <w:t> </w:t>
            </w:r>
          </w:p>
        </w:tc>
      </w:tr>
      <w:tr>
        <w:trPr/>
        <w:tc>
          <w:tcPr>
            <w:tcW w:w="6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 Chartered Bank</w:t>
            </w:r>
          </w:p>
        </w:tc>
        <w:tc>
          <w:tcPr>
            <w:tcW w:w="14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5,000,000</w:t>
            </w:r>
          </w:p>
        </w:tc>
        <w:tc>
          <w:tcPr>
            <w:tcW w:w="7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04" w:type="dxa"/>
            <w:tcBorders/>
            <w:shd w:fill="CCEEFF" w:val="clear"/>
            <w:vAlign w:val="bottom"/>
          </w:tcPr>
          <w:p>
            <w:pPr>
              <w:pStyle w:val="TableContents"/>
              <w:bidi w:val="0"/>
              <w:spacing w:before="0" w:after="283"/>
              <w:jc w:val="right"/>
              <w:rPr/>
            </w:pPr>
            <w:r>
              <w:rPr/>
              <w:t>20,000,000</w:t>
            </w:r>
          </w:p>
        </w:tc>
        <w:tc>
          <w:tcPr>
            <w:tcW w:w="64" w:type="dxa"/>
            <w:tcBorders/>
            <w:shd w:fill="CCEEFF" w:val="clear"/>
            <w:vAlign w:val="bottom"/>
          </w:tcPr>
          <w:p>
            <w:pPr>
              <w:pStyle w:val="TableContents"/>
              <w:bidi w:val="0"/>
              <w:spacing w:before="0" w:after="283"/>
              <w:jc w:val="left"/>
              <w:rPr/>
            </w:pPr>
            <w:r>
              <w:rPr/>
              <w:t> </w:t>
            </w:r>
          </w:p>
        </w:tc>
      </w:tr>
      <w:tr>
        <w:trPr/>
        <w:tc>
          <w:tcPr>
            <w:tcW w:w="620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516" w:type="dxa"/>
            <w:tcBorders/>
            <w:vAlign w:val="bottom"/>
          </w:tcPr>
          <w:p>
            <w:pPr>
              <w:pStyle w:val="TableContents"/>
              <w:bidi w:val="0"/>
              <w:spacing w:before="0" w:after="283"/>
              <w:jc w:val="right"/>
              <w:rPr>
                <w:b/>
              </w:rPr>
            </w:pPr>
            <w:r>
              <w:rPr>
                <w:b/>
              </w:rPr>
              <w:t>250,000,000</w:t>
            </w:r>
          </w:p>
        </w:tc>
        <w:tc>
          <w:tcPr>
            <w:tcW w:w="7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1704" w:type="dxa"/>
            <w:tcBorders/>
            <w:vAlign w:val="bottom"/>
          </w:tcPr>
          <w:p>
            <w:pPr>
              <w:pStyle w:val="TableContents"/>
              <w:bidi w:val="0"/>
              <w:spacing w:before="0" w:after="283"/>
              <w:jc w:val="right"/>
              <w:rPr>
                <w:b/>
              </w:rPr>
            </w:pPr>
            <w:r>
              <w:rPr>
                <w:b/>
              </w:rPr>
              <w:t>1,000,000,000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II-A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2"/>
        <w:gridCol w:w="122"/>
        <w:gridCol w:w="7091"/>
      </w:tblGrid>
      <w:tr>
        <w:trPr/>
        <w:tc>
          <w:tcPr>
            <w:tcW w:w="29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91" w:type="dxa"/>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Representatives:</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Underwriting Agreement:</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March 3, 2021</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Registration Statement No.:</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333-277039</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Title of Securities:</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4.875% Series NN Notes due 2029 (the “Series NN Notes”)</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Aggregate Principal Reopening Amount:</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$250,000,000</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Aggregate Principal Amount:</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$750,000,000</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Price to Public:</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100.205% of the principal reopening amount of the Series NN Notes, plus accrued interest from May 15, 2026</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0.400%</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Indenture:</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Indenture dated as of November 16, 1998 between Marriott International, Inc. and The Bank of New York Mellon, as successor to JPMorgan Chase Bank, N.A., formerly known as The Chase Manhattan Bank, as trustee</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Date of Maturity:</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May 15, 2029</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Interest Rate:</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4.875% per annum, payable semiannually</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Interest Payment Dates:</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May 15 and November 15, commencing on November 15, 2026</w:t>
            </w:r>
          </w:p>
        </w:tc>
      </w:tr>
      <w:tr>
        <w:trPr>
          <w:trHeight w:val="120" w:hRule="atLeast"/>
        </w:trPr>
        <w:tc>
          <w:tcPr>
            <w:tcW w:w="2992" w:type="dxa"/>
            <w:tcBorders/>
            <w:vAlign w:val="center"/>
          </w:tcPr>
          <w:p>
            <w:pPr>
              <w:pStyle w:val="TableContents"/>
              <w:bidi w:val="0"/>
              <w:spacing w:before="0" w:after="283"/>
              <w:jc w:val="left"/>
              <w:rPr>
                <w:sz w:val="4"/>
                <w:szCs w:val="4"/>
              </w:rPr>
            </w:pPr>
            <w:r>
              <w:rPr>
                <w:sz w:val="4"/>
                <w:szCs w:val="4"/>
              </w:rPr>
            </w:r>
          </w:p>
        </w:tc>
        <w:tc>
          <w:tcPr>
            <w:tcW w:w="7213" w:type="dxa"/>
            <w:gridSpan w:val="2"/>
            <w:tcBorders/>
            <w:vAlign w:val="center"/>
          </w:tcPr>
          <w:p>
            <w:pPr>
              <w:pStyle w:val="TableContents"/>
              <w:bidi w:val="0"/>
              <w:spacing w:before="0" w:after="283"/>
              <w:jc w:val="left"/>
              <w:rPr>
                <w:sz w:val="4"/>
                <w:szCs w:val="4"/>
              </w:rPr>
            </w:pPr>
            <w:r>
              <w:rPr>
                <w:sz w:val="4"/>
                <w:szCs w:val="4"/>
              </w:rPr>
            </w:r>
          </w:p>
        </w:tc>
      </w:tr>
      <w:tr>
        <w:trPr/>
        <w:tc>
          <w:tcPr>
            <w:tcW w:w="2992" w:type="dxa"/>
            <w:tcBorders/>
          </w:tcPr>
          <w:p>
            <w:pPr>
              <w:pStyle w:val="TableContents"/>
              <w:bidi w:val="0"/>
              <w:spacing w:before="0" w:after="283"/>
              <w:jc w:val="left"/>
              <w:rPr/>
            </w:pPr>
            <w:r>
              <w:rPr/>
              <w:t>CUSIP / ISIN:</w:t>
            </w:r>
          </w:p>
        </w:tc>
        <w:tc>
          <w:tcPr>
            <w:tcW w:w="122"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571903 BP7 / US571903BP73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74"/>
        <w:gridCol w:w="124"/>
        <w:gridCol w:w="7107"/>
      </w:tblGrid>
      <w:tr>
        <w:trPr/>
        <w:tc>
          <w:tcPr>
            <w:tcW w:w="297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pPr>
            <w:r>
              <w:rPr/>
              <w:t>Optional Redemption Provisions:</w:t>
            </w:r>
          </w:p>
        </w:tc>
        <w:tc>
          <w:tcPr>
            <w:tcW w:w="124"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Prior to April 15, 2029 (one month prior to the maturity date of the Series NN Notes) (the “Series NN Par Call Date”), the Company may redeem the Series NN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NN Notes discounted to the redemption date (assuming the Series NN Notes matured on the Series NN Par Call Date) on a semi-annual basis (assuming a 360-day year consisting of twelve 30-day months) at the Treasury Rate plus 15 basis points less (b) interest accrued to the date of redemption, and (2) 100% of the principal amount of the Series NN Notes to be redeemed, plus, in either case, accrued and unpaid interest on the Series NN Notes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Series NN Par Call Date, the Company may redeem the Series NN Notes, in whole or in part, at any time and from time to time, at its option, at a redemption price equal to 100% of the principal amount of the Series NN Notes being redeemed plus accrued and unpaid interest on the Series NN Notes to the redemption date.</w:t>
            </w:r>
          </w:p>
        </w:tc>
      </w:tr>
      <w:tr>
        <w:trPr>
          <w:trHeight w:val="120" w:hRule="atLeast"/>
        </w:trPr>
        <w:tc>
          <w:tcPr>
            <w:tcW w:w="2974" w:type="dxa"/>
            <w:tcBorders/>
            <w:vAlign w:val="center"/>
          </w:tcPr>
          <w:p>
            <w:pPr>
              <w:pStyle w:val="TableContents"/>
              <w:bidi w:val="0"/>
              <w:spacing w:before="0" w:after="283"/>
              <w:jc w:val="left"/>
              <w:rPr>
                <w:sz w:val="4"/>
                <w:szCs w:val="4"/>
              </w:rPr>
            </w:pPr>
            <w:r>
              <w:rPr>
                <w:sz w:val="4"/>
                <w:szCs w:val="4"/>
              </w:rPr>
            </w:r>
          </w:p>
        </w:tc>
        <w:tc>
          <w:tcPr>
            <w:tcW w:w="7231" w:type="dxa"/>
            <w:gridSpan w:val="2"/>
            <w:tcBorders/>
            <w:vAlign w:val="center"/>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283"/>
              <w:jc w:val="left"/>
              <w:rPr/>
            </w:pPr>
            <w:r>
              <w:rPr/>
              <w:t>Purchase of Securities Upon a Change in Control Repurchase Event:</w:t>
            </w:r>
          </w:p>
        </w:tc>
        <w:tc>
          <w:tcPr>
            <w:tcW w:w="124"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If a change of control repurchase event occurs, the issuer will be required, subject to certain conditions, to make an offer to repurchase the Series NN Notes at a price equal to 101% of the principal amount of the Series NN Notes, plus accrued and unpaid interest to the date of repurchase. “Change of control repurchase event” means the occurrence of both a change of control and a below investment grade rating event.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57"/>
        <w:gridCol w:w="123"/>
        <w:gridCol w:w="7125"/>
      </w:tblGrid>
      <w:tr>
        <w:trPr/>
        <w:tc>
          <w:tcPr>
            <w:tcW w:w="29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25" w:type="dxa"/>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w:t>
            </w:r>
            <w:r>
              <w:rPr/>
              <w:t>Change of control” means the consummation of any transaction (including, without limitation, any merger or consolidation) the result of which is that any “person” (as that term is used in Section 13(d)(3) of the Exchange Act) becomes the beneficial owner, directly or indirectly, of more than 50% of our voting stock, measured by voting power rather than number of shares. Notwithstanding the foregoing, a transaction effected to create a holding company for us will not be deemed to involve a change of control if: (1) pursuant to such transaction we become a direct or indirect wholly owned subsidiary of such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w:t>
            </w:r>
            <w:r>
              <w:rPr/>
              <w:t>Below investment grade rating event” is defined in the Preliminary Prospectus Supplement dated August 11, 2026 relating to the Series NN Notes.</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Sinking Fund Provisions:</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None</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Other Provisions:</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As specified in the Preliminary Prospectus Supplement dated August 11, 2026 relating to the Series NN Notes.</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Securities Exchange:</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The Series NN Notes are not listed on any exchange.</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Ratings:</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Baa2 by Moody’s Investors Service, Inc.</w:t>
            </w:r>
          </w:p>
          <w:p>
            <w:pPr>
              <w:pStyle w:val="TableContents"/>
              <w:bidi w:val="0"/>
              <w:spacing w:before="0" w:after="20"/>
              <w:jc w:val="left"/>
              <w:rPr>
                <w:rFonts w:ascii="Times New Roman" w:hAnsi="Times New Roman"/>
                <w:sz w:val="20"/>
              </w:rPr>
            </w:pPr>
            <w:r>
              <w:rPr>
                <w:rFonts w:ascii="Times New Roman" w:hAnsi="Times New Roman"/>
                <w:sz w:val="20"/>
              </w:rPr>
              <w:t>BBB by S&amp;P Global Ratings</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Closing Date and Delivery Date:</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283"/>
              <w:jc w:val="left"/>
              <w:rPr/>
            </w:pPr>
            <w:r>
              <w:rPr/>
              <w:t>August 13, 2026</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Closing Location:</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Simpson Thacher &amp; Bartlett LLP</w:t>
            </w:r>
          </w:p>
          <w:p>
            <w:pPr>
              <w:pStyle w:val="TableContents"/>
              <w:bidi w:val="0"/>
              <w:spacing w:before="0" w:after="0"/>
              <w:jc w:val="left"/>
              <w:rPr>
                <w:rFonts w:ascii="Times New Roman" w:hAnsi="Times New Roman"/>
                <w:sz w:val="20"/>
              </w:rPr>
            </w:pPr>
            <w:r>
              <w:rPr>
                <w:rFonts w:ascii="Times New Roman" w:hAnsi="Times New Roman"/>
                <w:sz w:val="20"/>
              </w:rPr>
              <w:t>425 Lexington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10017</w:t>
            </w:r>
          </w:p>
        </w:tc>
      </w:tr>
      <w:tr>
        <w:trPr>
          <w:trHeight w:val="120" w:hRule="atLeast"/>
        </w:trPr>
        <w:tc>
          <w:tcPr>
            <w:tcW w:w="2957" w:type="dxa"/>
            <w:tcBorders/>
            <w:vAlign w:val="center"/>
          </w:tcPr>
          <w:p>
            <w:pPr>
              <w:pStyle w:val="TableContents"/>
              <w:bidi w:val="0"/>
              <w:spacing w:before="0" w:after="283"/>
              <w:jc w:val="left"/>
              <w:rPr>
                <w:sz w:val="4"/>
                <w:szCs w:val="4"/>
              </w:rPr>
            </w:pPr>
            <w:r>
              <w:rPr>
                <w:sz w:val="4"/>
                <w:szCs w:val="4"/>
              </w:rPr>
            </w:r>
          </w:p>
        </w:tc>
        <w:tc>
          <w:tcPr>
            <w:tcW w:w="7248"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283"/>
              <w:jc w:val="left"/>
              <w:rPr/>
            </w:pPr>
            <w:r>
              <w:rPr/>
              <w:t>Address for Notices to Underwriters:</w:t>
            </w:r>
          </w:p>
        </w:tc>
        <w:tc>
          <w:tcPr>
            <w:tcW w:w="123" w:type="dxa"/>
            <w:tcBorders/>
            <w:vAlign w:val="bottom"/>
          </w:tcPr>
          <w:p>
            <w:pPr>
              <w:pStyle w:val="TableContents"/>
              <w:bidi w:val="0"/>
              <w:spacing w:before="0" w:after="283"/>
              <w:jc w:val="left"/>
              <w:rPr/>
            </w:pPr>
            <w:r>
              <w:rPr/>
              <w:t>  </w:t>
            </w:r>
          </w:p>
        </w:tc>
        <w:tc>
          <w:tcPr>
            <w:tcW w:w="7125"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Investment Grade Syndicate Desk</w:t>
            </w:r>
          </w:p>
          <w:p>
            <w:pPr>
              <w:pStyle w:val="TableContents"/>
              <w:bidi w:val="0"/>
              <w:spacing w:before="0" w:after="0"/>
              <w:jc w:val="left"/>
              <w:rPr>
                <w:rFonts w:ascii="Times New Roman" w:hAnsi="Times New Roman"/>
                <w:sz w:val="20"/>
              </w:rPr>
            </w:pPr>
            <w:r>
              <w:rPr>
                <w:rFonts w:ascii="Times New Roman" w:hAnsi="Times New Roman"/>
                <w:sz w:val="20"/>
              </w:rPr>
              <w:t>Facsimile: (212) 834-6081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300 Fifth Avenue, 10th Floor</w:t>
            </w:r>
          </w:p>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Debt Capital Markets, Fixed Income Transaction Execution</w:t>
            </w:r>
          </w:p>
          <w:p>
            <w:pPr>
              <w:pStyle w:val="TableContents"/>
              <w:bidi w:val="0"/>
              <w:spacing w:before="0" w:after="0"/>
              <w:jc w:val="left"/>
              <w:rPr>
                <w:rFonts w:ascii="Times New Roman" w:hAnsi="Times New Roman"/>
                <w:sz w:val="20"/>
              </w:rPr>
            </w:pPr>
            <w:r>
              <w:rPr>
                <w:rFonts w:ascii="Times New Roman" w:hAnsi="Times New Roman"/>
                <w:sz w:val="20"/>
              </w:rPr>
              <w:t>E-Mail: capitalmarketsnotices@pnc.com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50 Hudson Yards, 70th Floor</w:t>
            </w:r>
          </w:p>
          <w:p>
            <w:pPr>
              <w:pStyle w:val="TableContents"/>
              <w:bidi w:val="0"/>
              <w:spacing w:before="0" w:after="0"/>
              <w:jc w:val="left"/>
              <w:rPr>
                <w:rFonts w:ascii="Times New Roman" w:hAnsi="Times New Roman"/>
                <w:sz w:val="20"/>
              </w:rPr>
            </w:pPr>
            <w:r>
              <w:rPr>
                <w:rFonts w:ascii="Times New Roman" w:hAnsi="Times New Roman"/>
                <w:sz w:val="20"/>
              </w:rPr>
              <w:t>New York, New York 10001</w:t>
            </w:r>
          </w:p>
          <w:p>
            <w:pPr>
              <w:pStyle w:val="TableContents"/>
              <w:bidi w:val="0"/>
              <w:spacing w:before="0" w:after="0"/>
              <w:jc w:val="left"/>
              <w:rPr>
                <w:rFonts w:ascii="Times New Roman" w:hAnsi="Times New Roman"/>
                <w:sz w:val="20"/>
              </w:rPr>
            </w:pPr>
            <w:r>
              <w:rPr>
                <w:rFonts w:ascii="Times New Roman" w:hAnsi="Times New Roman"/>
                <w:sz w:val="20"/>
              </w:rPr>
              <w:t>Attention: Investment Grade Capital Markets</w:t>
            </w:r>
          </w:p>
          <w:p>
            <w:pPr>
              <w:pStyle w:val="TableContents"/>
              <w:bidi w:val="0"/>
              <w:spacing w:before="0" w:after="0"/>
              <w:jc w:val="left"/>
              <w:rPr>
                <w:rFonts w:ascii="Times New Roman" w:hAnsi="Times New Roman"/>
                <w:sz w:val="20"/>
              </w:rPr>
            </w:pPr>
            <w:r>
              <w:rPr>
                <w:rFonts w:ascii="Times New Roman" w:hAnsi="Times New Roman"/>
                <w:sz w:val="20"/>
              </w:rPr>
              <w:t>Facsimile: (404) 926-5027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214 N. Tryon Street, 26th Floor</w:t>
            </w:r>
          </w:p>
          <w:p>
            <w:pPr>
              <w:pStyle w:val="TableContents"/>
              <w:bidi w:val="0"/>
              <w:spacing w:before="0" w:after="0"/>
              <w:jc w:val="left"/>
              <w:rPr>
                <w:rFonts w:ascii="Times New Roman" w:hAnsi="Times New Roman"/>
                <w:sz w:val="20"/>
              </w:rPr>
            </w:pPr>
            <w:r>
              <w:rPr>
                <w:rFonts w:ascii="Times New Roman" w:hAnsi="Times New Roman"/>
                <w:sz w:val="20"/>
              </w:rPr>
              <w:t>Charlotte, North Carolina 28202</w:t>
            </w:r>
          </w:p>
          <w:p>
            <w:pPr>
              <w:pStyle w:val="TableContents"/>
              <w:bidi w:val="0"/>
              <w:spacing w:before="0" w:after="0"/>
              <w:jc w:val="left"/>
              <w:rPr>
                <w:rFonts w:ascii="Times New Roman" w:hAnsi="Times New Roman"/>
                <w:sz w:val="20"/>
              </w:rPr>
            </w:pPr>
            <w:r>
              <w:rPr>
                <w:rFonts w:ascii="Times New Roman" w:hAnsi="Times New Roman"/>
                <w:sz w:val="20"/>
              </w:rPr>
              <w:t>Attention: Debt Capital Markets</w:t>
            </w:r>
          </w:p>
          <w:p>
            <w:pPr>
              <w:pStyle w:val="TableContents"/>
              <w:bidi w:val="0"/>
              <w:spacing w:before="0" w:after="20"/>
              <w:jc w:val="left"/>
              <w:rPr>
                <w:rFonts w:ascii="Times New Roman" w:hAnsi="Times New Roman"/>
                <w:sz w:val="20"/>
              </w:rPr>
            </w:pPr>
            <w:r>
              <w:rPr>
                <w:rFonts w:ascii="Times New Roman" w:hAnsi="Times New Roman"/>
                <w:sz w:val="20"/>
              </w:rPr>
              <w:t>Facsimile: (877) 774-3462</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II-B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7"/>
        <w:gridCol w:w="120"/>
        <w:gridCol w:w="7108"/>
      </w:tblGrid>
      <w:tr>
        <w:trPr/>
        <w:tc>
          <w:tcPr>
            <w:tcW w:w="29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8" w:type="dxa"/>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Representatives:</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Underwriting Agreement:</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March 3, 2021</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Registration Statement No.:</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333-277039</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Title of Securities:</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5.650% Series YY Notes due 2036 (the “Series YY Notes”)</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Aggregate Principal Amount:</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$1,000,000,000</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Price to Public:</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99.325% of the principal amount of the Series YY Notes, plus accrued interest, if any, from August 13, 2026</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Underwriting Discount:</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0.650%</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Indenture:</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Indenture dated as of November 16, 1998 between Marriott International, Inc. and The Bank of New York Mellon, as successor to JPMorgan Chase Bank, N.A., formerly known as The Chase Manhattan Bank, as trustee</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Date of Maturity:</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September 15, 2036</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Interest Rate:</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5.650% per annum, payable semiannually</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March 15 and September 15, commencing on March 15, 2027</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CUSIP / ISIN:</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571903 CA9 / US571903CA95</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Optional Redemption Provisions:</w:t>
            </w:r>
          </w:p>
        </w:tc>
        <w:tc>
          <w:tcPr>
            <w:tcW w:w="120" w:type="dxa"/>
            <w:tcBorders/>
            <w:vAlign w:val="bottom"/>
          </w:tcPr>
          <w:p>
            <w:pPr>
              <w:pStyle w:val="TableContents"/>
              <w:bidi w:val="0"/>
              <w:spacing w:before="0" w:after="283"/>
              <w:jc w:val="left"/>
              <w:rPr/>
            </w:pPr>
            <w:r>
              <w:rPr/>
              <w:t>  </w:t>
            </w:r>
          </w:p>
        </w:tc>
        <w:tc>
          <w:tcPr>
            <w:tcW w:w="7108" w:type="dxa"/>
            <w:tcBorders/>
          </w:tcPr>
          <w:p>
            <w:pPr>
              <w:pStyle w:val="TableContents"/>
              <w:bidi w:val="0"/>
              <w:spacing w:before="0" w:after="283"/>
              <w:jc w:val="left"/>
              <w:rPr/>
            </w:pPr>
            <w:r>
              <w:rPr/>
              <w:t>Prior to June 15, 2036 (three months prior to the maturity date of the Series YY Notes) (the “Series YY Par Call Date”), the Company may redeem the Series YY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YY Notes discounted to the redemption date (assuming the Series YY Notes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32"/>
        <w:gridCol w:w="122"/>
        <w:gridCol w:w="7151"/>
      </w:tblGrid>
      <w:tr>
        <w:trPr/>
        <w:tc>
          <w:tcPr>
            <w:tcW w:w="29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1"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51" w:type="dxa"/>
            <w:tcBorders/>
          </w:tcPr>
          <w:p>
            <w:pPr>
              <w:pStyle w:val="TableContents"/>
              <w:bidi w:val="0"/>
              <w:spacing w:before="0" w:after="283"/>
              <w:jc w:val="left"/>
              <w:rPr/>
            </w:pPr>
            <w:r>
              <w:rPr/>
              <w:t>matured on the Series YY Par Call Date) on a semi-annual basis (assuming a 360-day year consisting of twelve 30-day months) at the Treasury Rate plus 20 basis points less (b) interest accrued to the date of redemption, and (2) 100% of the principal amount of the Series YY Notes to be redeemed, plus, in either case, accrued and unpaid interest on the Series YY Notes to the redemption date.</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51" w:type="dxa"/>
            <w:tcBorders/>
          </w:tcPr>
          <w:p>
            <w:pPr>
              <w:pStyle w:val="TableContents"/>
              <w:bidi w:val="0"/>
              <w:spacing w:before="0" w:after="283"/>
              <w:jc w:val="left"/>
              <w:rPr/>
            </w:pPr>
            <w:r>
              <w:rPr/>
              <w:t>On or after the Series YY Par Call Date, the Company may redeem the Series YY Notes, in whole or in part, at any time and from time to time, at its option, at a redemption price equal to 100% of the principal amount of the Series YY Notes being redeemed plus accrued and unpaid interest on the Series YY Notes to the redemption date.</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Purchase of Securities Upon a Change in Control Repurchase Event:</w:t>
            </w:r>
          </w:p>
        </w:tc>
        <w:tc>
          <w:tcPr>
            <w:tcW w:w="122" w:type="dxa"/>
            <w:tcBorders/>
            <w:vAlign w:val="bottom"/>
          </w:tcPr>
          <w:p>
            <w:pPr>
              <w:pStyle w:val="TableContents"/>
              <w:bidi w:val="0"/>
              <w:spacing w:before="0" w:after="283"/>
              <w:jc w:val="left"/>
              <w:rPr/>
            </w:pPr>
            <w:r>
              <w:rPr/>
              <w:t>  </w:t>
            </w:r>
          </w:p>
        </w:tc>
        <w:tc>
          <w:tcPr>
            <w:tcW w:w="7151" w:type="dxa"/>
            <w:tcBorders/>
          </w:tcPr>
          <w:p>
            <w:pPr>
              <w:pStyle w:val="TableContents"/>
              <w:bidi w:val="0"/>
              <w:spacing w:before="0" w:after="283"/>
              <w:jc w:val="left"/>
              <w:rPr/>
            </w:pPr>
            <w:r>
              <w:rPr/>
              <w:t>If a change of control repurchase event occurs, the issuer will be required, subject to certain conditions, to make an offer to repurchase the Series YY Notes at a price equal to 101% of the principal amount of the Series YY Notes, plus accrued and unpaid interest to the date of repurchase. “Change of control repurchase event” means the occurrence of both a change of control and a below investment grade rating event.</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51" w:type="dxa"/>
            <w:tcBorders/>
          </w:tcPr>
          <w:p>
            <w:pPr>
              <w:pStyle w:val="TableContents"/>
              <w:bidi w:val="0"/>
              <w:spacing w:before="0" w:after="283"/>
              <w:jc w:val="left"/>
              <w:rPr/>
            </w:pPr>
            <w:r>
              <w:rPr/>
              <w:t>“</w:t>
            </w:r>
            <w:r>
              <w:rPr/>
              <w:t>Change of control” means the consummation of any transaction (including, without limitation, any merger or consolidation) the result of which is that any “person” (as that term is used in Section 13(d)(3) of the Exchange Act) becomes the beneficial owner, directly or indirectly, of more than 50% of our voting stock, measured by voting power rather than number of shares. Notwithstanding the foregoing, a transaction effected to create a holding company for us will not be deemed to involve a change of control if: (1) pursuant to such transaction we become a direct or indirect wholly owned subsidiary of such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51"/>
        <w:gridCol w:w="120"/>
        <w:gridCol w:w="7134"/>
      </w:tblGrid>
      <w:tr>
        <w:trPr/>
        <w:tc>
          <w:tcPr>
            <w:tcW w:w="2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4" w:type="dxa"/>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w:t>
            </w:r>
            <w:r>
              <w:rPr/>
              <w:t>Below investment grade rating event” is defined in the Preliminary Prospectus Supplement dated August 11, 2026 relating to the Series YY Notes.</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Sinking Fund Provisions:</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None</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Other Provisions:</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As specified in the Preliminary Prospectus Supplement dated August 11, 2026 relating to the Series YY Notes.</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Securities Exchange:</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The Series YY Notes will not be listed on any exchange.</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Ratings:</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Baa2 by Moody’s Investors Service, Inc.</w:t>
            </w:r>
          </w:p>
          <w:p>
            <w:pPr>
              <w:pStyle w:val="TableContents"/>
              <w:bidi w:val="0"/>
              <w:spacing w:before="0" w:after="20"/>
              <w:jc w:val="left"/>
              <w:rPr>
                <w:rFonts w:ascii="Times New Roman" w:hAnsi="Times New Roman"/>
                <w:sz w:val="20"/>
              </w:rPr>
            </w:pPr>
            <w:r>
              <w:rPr>
                <w:rFonts w:ascii="Times New Roman" w:hAnsi="Times New Roman"/>
                <w:sz w:val="20"/>
              </w:rPr>
              <w:t>BBB by S&amp;P Global Ratings</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Closing Date and Delivery Date:</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August 13, 2026</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Closing Location:</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Simpson Thacher &amp; Bartlett LLP</w:t>
            </w:r>
          </w:p>
          <w:p>
            <w:pPr>
              <w:pStyle w:val="TableContents"/>
              <w:bidi w:val="0"/>
              <w:spacing w:before="0" w:after="0"/>
              <w:jc w:val="left"/>
              <w:rPr>
                <w:rFonts w:ascii="Times New Roman" w:hAnsi="Times New Roman"/>
                <w:sz w:val="20"/>
              </w:rPr>
            </w:pPr>
            <w:r>
              <w:rPr>
                <w:rFonts w:ascii="Times New Roman" w:hAnsi="Times New Roman"/>
                <w:sz w:val="20"/>
              </w:rPr>
              <w:t>425 Lexington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10017</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Address for Notices to Underwriters:</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Investment Grade Syndicate Desk</w:t>
            </w:r>
          </w:p>
          <w:p>
            <w:pPr>
              <w:pStyle w:val="TableContents"/>
              <w:bidi w:val="0"/>
              <w:spacing w:before="0" w:after="0"/>
              <w:jc w:val="left"/>
              <w:rPr>
                <w:rFonts w:ascii="Times New Roman" w:hAnsi="Times New Roman"/>
                <w:sz w:val="20"/>
              </w:rPr>
            </w:pPr>
            <w:r>
              <w:rPr>
                <w:rFonts w:ascii="Times New Roman" w:hAnsi="Times New Roman"/>
                <w:sz w:val="20"/>
              </w:rPr>
              <w:t>Facsimile: (212) 834-6081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300 Fifth Avenue, 10th Floor</w:t>
            </w:r>
          </w:p>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Debt Capital Markets, Fixed Income Transaction Execution</w:t>
            </w:r>
          </w:p>
          <w:p>
            <w:pPr>
              <w:pStyle w:val="TableContents"/>
              <w:bidi w:val="0"/>
              <w:spacing w:before="0" w:after="0"/>
              <w:jc w:val="left"/>
              <w:rPr>
                <w:rFonts w:ascii="Times New Roman" w:hAnsi="Times New Roman"/>
                <w:sz w:val="20"/>
              </w:rPr>
            </w:pPr>
            <w:r>
              <w:rPr>
                <w:rFonts w:ascii="Times New Roman" w:hAnsi="Times New Roman"/>
                <w:sz w:val="20"/>
              </w:rPr>
              <w:t>E-Mail: capitalmarketsnotices@pnc.com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50 Hudson Yards, 70th Floor</w:t>
            </w:r>
          </w:p>
          <w:p>
            <w:pPr>
              <w:pStyle w:val="TableContents"/>
              <w:bidi w:val="0"/>
              <w:spacing w:before="0" w:after="0"/>
              <w:jc w:val="left"/>
              <w:rPr>
                <w:rFonts w:ascii="Times New Roman" w:hAnsi="Times New Roman"/>
                <w:sz w:val="20"/>
              </w:rPr>
            </w:pPr>
            <w:r>
              <w:rPr>
                <w:rFonts w:ascii="Times New Roman" w:hAnsi="Times New Roman"/>
                <w:sz w:val="20"/>
              </w:rPr>
              <w:t>New York, New York 10001</w:t>
            </w:r>
          </w:p>
          <w:p>
            <w:pPr>
              <w:pStyle w:val="TableContents"/>
              <w:bidi w:val="0"/>
              <w:spacing w:before="0" w:after="0"/>
              <w:jc w:val="left"/>
              <w:rPr>
                <w:rFonts w:ascii="Times New Roman" w:hAnsi="Times New Roman"/>
                <w:sz w:val="20"/>
              </w:rPr>
            </w:pPr>
            <w:r>
              <w:rPr>
                <w:rFonts w:ascii="Times New Roman" w:hAnsi="Times New Roman"/>
                <w:sz w:val="20"/>
              </w:rPr>
              <w:t>Attention: Investment Grade Capital Markets</w:t>
            </w:r>
          </w:p>
          <w:p>
            <w:pPr>
              <w:pStyle w:val="TableContents"/>
              <w:bidi w:val="0"/>
              <w:spacing w:before="0" w:after="0"/>
              <w:jc w:val="left"/>
              <w:rPr>
                <w:rFonts w:ascii="Times New Roman" w:hAnsi="Times New Roman"/>
                <w:sz w:val="20"/>
              </w:rPr>
            </w:pPr>
            <w:r>
              <w:rPr>
                <w:rFonts w:ascii="Times New Roman" w:hAnsi="Times New Roman"/>
                <w:sz w:val="20"/>
              </w:rPr>
              <w:t>Facsimile: (404) 926-5027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214 N. Tryon Street, 26th Floor</w:t>
            </w:r>
          </w:p>
          <w:p>
            <w:pPr>
              <w:pStyle w:val="TableContents"/>
              <w:bidi w:val="0"/>
              <w:spacing w:before="0" w:after="0"/>
              <w:jc w:val="left"/>
              <w:rPr>
                <w:rFonts w:ascii="Times New Roman" w:hAnsi="Times New Roman"/>
                <w:sz w:val="20"/>
              </w:rPr>
            </w:pPr>
            <w:r>
              <w:rPr>
                <w:rFonts w:ascii="Times New Roman" w:hAnsi="Times New Roman"/>
                <w:sz w:val="20"/>
              </w:rPr>
              <w:t>Charlotte, North Carolina 28202</w:t>
            </w:r>
          </w:p>
          <w:p>
            <w:pPr>
              <w:pStyle w:val="TableContents"/>
              <w:bidi w:val="0"/>
              <w:spacing w:before="0" w:after="0"/>
              <w:jc w:val="left"/>
              <w:rPr>
                <w:rFonts w:ascii="Times New Roman" w:hAnsi="Times New Roman"/>
                <w:sz w:val="20"/>
              </w:rPr>
            </w:pPr>
            <w:r>
              <w:rPr>
                <w:rFonts w:ascii="Times New Roman" w:hAnsi="Times New Roman"/>
                <w:sz w:val="20"/>
              </w:rPr>
              <w:t>Attention: Debt Capital Markets</w:t>
            </w:r>
          </w:p>
          <w:p>
            <w:pPr>
              <w:pStyle w:val="TableContents"/>
              <w:bidi w:val="0"/>
              <w:spacing w:before="0" w:after="20"/>
              <w:jc w:val="left"/>
              <w:rPr>
                <w:rFonts w:ascii="Times New Roman" w:hAnsi="Times New Roman"/>
                <w:sz w:val="20"/>
              </w:rPr>
            </w:pPr>
            <w:r>
              <w:rPr>
                <w:rFonts w:ascii="Times New Roman" w:hAnsi="Times New Roman"/>
                <w:sz w:val="20"/>
              </w:rPr>
              <w:t>Facsimile: (877) 774-3462</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Final Term Sheet dated August 11,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240" w:after="0"/>
        <w:jc w:val="right"/>
        <w:rPr>
          <w:rFonts w:ascii="Times New Roman" w:hAnsi="Times New Roman"/>
          <w:b/>
          <w:sz w:val="20"/>
        </w:rPr>
      </w:pPr>
      <w:r>
        <w:rPr>
          <w:rFonts w:ascii="Times New Roman" w:hAnsi="Times New Roman"/>
          <w:b/>
          <w:sz w:val="20"/>
        </w:rPr>
        <w:t xml:space="preserve">Issuer Free Writing Prospectus 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w:t>
      </w:r>
    </w:p>
    <w:p>
      <w:pPr>
        <w:pStyle w:val="TextBody"/>
        <w:bidi w:val="0"/>
        <w:spacing w:before="0" w:after="0"/>
        <w:jc w:val="right"/>
        <w:rPr>
          <w:rFonts w:ascii="Times New Roman" w:hAnsi="Times New Roman"/>
          <w:b/>
          <w:sz w:val="20"/>
        </w:rPr>
      </w:pPr>
      <w:r>
        <w:rPr>
          <w:rFonts w:ascii="Times New Roman" w:hAnsi="Times New Roman"/>
          <w:b/>
          <w:sz w:val="20"/>
        </w:rPr>
        <w:t xml:space="preserve">Preliminary Prospectus Supplement dated August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333-277039 </w:t>
      </w:r>
    </w:p>
    <w:p>
      <w:pPr>
        <w:pStyle w:val="TextBody"/>
        <w:bidi w:val="0"/>
        <w:spacing w:before="240" w:after="0"/>
        <w:jc w:val="center"/>
        <w:rPr>
          <w:rFonts w:ascii="Times New Roman" w:hAnsi="Times New Roman"/>
          <w:b/>
          <w:sz w:val="20"/>
        </w:rPr>
      </w:pPr>
      <w:r>
        <w:rPr>
          <w:rFonts w:ascii="Times New Roman" w:hAnsi="Times New Roman"/>
          <w:b/>
          <w:sz w:val="20"/>
        </w:rPr>
        <w:t xml:space="preserve">MARRIOTT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$250,000,000 4.875% Series NN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5.650% Series YY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Dated: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Securities described below and should be read together with Marriott International, Inc.’s preliminary prospectus supplement dated August 11, 2026 (the “Preliminary Prospectus Supplement”), the accompanying prospectus dated February 13, 2024 and the documents incorporated and deemed to be incorporated by reference therein.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4.875% Series NN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Preliminary Prospectus Supplement under “Description of the Notes,” the 4.875% Series NN Notes due 2029 offered hereby constitute an additional issuance of, and a single series with, the $500,000,000 aggregate principal amount of 4.875% Series NN Notes due 2029 that Marriott International, Inc. issued on February 22,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4"/>
        <w:gridCol w:w="122"/>
        <w:gridCol w:w="7129"/>
      </w:tblGrid>
      <w:tr>
        <w:trPr/>
        <w:tc>
          <w:tcPr>
            <w:tcW w:w="29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29" w:type="dxa"/>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Issuer:</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Marriott International, Inc. (the “Company”)</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Anticipated Ratings (Moody’s / S&amp;P)*:</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Baa2 / BBB</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Security:</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4.875% Series NN Notes due 2029 (the “Series NN Notes”)</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Aggregate Principal Reopening Amount:</w:t>
            </w:r>
          </w:p>
        </w:tc>
        <w:tc>
          <w:tcPr>
            <w:tcW w:w="122" w:type="dxa"/>
            <w:tcBorders/>
            <w:vAlign w:val="bottom"/>
          </w:tcPr>
          <w:p>
            <w:pPr>
              <w:pStyle w:val="TableContents"/>
              <w:bidi w:val="0"/>
              <w:spacing w:before="0" w:after="283"/>
              <w:jc w:val="left"/>
              <w:rPr/>
            </w:pPr>
            <w:r>
              <w:rPr/>
              <w:t>  </w:t>
            </w:r>
          </w:p>
        </w:tc>
        <w:tc>
          <w:tcPr>
            <w:tcW w:w="7129" w:type="dxa"/>
            <w:tcBorders/>
            <w:vAlign w:val="bottom"/>
          </w:tcPr>
          <w:p>
            <w:pPr>
              <w:pStyle w:val="TableContents"/>
              <w:bidi w:val="0"/>
              <w:spacing w:before="0" w:after="283"/>
              <w:jc w:val="left"/>
              <w:rPr/>
            </w:pPr>
            <w:r>
              <w:rPr/>
              <w:t>$250,000,000</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Aggregate Principal Amount:</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$750,000,000</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Maturity Date:</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May 15, 2029</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Coupon:</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4.875%</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Interest Payment Dates:</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May 15 and November 15, commencing on November 15, 2026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96"/>
        <w:gridCol w:w="120"/>
        <w:gridCol w:w="7089"/>
      </w:tblGrid>
      <w:tr>
        <w:trPr/>
        <w:tc>
          <w:tcPr>
            <w:tcW w:w="29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9" w:type="dxa"/>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360-day year consisting of twelve 30-day months</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Price to Public:</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100.205% of the principal reopening amount, plus accrued interest from May 15, 2026</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4.125% due July 15, 2029</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Benchmark Treasury Price / Yield:</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99-17+ / 4.291%</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50 basis points</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Reoffer Yield to Maturity: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4.791%</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Accrued Interest Payable to Marriott International, Inc. by the Underwriters:</w:t>
            </w:r>
          </w:p>
        </w:tc>
        <w:tc>
          <w:tcPr>
            <w:tcW w:w="120" w:type="dxa"/>
            <w:tcBorders/>
            <w:vAlign w:val="bottom"/>
          </w:tcPr>
          <w:p>
            <w:pPr>
              <w:pStyle w:val="TableContents"/>
              <w:bidi w:val="0"/>
              <w:spacing w:before="0" w:after="283"/>
              <w:jc w:val="left"/>
              <w:rPr/>
            </w:pPr>
            <w:r>
              <w:rPr/>
              <w:t>  </w:t>
            </w:r>
          </w:p>
        </w:tc>
        <w:tc>
          <w:tcPr>
            <w:tcW w:w="7089" w:type="dxa"/>
            <w:tcBorders/>
            <w:vAlign w:val="bottom"/>
          </w:tcPr>
          <w:p>
            <w:pPr>
              <w:pStyle w:val="TableContents"/>
              <w:bidi w:val="0"/>
              <w:spacing w:before="0" w:after="283"/>
              <w:jc w:val="left"/>
              <w:rPr/>
            </w:pPr>
            <w:r>
              <w:rPr/>
              <w:t>Accrued interest from and including May 15, 2026 to but excluding the expected settlement date set forth below. Interest on the Series NN Notes offered hereby will accrue from and including May 15, 2026.</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Optional Redemption Provisions:</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Prior to April 15, 2029 (one month prior to the maturity date of the Series NN Notes) (the “Series NN Par Call Date”), the Company may redeem the Series NN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NN Notes discounted to the redemption date (assuming the Series NN Notes matured on the Series NN Par Call Date) on a semi-annual basis (assuming a 360-day year consisting of twelve 30-day months) at the Treasury Rate plus 15 basis points less (b) interest accrued to the date of redemption, and (2) 100% of the principal amount of the Series NN Notes to be redeemed, plus, in either case, accrued and unpaid interest on the Series NN Notes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Series NN Par Call Date, the Company may redeem the Series NN Notes, in whole or in part, at any time and from time to time, at its option, at a redemption price equal to 100% of the principal amount of the Series NN Notes being redeemed plus accrued and unpaid interest on the Series NN Notes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6"/>
        <w:gridCol w:w="120"/>
        <w:gridCol w:w="7099"/>
      </w:tblGrid>
      <w:tr>
        <w:trPr/>
        <w:tc>
          <w:tcPr>
            <w:tcW w:w="29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9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Change of Control:</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Issuer repurchase offer required following certain changes of control as described in the Preliminary Prospectus Supplement.</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August 11, 2026</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Expected Settlement Date**:</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August 13, 2026 (T+2)</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571903 BP7 / US571903BP73</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Denominations: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$2,000 and integral multiples of $1,000 in excess thereof</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Senior Co-Managers: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UniCredit Capital Markets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5.650% Series YY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9"/>
        <w:gridCol w:w="120"/>
        <w:gridCol w:w="7136"/>
      </w:tblGrid>
      <w:tr>
        <w:trPr/>
        <w:tc>
          <w:tcPr>
            <w:tcW w:w="29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6" w:type="dxa"/>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Marriott International, Inc. (the “Company”)</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Anticipated Ratings (Moody’s / S&amp;P)*:</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Baa2 / BBB</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5.650% Series YY Notes due 2036 (the “Series YY Notes”)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Aggregate Principal Amount:</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$1,000,000,000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September 15, 2036</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Coupon: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5.650%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March 15 and September 15, commencing on March 15, 2027</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360-day year consisting of twelve 30-day months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Price to Public:</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99.325% of the principal amount</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4.375% due May 15, 2036</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 Price / Yield:</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97-18 / 4.688%</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105 basis points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5.738%</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Optional Redemption Provisions:</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Prior to June 15, 2036 (three months prior to the maturity date of the Series YY Notes) (the “Series YY Par Call Date”), the Company may redeem the Series YY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YY Notes discounted to the redemption date (assuming the Series YY Notes matured on the Series YY Par Call Date) on a semi-annual basis (assuming a 360-day year consisting of twelve 30-day months) at the Treasury Rate plus 20 basis points less (b) interest accrued to the date of redemption, and (2) 100% of the principal amount of the Series YY Notes to be redeemed, plus, in either case, accrued and unpaid interest on the Series YY Notes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93"/>
        <w:gridCol w:w="121"/>
        <w:gridCol w:w="7091"/>
      </w:tblGrid>
      <w:tr>
        <w:trPr/>
        <w:tc>
          <w:tcPr>
            <w:tcW w:w="29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91" w:type="dxa"/>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On or after the Series YY Par Call Date, the Company may redeem the Series YY Notes, in whole or in part, at any time and from time to time, at its option, at a redemption price equal to 100% of the principal amount of the Series YY Notes being redeemed plus accrued and unpaid interest on the Series YY Notes to the redemption date.</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Change of Control:</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Issuer repurchase offer required following certain changes of control as described in the Preliminary Prospectus Supplement.</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Trade Date:</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August 11, 2026</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Expected Settlement Date**:</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August 13, 2026 (T+2)</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CUSIP / ISIN:</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571903 CA9 / US571903CA95</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Denominations: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$2,000 and integral multiples of $1,000 in excess thereof</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Joint Book-Running Managers: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Senior Co-Managers: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UniCredit Capital Markets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August 13, 2026, which will be the second business day following the date of the pricing of the notes (this settlement cycle being referred to as “T+2”). Under Rule 15c6-1 under the Securities Exchange Act of 1934, as amended, trades in the secondary market generally are required to settle in one business day, unless the parties to a trade expressly agree otherwise. Accordingly, purchasers who wish to trade their notes prior to the business day before settlement will be required, by virtue of the fact that the notes initially will settle in T+2, to specify alternative settlement arrangements to prevent a failed settlement. Purchasers of the notes who wish to trade their notes prior to the business day before settlement should consult their own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hAnsi="Times New Roman"/>
          <w:b/>
          <w:sz w:val="20"/>
          <w:u w:val="single"/>
        </w:rPr>
        <w:t>www.sec.gov.</w:t>
      </w:r>
      <w:r>
        <w:rPr>
          <w:rFonts w:ascii="Times New Roman" w:hAnsi="Times New Roman"/>
          <w:b/>
          <w:sz w:val="20"/>
        </w:rPr>
        <w:t xml:space="preserve"> Alternatively, the issuer, any underwriter or any dealer participating in the offering will arrange to send you the prospectus if you request it by calling J.P. Morgan Securities LLC at (collect) (212) 834-4533, PNC Capital Markets LLC at (855) 881-0697, Truist Securities, Inc. at 1-800-685-4786, or U.S. Bancorp Investments, Inc. at 877-558-2607. </w:t>
      </w:r>
    </w:p>
    <w:p>
      <w:pPr>
        <w:pStyle w:val="TextBody"/>
        <w:bidi w:val="0"/>
        <w:spacing w:before="0" w:after="0"/>
        <w:jc w:val="right"/>
        <w:rPr>
          <w:rFonts w:ascii="Times New Roman" w:hAnsi="Times New Roman"/>
          <w:b/>
          <w:sz w:val="20"/>
        </w:rPr>
      </w:pPr>
      <w:bookmarkStart w:id="4" w:name="d162127dex41.htm"/>
      <w:bookmarkStart w:id="5" w:name="ksd162127dex41"/>
      <w:bookmarkEnd w:id="4"/>
      <w:bookmarkEnd w:id="5"/>
      <w:r>
        <w:rPr>
          <w:rFonts w:ascii="Times New Roman" w:hAnsi="Times New Roman"/>
          <w:b/>
          <w:sz w:val="20"/>
        </w:rPr>
        <w:t xml:space="preserve">Exhibit 4.1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4.875% Series NN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9"/>
        <w:gridCol w:w="124"/>
        <w:gridCol w:w="4832"/>
      </w:tblGrid>
      <w:tr>
        <w:trPr/>
        <w:tc>
          <w:tcPr>
            <w:tcW w:w="524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5249" w:type="dxa"/>
            <w:tcBorders/>
          </w:tcPr>
          <w:p>
            <w:pPr>
              <w:pStyle w:val="TableContents"/>
              <w:bidi w:val="0"/>
              <w:spacing w:before="0" w:after="283"/>
              <w:jc w:val="left"/>
              <w:rPr/>
            </w:pPr>
            <w:r>
              <w:rPr/>
              <w:t>No. R-</w:t>
            </w:r>
          </w:p>
        </w:tc>
        <w:tc>
          <w:tcPr>
            <w:tcW w:w="124"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right"/>
              <w:rPr/>
            </w:pPr>
            <w:r>
              <w:rPr/>
              <w:t>$</w:t>
            </w:r>
          </w:p>
        </w:tc>
      </w:tr>
      <w:tr>
        <w:trPr/>
        <w:tc>
          <w:tcPr>
            <w:tcW w:w="5249" w:type="dxa"/>
            <w:tcBorders/>
          </w:tcPr>
          <w:p>
            <w:pPr>
              <w:pStyle w:val="TableContents"/>
              <w:bidi w:val="0"/>
              <w:spacing w:before="0" w:after="283"/>
              <w:jc w:val="left"/>
              <w:rPr/>
            </w:pPr>
            <w:r>
              <w:rPr/>
              <w:t>CUSIP 571903 BP7</w:t>
            </w:r>
          </w:p>
        </w:tc>
        <w:tc>
          <w:tcPr>
            <w:tcW w:w="124"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MARRIOTT INTERNATIONAL, INC., a corporation duly organized and existing under the laws of Delaware (herein called the “</w:t>
      </w:r>
      <w:r>
        <w:rPr>
          <w:rFonts w:ascii="Times New Roman" w:hAnsi="Times New Roman"/>
          <w:sz w:val="20"/>
          <w:u w:val="single"/>
        </w:rPr>
        <w:t>Company</w:t>
      </w:r>
      <w:r>
        <w:rPr>
          <w:rFonts w:ascii="Times New Roman" w:hAnsi="Times New Roman"/>
          <w:sz w:val="20"/>
        </w:rPr>
        <w:t xml:space="preserve">,” which term includes any successor Person under the Indenture hereinafter referred to), for value received, hereby promises to pay to Cede &amp; Co., or registered assigns, the principal sum of      Dollars on May 15, 2029 and to pay interest thereon from May 15, 2026, semi-annually on May 15 and November 15 in each year, commencing on November 15, 2026, at the rate of 4.875% per annum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All such payments of principal, interest and premium, if any, shall be paid in immediately available funds.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1 or November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Security will be made at the office or agency of the Trustee maintained for that purpose in New York, New York,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 of interest may be made by check mailed to the address of the Person entitled thereto as such address shall appear in the Security Register;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the foregoing, the Person in whose name this Security is registered may elect to receive payments of interest on this Security (other than at Maturity) by electronic funds transfer of immediately available funds to an account maintained by such Person, </w:t>
      </w:r>
      <w:r>
        <w:rPr>
          <w:rFonts w:ascii="Times New Roman" w:hAnsi="Times New Roman"/>
          <w:i/>
          <w:sz w:val="20"/>
        </w:rPr>
        <w:t>provided</w:t>
      </w:r>
      <w:r>
        <w:rPr>
          <w:rFonts w:ascii="Times New Roman" w:hAnsi="Times New Roman"/>
          <w:sz w:val="20"/>
        </w:rPr>
        <w:t xml:space="preserve"> such Person so elects by giving written notice to a Paying Agent designating such account, no later than the May 1 or November 1 immediately preceding the May 15 or November 15 Interest Payment Date, as the case may be. Unless such designation is revoked by such Person, any such designation made by such Person with respect to such Securities shall remain in effect with respect to any future payments with respect to such Securities payable to such Person. If any Interest Payment Date, the stated maturity date or redemption or repurchase date for the Securities is not a Business Day, the payment otherwise required to be made on such date will be made on the next Business Day without any additional payment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8"/>
        <w:gridCol w:w="108"/>
        <w:gridCol w:w="388"/>
        <w:gridCol w:w="108"/>
        <w:gridCol w:w="365"/>
        <w:gridCol w:w="108"/>
        <w:gridCol w:w="4680"/>
      </w:tblGrid>
      <w:tr>
        <w:trPr/>
        <w:tc>
          <w:tcPr>
            <w:tcW w:w="444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48"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5261" w:type="dxa"/>
            <w:gridSpan w:val="4"/>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53" w:type="dxa"/>
            <w:gridSpan w:val="3"/>
            <w:tcBorders/>
          </w:tcPr>
          <w:p>
            <w:pPr>
              <w:pStyle w:val="TableContents"/>
              <w:bidi w:val="0"/>
              <w:spacing w:before="0" w:after="283"/>
              <w:jc w:val="left"/>
              <w:rPr/>
            </w:pPr>
            <w:r>
              <w:rPr/>
              <w:t>MARRIOTT INTERNATIONAL, INC.</w:t>
            </w:r>
          </w:p>
        </w:tc>
      </w:tr>
      <w:tr>
        <w:trPr>
          <w:trHeight w:val="240" w:hRule="atLeast"/>
        </w:trPr>
        <w:tc>
          <w:tcPr>
            <w:tcW w:w="4448"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473" w:type="dxa"/>
            <w:gridSpan w:val="2"/>
            <w:tcBorders/>
            <w:vAlign w:val="center"/>
          </w:tcPr>
          <w:p>
            <w:pPr>
              <w:pStyle w:val="TableContents"/>
              <w:bidi w:val="0"/>
              <w:spacing w:before="0" w:after="283"/>
              <w:jc w:val="left"/>
              <w:rPr>
                <w:sz w:val="4"/>
                <w:szCs w:val="4"/>
              </w:rPr>
            </w:pPr>
            <w:r>
              <w:rPr>
                <w:sz w:val="4"/>
                <w:szCs w:val="4"/>
              </w:rPr>
            </w:r>
          </w:p>
        </w:tc>
        <w:tc>
          <w:tcPr>
            <w:tcW w:w="4788" w:type="dxa"/>
            <w:gridSpan w:val="2"/>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680" w:type="dxa"/>
            <w:tcBorders>
              <w:bottom w:val="single" w:sz="2" w:space="0" w:color="000000"/>
            </w:tcBorders>
            <w:tcMar>
              <w:bottom w:w="28" w:type="dxa"/>
            </w:tcMar>
          </w:tcPr>
          <w:p>
            <w:pPr>
              <w:pStyle w:val="TableContents"/>
              <w:bidi w:val="0"/>
              <w:spacing w:before="0" w:after="283"/>
              <w:jc w:val="left"/>
              <w:rPr/>
            </w:pPr>
            <w:r>
              <w:rPr/>
              <w:t> </w:t>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vAlign w:val="bottom"/>
          </w:tcPr>
          <w:p>
            <w:pPr>
              <w:pStyle w:val="TableContents"/>
              <w:bidi w:val="0"/>
              <w:spacing w:before="0" w:after="283"/>
              <w:jc w:val="left"/>
              <w:rPr/>
            </w:pPr>
            <w:r>
              <w:rPr/>
              <w:t>Jennifer C. Mason</w:t>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vAlign w:val="bottom"/>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Stephanie N. Carrick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Assistant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10"/>
        <w:gridCol w:w="102"/>
        <w:gridCol w:w="4599"/>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5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113" w:type="dxa"/>
            <w:gridSpan w:val="4"/>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1" w:type="dxa"/>
            <w:gridSpan w:val="3"/>
            <w:tcBorders/>
          </w:tcPr>
          <w:p>
            <w:pPr>
              <w:pStyle w:val="TableContents"/>
              <w:bidi w:val="0"/>
              <w:spacing w:before="0" w:after="283"/>
              <w:jc w:val="left"/>
              <w:rPr/>
            </w:pPr>
            <w:r>
              <w:rPr/>
              <w:t>THE BANK OF NEW YORK MELLON</w:t>
              <w:br/>
            </w:r>
            <w:r>
              <w:rPr>
                <w:i/>
              </w:rPr>
              <w:t>as Trustee</w:t>
            </w:r>
          </w:p>
        </w:tc>
      </w:tr>
      <w:tr>
        <w:trPr>
          <w:trHeight w:val="240" w:hRule="atLeast"/>
        </w:trPr>
        <w:tc>
          <w:tcPr>
            <w:tcW w:w="45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99" w:type="dxa"/>
            <w:tcBorders>
              <w:bottom w:val="single" w:sz="2" w:space="0" w:color="000000"/>
            </w:tcBorders>
            <w:tcMar>
              <w:bottom w:w="28" w:type="dxa"/>
            </w:tcMar>
          </w:tcPr>
          <w:p>
            <w:pPr>
              <w:pStyle w:val="TableContents"/>
              <w:bidi w:val="0"/>
              <w:spacing w:before="0" w:after="283"/>
              <w:jc w:val="left"/>
              <w:rPr/>
            </w:pPr>
            <w:r>
              <w:rPr/>
              <w:t> </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pPr>
            <w:r>
              <w:rPr/>
              <w:t>Authorized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sz w:val="20"/>
          <w:u w:val="single"/>
        </w:rPr>
        <w:t>Securities</w:t>
      </w:r>
      <w:r>
        <w:rPr>
          <w:rFonts w:ascii="Times New Roman" w:hAnsi="Times New Roman"/>
          <w:sz w:val="20"/>
        </w:rPr>
        <w:t>”), issued and to be issued in one or more series under an Indenture, dated as of November 16, 1998 (herein called the “</w:t>
      </w:r>
      <w:r>
        <w:rPr>
          <w:rFonts w:ascii="Times New Roman" w:hAnsi="Times New Roman"/>
          <w:sz w:val="20"/>
          <w:u w:val="single"/>
        </w:rPr>
        <w:t>Indenture</w:t>
      </w:r>
      <w:r>
        <w:rPr>
          <w:rFonts w:ascii="Times New Roman" w:hAnsi="Times New Roman"/>
          <w:sz w:val="20"/>
        </w:rPr>
        <w:t>”, which term shall have the meaning assigned to it in such instrument), between the Company and The Bank of New York Mellon, successor to JPMorgan Chase Bank, N.A., formerly known as The Chase Manhattan Bank, as Trustee (herein called the “</w:t>
      </w:r>
      <w:r>
        <w:rPr>
          <w:rFonts w:ascii="Times New Roman" w:hAnsi="Times New Roman"/>
          <w:sz w:val="20"/>
          <w:u w:val="single"/>
        </w:rPr>
        <w:t>Trustee</w:t>
      </w:r>
      <w:r>
        <w:rPr>
          <w:rFonts w:ascii="Times New Roman" w:hAnsi="Times New Roman"/>
          <w:sz w:val="20"/>
        </w:rPr>
        <w:t>”,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as modified by the provisions set forth below and on the face hereof. This Security is one of the series designated on the face hereof</w:t>
      </w:r>
      <w:r>
        <w:rPr>
          <w:rFonts w:ascii="Times New Roman" w:hAnsi="Times New Roman"/>
          <w:i/>
          <w:sz w:val="20"/>
        </w:rPr>
        <w:t xml:space="preserve">, </w:t>
      </w:r>
      <w:r>
        <w:rPr>
          <w:rFonts w:ascii="Times New Roman" w:hAnsi="Times New Roman"/>
          <w:sz w:val="20"/>
        </w:rPr>
        <w:t xml:space="preserve">limited as of the date hereof in aggregate principal amount to $750,000,000. The Company may subsequently issue additional securities as part of this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The Company may redeem the Securities in whole or in part, at any time and from time to time, at its option, prior to April 15, 2029 (one month prior to the maturity date of the Securities) (the “</w:t>
      </w:r>
      <w:r>
        <w:rPr>
          <w:rFonts w:ascii="Times New Roman" w:hAnsi="Times New Roman"/>
          <w:sz w:val="20"/>
          <w:u w:val="single"/>
        </w:rPr>
        <w:t>Par Call Date</w:t>
      </w:r>
      <w:r>
        <w:rPr>
          <w:rFonts w:ascii="Times New Roman" w:hAnsi="Times New Roman"/>
          <w:sz w:val="20"/>
        </w:rPr>
        <w:t xml:space="preserv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date of redemption, and (2) 100% of the principal amount of the Securities to be redeemed, 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in whole or in part, at any time and from time to time, at its option,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shall be made by lot. No Securities of a principal amount of $2,000 or less shall be redeemed in part. If any Security is to be redeemed in part only, the notice of redemption that relates to the Security shall state the portion of the principal amount of the Security to be redeemed. A new Security in a principal amount equal to the unredeemed portion of the Security shall be issued in the name of the Holder of the Security upon surrender for cancellation of the original Security. For so long as the Securities are held by DTC (or another Depositary), the redemption of the Securities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or portions thereof called for redemption.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of the notice of redemption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notice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Repurchase Event (as defined below) occurs, unless the Company has exercised its right to redeem the Securities of this series, the Company will make an offer to each Holder of the Securities of this series to repurchase all or any part (in excess of $2,000 in integral multiples of $1,000) of that Holder’s Securities of this series at a repurchase price in cash equal to 101% of the aggregate principal amount of the Securities of this series repurchased plus any accrued and unpaid interest on the Securities of this series repurchased to the date of purchase. Within 30 days following any Change of Control Repurchase Event or, at the Company’s option,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any Change of Control (as defined below), but after the public announcement of the Change of Control, the Company will deliver a notice to each Holder, with a copy to the Trustee, describing the transaction or transactions that constitute or may constitute the Change of Control Repurchase Event and offering to repurchase the Securities of this series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will comply with the requirements of Rule 14e-1 under the Securities Exchange Act of 1934, as amended, and any other securities laws and regulations thereunder to the extent those laws and regulations are applicable in connection with the repurchase of the Securities of this series as a result of a Change of Control Repurchase Event. To the extent that the provisions of any securities laws or regulations conflict with the Change of Control Repurchase Event provisions herein, the Company will comply with the applicable securities laws and regulations and will not be deemed to have breached its obligations under the Change of Control Repurchase Event provisions herein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the Company will,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Securities of this series or portions of Securities of this series properly tendered pursuant to the Company’s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purchase price in respect of all Securities of this series or portions of Securities of this series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the Securities of this series properly accepted, together with an Officers’ Certificate stating the aggregate principal amount of the Securities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pay to each Holder of the Securities of this series properly tendered the purchase price for the Securities, and the Trustee will promptly authenticate and deliver (or cause to be transferred by book-entry) to each Holder a new Security equal in principal amount to any unpurchased portion of any Securities surrendered; </w:t>
      </w:r>
      <w:r>
        <w:rPr>
          <w:rFonts w:ascii="Times New Roman" w:hAnsi="Times New Roman"/>
          <w:i/>
          <w:sz w:val="20"/>
        </w:rPr>
        <w:t>provided</w:t>
      </w:r>
      <w:r>
        <w:rPr>
          <w:rFonts w:ascii="Times New Roman" w:hAnsi="Times New Roman"/>
          <w:sz w:val="20"/>
        </w:rPr>
        <w:t xml:space="preserve"> that each new Security will be in a principal amount of $2,000 or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Securities of this series upon a Change of Control Repurchase Event if a third party makes such an offer in the manner, at the times and otherwise in compliance with the requirements for an offer made by the Company and such third party purchases all Securities of this series properly tendered and not withdrawn under its offer. </w:t>
      </w:r>
    </w:p>
    <w:p>
      <w:pPr>
        <w:pStyle w:val="TextBody"/>
        <w:bidi w:val="0"/>
        <w:spacing w:before="240" w:after="0"/>
        <w:jc w:val="left"/>
        <w:rPr/>
      </w:pPr>
      <w:r>
        <w:rPr/>
        <w:t>“</w:t>
      </w:r>
      <w:r>
        <w:rPr>
          <w:rFonts w:ascii="Times New Roman" w:hAnsi="Times New Roman"/>
          <w:i/>
          <w:sz w:val="20"/>
        </w:rPr>
        <w:t>Below Investment Grade Rating Event</w:t>
      </w:r>
      <w:r>
        <w:rPr>
          <w:rFonts w:ascii="Times New Roman" w:hAnsi="Times New Roman"/>
          <w:sz w:val="20"/>
        </w:rPr>
        <w:t xml:space="preserve">” means the Securities of this series are rated below Investment Grade (as defined below) by both Rating Agencies (as defined below) on any date from the date of the public notice of an arrangement that could result in a Change of Control until the end of the 60-day period following public notice of the occurrence of a Change of Control (which period shall be extended so long as the rating of the Securities of this series is under publicly announced consideration for possible downgrade by either of the Rating Agencies); </w:t>
      </w:r>
      <w:r>
        <w:rPr>
          <w:rFonts w:ascii="Times New Roman" w:hAnsi="Times New Roman"/>
          <w:i/>
          <w:sz w:val="20"/>
        </w:rPr>
        <w:t>provided</w:t>
      </w:r>
      <w:r>
        <w:rPr>
          <w:rFonts w:ascii="Times New Roman" w:hAnsi="Times New Roman"/>
          <w:sz w:val="20"/>
        </w:rPr>
        <w:t xml:space="preserve"> that a Below Investment Grade Rating Event otherwise arising by virtue of a particular reduction in rating shall not be deemed to have occurred in respect of a particular Change of Control (and thus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not be deemed a Below Investment Grade Rating Event for purposes of the definition of Change of Control Repurchase Event herein)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consummation of any transaction (including, without limitation, any merger or consolidation) the result of which is that any “person” (as that term is used in Section 13(d)(3) of the Securities Exchange Act of 1934, as amended) becomes the beneficial owner, directly or indirectly, of more than 50% of the Company’s Voting Stock, measured by voting power rather than number of shares. Notwithstanding the foregoing, a transaction effected to create a holding company for the Company will not be deemed to involve a Change of Control if: (1) pursuant to such transaction the Company becomes a direct or indirect wholly owned subsidiary of such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both a Change of Control and a Below Investment Grade Rating Event.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and the equivalent investment grade credit rating from any replacement Rating Agency or Rating Agencies selected by the Company.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(1) each of Moody’s and S&amp;P; and (2) if either of Moody’s or S&amp;P ceases to rate the Securities of this series or fails to make a rating of the Securities of this series publicly available for reasons outside of the Company’s control, a Substitute Rating Agency.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and its successors. </w:t>
      </w:r>
    </w:p>
    <w:p>
      <w:pPr>
        <w:pStyle w:val="TextBody"/>
        <w:bidi w:val="0"/>
        <w:spacing w:before="240" w:after="0"/>
        <w:jc w:val="left"/>
        <w:rPr/>
      </w:pPr>
      <w:r>
        <w:rPr/>
        <w:t>“</w:t>
      </w:r>
      <w:r>
        <w:rPr>
          <w:rFonts w:ascii="Times New Roman" w:hAnsi="Times New Roman"/>
          <w:i/>
          <w:sz w:val="20"/>
        </w:rPr>
        <w:t>Substitute Rating Agency</w:t>
      </w:r>
      <w:r>
        <w:rPr>
          <w:rFonts w:ascii="Times New Roman" w:hAnsi="Times New Roman"/>
          <w:sz w:val="20"/>
        </w:rPr>
        <w:t xml:space="preserve">” means a “nationally recognized statistical rating organization” within the meaning of Section 3(a)(62) under the Securities Exchange Act of 1934, as amended, selected by the Company (as certified by a resolution of the Company’s board of directors) as a replacement agency for Moody’s or S&amp;P, or both, as the case may be.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that term is used in Section 13(d)(3) of the Securities Exchange Act of 1934, as amended) as of any date means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Trustee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circumstances specified in Clause (2) of the last paragraph of Section 305 of the Indenture in which a Global Security of such series may be exchanged in whole or in part for Securities of such series registered, and any transfer of such Global Security in whole or in part may be registered, in the name of Persons other than the Depositary for such Global Security or a nominee thereof, the Company may, in its sole discretion, determine that such Global Security will be exchangeable for Securities registered in the name of Persons other than the Depositary or a nominee thereof and notify the Trustee of its decision.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abbreviations, when used in the inscription on the face of the within Security,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10"/>
        <w:gridCol w:w="102"/>
        <w:gridCol w:w="4126"/>
        <w:gridCol w:w="120"/>
        <w:gridCol w:w="4747"/>
      </w:tblGrid>
      <w:tr>
        <w:trPr/>
        <w:tc>
          <w:tcPr>
            <w:tcW w:w="11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7" w:type="dxa"/>
            <w:tcBorders/>
            <w:vAlign w:val="center"/>
          </w:tcPr>
          <w:p>
            <w:pPr>
              <w:pStyle w:val="TableContents"/>
              <w:bidi w:val="0"/>
              <w:spacing w:before="0" w:after="283"/>
              <w:jc w:val="left"/>
              <w:rPr>
                <w:sz w:val="4"/>
                <w:szCs w:val="4"/>
              </w:rPr>
            </w:pPr>
            <w:r>
              <w:rPr>
                <w:sz w:val="4"/>
                <w:szCs w:val="4"/>
              </w:rPr>
            </w:r>
          </w:p>
        </w:tc>
      </w:tr>
      <w:tr>
        <w:trPr/>
        <w:tc>
          <w:tcPr>
            <w:tcW w:w="1110" w:type="dxa"/>
            <w:tcBorders/>
          </w:tcPr>
          <w:p>
            <w:pPr>
              <w:pStyle w:val="TableContents"/>
              <w:bidi w:val="0"/>
              <w:spacing w:before="0" w:after="283"/>
              <w:jc w:val="left"/>
              <w:rPr/>
            </w:pPr>
            <w:r>
              <w:rPr/>
              <w:t>TEN COM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tenants in common</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pPr>
            <w:r>
              <w:rPr/>
              <w:t>UNIF GIFT MIN Act –_____Custodian _____</w:t>
            </w:r>
          </w:p>
        </w:tc>
      </w:tr>
      <w:tr>
        <w:trPr/>
        <w:tc>
          <w:tcPr>
            <w:tcW w:w="11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pPr>
            <w:r>
              <w:rPr/>
              <w:t>          </w:t>
            </w:r>
            <w:r>
              <w:rPr/>
              <w:t>(Cust)     (Minor)</w:t>
            </w:r>
          </w:p>
        </w:tc>
      </w:tr>
      <w:tr>
        <w:trPr/>
        <w:tc>
          <w:tcPr>
            <w:tcW w:w="1110" w:type="dxa"/>
            <w:tcBorders/>
          </w:tcPr>
          <w:p>
            <w:pPr>
              <w:pStyle w:val="TableContents"/>
              <w:bidi w:val="0"/>
              <w:spacing w:before="0" w:after="283"/>
              <w:jc w:val="left"/>
              <w:rPr/>
            </w:pPr>
            <w:r>
              <w:rPr/>
              <w:t>TEN ENT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tenants by the entireties</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0"/>
              <w:jc w:val="left"/>
              <w:rPr>
                <w:rFonts w:ascii="Times New Roman" w:hAnsi="Times New Roman"/>
                <w:sz w:val="20"/>
              </w:rPr>
            </w:pPr>
            <w:r>
              <w:rPr>
                <w:rFonts w:ascii="Times New Roman" w:hAnsi="Times New Roman"/>
                <w:sz w:val="20"/>
              </w:rPr>
              <w:t>under Uniform Gifts to Minors Act ________</w:t>
            </w:r>
          </w:p>
          <w:p>
            <w:pPr>
              <w:pStyle w:val="TableContents"/>
              <w:bidi w:val="0"/>
              <w:spacing w:before="0" w:after="20"/>
              <w:jc w:val="left"/>
              <w:rPr/>
            </w:pPr>
            <w:r>
              <w:rPr/>
              <w:t>               </w:t>
            </w:r>
            <w:r>
              <w:rPr>
                <w:rFonts w:ascii="Times New Roman" w:hAnsi="Times New Roman"/>
                <w:sz w:val="20"/>
              </w:rPr>
              <w:t>(State)</w:t>
            </w:r>
          </w:p>
        </w:tc>
      </w:tr>
      <w:tr>
        <w:trPr/>
        <w:tc>
          <w:tcPr>
            <w:tcW w:w="1110" w:type="dxa"/>
            <w:tcBorders/>
          </w:tcPr>
          <w:p>
            <w:pPr>
              <w:pStyle w:val="TableContents"/>
              <w:bidi w:val="0"/>
              <w:spacing w:before="0" w:after="283"/>
              <w:jc w:val="left"/>
              <w:rPr/>
            </w:pPr>
            <w:r>
              <w:rPr/>
              <w:t>JT TEN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joint tenants with right of survivorship and not as tenants in common</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360" w:after="0"/>
        <w:jc w:val="left"/>
        <w:rPr>
          <w:rFonts w:ascii="Times New Roman" w:hAnsi="Times New Roman"/>
          <w:sz w:val="20"/>
        </w:rPr>
      </w:pPr>
      <w:r>
        <w:rPr>
          <w:rFonts w:ascii="Times New Roman" w:hAnsi="Times New Roman"/>
          <w:sz w:val="20"/>
        </w:rPr>
        <w:t xml:space="preserve">PLEASE INSERT SOCIAL SECURITY OR OTHER IDENTIFYING NUMBER OF ASSIGNEE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(Name and Address of Assignee, including zip code, must be printed or typewritten)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Attorney to transfer said Security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120" w:after="0"/>
        <w:jc w:val="left"/>
        <w:rPr>
          <w:rFonts w:ascii="Times New Roman" w:hAnsi="Times New Roman"/>
          <w:sz w:val="20"/>
        </w:rPr>
      </w:pPr>
      <w:r>
        <w:rPr>
          <w:rFonts w:ascii="Times New Roman" w:hAnsi="Times New Roman"/>
          <w:sz w:val="20"/>
        </w:rPr>
        <w:t xml:space="preserve">NOTICE: The signature to this assignment must correspond with the name as it appears upon the face of the within Security in every particular, without alteration or enlargement of any change whatever. </w:t>
      </w:r>
    </w:p>
    <w:p>
      <w:pPr>
        <w:pStyle w:val="TextBody"/>
        <w:bidi w:val="0"/>
        <w:spacing w:before="0" w:after="0"/>
        <w:jc w:val="right"/>
        <w:rPr>
          <w:rFonts w:ascii="Times New Roman" w:hAnsi="Times New Roman"/>
          <w:b/>
          <w:sz w:val="20"/>
        </w:rPr>
      </w:pPr>
      <w:bookmarkStart w:id="6" w:name="d162127dex42.htm"/>
      <w:bookmarkStart w:id="7" w:name="ksd162127dex42"/>
      <w:bookmarkEnd w:id="6"/>
      <w:bookmarkEnd w:id="7"/>
      <w:r>
        <w:rPr>
          <w:rFonts w:ascii="Times New Roman" w:hAnsi="Times New Roman"/>
          <w:b/>
          <w:sz w:val="20"/>
        </w:rPr>
        <w:t xml:space="preserve">Exhibit 4.2 </w:t>
      </w:r>
      <w:r>
        <w:br w:type="page"/>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center"/>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5.650% Series YY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No. R-</w:t>
            </w:r>
          </w:p>
        </w:tc>
        <w:tc>
          <w:tcPr>
            <w:tcW w:w="126"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right"/>
              <w:rPr/>
            </w:pPr>
            <w:r>
              <w:rPr/>
              <w:t>$</w:t>
            </w:r>
          </w:p>
        </w:tc>
      </w:tr>
    </w:tbl>
    <w:p>
      <w:pPr>
        <w:pStyle w:val="TextBody"/>
        <w:bidi w:val="0"/>
        <w:spacing w:before="0" w:after="0"/>
        <w:jc w:val="left"/>
        <w:rPr>
          <w:rFonts w:ascii="Times New Roman" w:hAnsi="Times New Roman"/>
          <w:sz w:val="20"/>
        </w:rPr>
      </w:pPr>
      <w:r>
        <w:rPr>
          <w:rFonts w:ascii="Times New Roman" w:hAnsi="Times New Roman"/>
          <w:sz w:val="20"/>
        </w:rPr>
        <w:t xml:space="preserve">CUSIP 571903 CA9 </w:t>
      </w:r>
    </w:p>
    <w:p>
      <w:pPr>
        <w:pStyle w:val="TextBody"/>
        <w:bidi w:val="0"/>
        <w:spacing w:before="240" w:after="0"/>
        <w:jc w:val="left"/>
        <w:rPr>
          <w:rFonts w:ascii="Times New Roman" w:hAnsi="Times New Roman"/>
          <w:sz w:val="20"/>
        </w:rPr>
      </w:pPr>
      <w:r>
        <w:rPr>
          <w:rFonts w:ascii="Times New Roman" w:hAnsi="Times New Roman"/>
          <w:sz w:val="20"/>
        </w:rPr>
        <w:t>MARRIOTT INTERNATIONAL, INC., a corporation duly organized and existing under the laws of Delaware (herein called the “</w:t>
      </w:r>
      <w:r>
        <w:rPr>
          <w:rFonts w:ascii="Times New Roman" w:hAnsi="Times New Roman"/>
          <w:sz w:val="20"/>
          <w:u w:val="single"/>
        </w:rPr>
        <w:t>Company</w:t>
      </w:r>
      <w:r>
        <w:rPr>
          <w:rFonts w:ascii="Times New Roman" w:hAnsi="Times New Roman"/>
          <w:sz w:val="20"/>
        </w:rPr>
        <w:t xml:space="preserve">,” which term includes any successor Person under the Indenture hereinafter referred to), for value received, hereby promises to pay to Cede &amp; Co., or registered assigns, the principal sum of      Dollars on September 15, 2036 and to pay interest thereon from August 13, 2026, semi-annually on March 15 and September 15 in each year, commencing on March 15, 2027, at the rate of 5.650% per annum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All such payments of principal, interest and premium, if any, shall be paid in immediately available funds.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March 1 or September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Security will be made at the office or agency of the Trustee maintained for that purpose in New York, New York,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 of interest may be made by check mailed to the address of the Person entitled thereto as such address shall appear in the Security Register;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the foregoing, the Person in whose name this Security is registered may elect to receive payments of interest on this Security (other than at Maturity) by electronic funds transfer of immediately available funds to an account maintained by such Person, </w:t>
      </w:r>
      <w:r>
        <w:rPr>
          <w:rFonts w:ascii="Times New Roman" w:hAnsi="Times New Roman"/>
          <w:i/>
          <w:sz w:val="20"/>
        </w:rPr>
        <w:t>provided</w:t>
      </w:r>
      <w:r>
        <w:rPr>
          <w:rFonts w:ascii="Times New Roman" w:hAnsi="Times New Roman"/>
          <w:sz w:val="20"/>
        </w:rPr>
        <w:t xml:space="preserve"> such Person so elects by giving written notice to a Paying Agent designating such account, no later than the March 1 or September 1 immediately preceding the March 15 or September 15 Interest Payment Date, as the case may be. Unless such designation is revoked by such Person, any such designation made by such Person with respect to such Securities shall remain in effect with respect to any future payments with respect to such Securities payable to such Person. If any Interest Payment Date, the stated maturity date or redemption or repurchase date for the Securities is not a Business Day, the payment otherwise required to be made on such date will be made on the next Business Day without any additional payment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8"/>
        <w:gridCol w:w="108"/>
        <w:gridCol w:w="388"/>
        <w:gridCol w:w="108"/>
        <w:gridCol w:w="365"/>
        <w:gridCol w:w="108"/>
        <w:gridCol w:w="4680"/>
      </w:tblGrid>
      <w:tr>
        <w:trPr/>
        <w:tc>
          <w:tcPr>
            <w:tcW w:w="444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48"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5261" w:type="dxa"/>
            <w:gridSpan w:val="4"/>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53" w:type="dxa"/>
            <w:gridSpan w:val="3"/>
            <w:tcBorders/>
          </w:tcPr>
          <w:p>
            <w:pPr>
              <w:pStyle w:val="TableContents"/>
              <w:bidi w:val="0"/>
              <w:spacing w:before="0" w:after="283"/>
              <w:jc w:val="left"/>
              <w:rPr/>
            </w:pPr>
            <w:r>
              <w:rPr/>
              <w:t>MARRIOTT INTERNATIONAL, INC.</w:t>
            </w:r>
          </w:p>
        </w:tc>
      </w:tr>
      <w:tr>
        <w:trPr>
          <w:trHeight w:val="240" w:hRule="atLeast"/>
        </w:trPr>
        <w:tc>
          <w:tcPr>
            <w:tcW w:w="4448"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473" w:type="dxa"/>
            <w:gridSpan w:val="2"/>
            <w:tcBorders/>
            <w:vAlign w:val="center"/>
          </w:tcPr>
          <w:p>
            <w:pPr>
              <w:pStyle w:val="TableContents"/>
              <w:bidi w:val="0"/>
              <w:spacing w:before="0" w:after="283"/>
              <w:jc w:val="left"/>
              <w:rPr>
                <w:sz w:val="4"/>
                <w:szCs w:val="4"/>
              </w:rPr>
            </w:pPr>
            <w:r>
              <w:rPr>
                <w:sz w:val="4"/>
                <w:szCs w:val="4"/>
              </w:rPr>
            </w:r>
          </w:p>
        </w:tc>
        <w:tc>
          <w:tcPr>
            <w:tcW w:w="4788" w:type="dxa"/>
            <w:gridSpan w:val="2"/>
            <w:tcBorders/>
            <w:vAlign w:val="center"/>
          </w:tcPr>
          <w:p>
            <w:pPr>
              <w:pStyle w:val="TableContents"/>
              <w:bidi w:val="0"/>
              <w:spacing w:before="0" w:after="283"/>
              <w:jc w:val="left"/>
              <w:rPr>
                <w:sz w:val="4"/>
                <w:szCs w:val="4"/>
              </w:rPr>
            </w:pPr>
            <w:r>
              <w:rPr>
                <w:sz w:val="4"/>
                <w:szCs w:val="4"/>
              </w:rPr>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680" w:type="dxa"/>
            <w:tcBorders>
              <w:bottom w:val="single" w:sz="2" w:space="0" w:color="000000"/>
            </w:tcBorders>
            <w:tcMar>
              <w:bottom w:w="28" w:type="dxa"/>
            </w:tcMar>
          </w:tcPr>
          <w:p>
            <w:pPr>
              <w:pStyle w:val="TableContents"/>
              <w:bidi w:val="0"/>
              <w:spacing w:before="0" w:after="283"/>
              <w:jc w:val="left"/>
              <w:rPr/>
            </w:pPr>
            <w:r>
              <w:rPr/>
              <w:t> </w:t>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tcPr>
          <w:p>
            <w:pPr>
              <w:pStyle w:val="TableContents"/>
              <w:bidi w:val="0"/>
              <w:spacing w:before="0" w:after="0"/>
              <w:jc w:val="left"/>
              <w:rPr>
                <w:rFonts w:ascii="Times New Roman" w:hAnsi="Times New Roman"/>
                <w:sz w:val="20"/>
              </w:rPr>
            </w:pPr>
            <w:r>
              <w:rPr>
                <w:rFonts w:ascii="Times New Roman" w:hAnsi="Times New Roman"/>
                <w:sz w:val="20"/>
              </w:rPr>
              <w:t>Jennifer C. Mason</w:t>
            </w:r>
          </w:p>
        </w:tc>
      </w:tr>
      <w:tr>
        <w:trPr/>
        <w:tc>
          <w:tcPr>
            <w:tcW w:w="444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80"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Stephanie N. Carrick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Assistant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2"/>
        <w:gridCol w:w="104"/>
        <w:gridCol w:w="404"/>
        <w:gridCol w:w="104"/>
        <w:gridCol w:w="320"/>
        <w:gridCol w:w="104"/>
        <w:gridCol w:w="4597"/>
      </w:tblGrid>
      <w:tr>
        <w:trPr/>
        <w:tc>
          <w:tcPr>
            <w:tcW w:w="457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597" w:type="dxa"/>
            <w:tcBorders/>
            <w:vAlign w:val="center"/>
          </w:tcPr>
          <w:p>
            <w:pPr>
              <w:pStyle w:val="TableContents"/>
              <w:bidi w:val="0"/>
              <w:spacing w:before="0" w:after="283"/>
              <w:jc w:val="left"/>
              <w:rPr>
                <w:sz w:val="4"/>
                <w:szCs w:val="4"/>
              </w:rPr>
            </w:pPr>
            <w:r>
              <w:rPr>
                <w:sz w:val="4"/>
                <w:szCs w:val="4"/>
              </w:rPr>
            </w:r>
          </w:p>
        </w:tc>
      </w:tr>
      <w:tr>
        <w:trPr/>
        <w:tc>
          <w:tcPr>
            <w:tcW w:w="4572" w:type="dxa"/>
            <w:tcBorders/>
          </w:tcPr>
          <w:p>
            <w:pPr>
              <w:pStyle w:val="TableContents"/>
              <w:bidi w:val="0"/>
              <w:spacing w:before="0" w:after="283"/>
              <w:jc w:val="left"/>
              <w:rPr/>
            </w:pPr>
            <w:r>
              <w:rPr/>
              <w:t>Dated:</w:t>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5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57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125" w:type="dxa"/>
            <w:gridSpan w:val="4"/>
            <w:tcBorders/>
            <w:vAlign w:val="center"/>
          </w:tcPr>
          <w:p>
            <w:pPr>
              <w:pStyle w:val="TableContents"/>
              <w:bidi w:val="0"/>
              <w:spacing w:before="0" w:after="283"/>
              <w:jc w:val="left"/>
              <w:rPr>
                <w:sz w:val="4"/>
                <w:szCs w:val="4"/>
              </w:rPr>
            </w:pPr>
            <w:r>
              <w:rPr>
                <w:sz w:val="4"/>
                <w:szCs w:val="4"/>
              </w:rPr>
            </w:r>
          </w:p>
        </w:tc>
      </w:tr>
      <w:tr>
        <w:trPr/>
        <w:tc>
          <w:tcPr>
            <w:tcW w:w="4572"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THE BANK OF NEW YORK MELLON</w:t>
              <w:br/>
            </w:r>
            <w:r>
              <w:rPr>
                <w:i/>
              </w:rPr>
              <w:t>as Trustee</w:t>
            </w:r>
          </w:p>
        </w:tc>
      </w:tr>
      <w:tr>
        <w:trPr>
          <w:trHeight w:val="240" w:hRule="atLeast"/>
        </w:trPr>
        <w:tc>
          <w:tcPr>
            <w:tcW w:w="457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24"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72"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4597" w:type="dxa"/>
            <w:tcBorders/>
          </w:tcPr>
          <w:p>
            <w:pPr>
              <w:pStyle w:val="TableContents"/>
              <w:pBdr>
                <w:bottom w:val="single" w:sz="2" w:space="1" w:color="000000"/>
              </w:pBdr>
              <w:bidi w:val="0"/>
              <w:spacing w:before="0" w:after="20"/>
              <w:jc w:val="center"/>
              <w:rPr/>
            </w:pPr>
            <w:r>
              <w:rPr/>
              <w:t> </w:t>
            </w:r>
          </w:p>
        </w:tc>
      </w:tr>
      <w:tr>
        <w:trPr/>
        <w:tc>
          <w:tcPr>
            <w:tcW w:w="4572"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597" w:type="dxa"/>
            <w:tcBorders/>
          </w:tcPr>
          <w:p>
            <w:pPr>
              <w:pStyle w:val="TableContents"/>
              <w:bidi w:val="0"/>
              <w:spacing w:before="0" w:after="0"/>
              <w:jc w:val="left"/>
              <w:rPr>
                <w:rFonts w:ascii="Times New Roman" w:hAnsi="Times New Roman"/>
                <w:sz w:val="20"/>
              </w:rPr>
            </w:pPr>
            <w:r>
              <w:rPr>
                <w:rFonts w:ascii="Times New Roman" w:hAnsi="Times New Roman"/>
                <w:sz w:val="20"/>
              </w:rPr>
              <w:t>Authorized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sz w:val="20"/>
          <w:u w:val="single"/>
        </w:rPr>
        <w:t>Securities</w:t>
      </w:r>
      <w:r>
        <w:rPr>
          <w:rFonts w:ascii="Times New Roman" w:hAnsi="Times New Roman"/>
          <w:sz w:val="20"/>
        </w:rPr>
        <w:t>”), issued and to be issued in one or more series under an Indenture, dated as of November 16, 1998 (herein called the “</w:t>
      </w:r>
      <w:r>
        <w:rPr>
          <w:rFonts w:ascii="Times New Roman" w:hAnsi="Times New Roman"/>
          <w:sz w:val="20"/>
          <w:u w:val="single"/>
        </w:rPr>
        <w:t>Indenture</w:t>
      </w:r>
      <w:r>
        <w:rPr>
          <w:rFonts w:ascii="Times New Roman" w:hAnsi="Times New Roman"/>
          <w:sz w:val="20"/>
        </w:rPr>
        <w:t>”, which term shall have the meaning assigned to it in such instrument), between the Company and The Bank of New York Mellon, successor to JPMorgan Chase Bank, N.A., formerly known as The Chase Manhattan Bank, as Trustee (herein called the “</w:t>
      </w:r>
      <w:r>
        <w:rPr>
          <w:rFonts w:ascii="Times New Roman" w:hAnsi="Times New Roman"/>
          <w:sz w:val="20"/>
          <w:u w:val="single"/>
        </w:rPr>
        <w:t>Trustee</w:t>
      </w:r>
      <w:r>
        <w:rPr>
          <w:rFonts w:ascii="Times New Roman" w:hAnsi="Times New Roman"/>
          <w:sz w:val="20"/>
        </w:rPr>
        <w:t>”,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as modified by the provisions set forth below and on the face hereof. This Security is one of the series designated on the face hereof</w:t>
      </w:r>
      <w:r>
        <w:rPr>
          <w:rFonts w:ascii="Times New Roman" w:hAnsi="Times New Roman"/>
          <w:i/>
          <w:sz w:val="20"/>
        </w:rPr>
        <w:t xml:space="preserve">, </w:t>
      </w:r>
      <w:r>
        <w:rPr>
          <w:rFonts w:ascii="Times New Roman" w:hAnsi="Times New Roman"/>
          <w:sz w:val="20"/>
        </w:rPr>
        <w:t xml:space="preserve">limited initially in aggregate principal amount to $1,000,000,000. The Company may subsequently issue additional securities as part of this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The Company may redeem the Securities in whole or in part, at any time and from time to time, at its option, prior to June 15, 2036 (three months prior to the maturity date of the Securities) (the “</w:t>
      </w:r>
      <w:r>
        <w:rPr>
          <w:rFonts w:ascii="Times New Roman" w:hAnsi="Times New Roman"/>
          <w:sz w:val="20"/>
          <w:u w:val="single"/>
        </w:rPr>
        <w:t>Par Call Date</w:t>
      </w:r>
      <w:r>
        <w:rPr>
          <w:rFonts w:ascii="Times New Roman" w:hAnsi="Times New Roman"/>
          <w:sz w:val="20"/>
        </w:rPr>
        <w:t xml:space="preserv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the date of redemption, and (2) 100% of the principal amount of the Securities to be redeemed, 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in whole or in part, at any time and from time to time, at its option,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shall be made by lot. No Securities of a principal amount of $2,000 or less shall be redeemed in part. If any Security is to be redeemed in part only, the notice of redemption that relates to the Security shall state the portion of the principal amount of the Security to be redeemed. A new Security in a principal amount equal to the unredeemed portion of the Security shall be issued in the name of the Holder of the Security upon surrender for cancellation of the original Security. For so long as the Securities are held by DTC (or another Depositary), the redemption of the Securities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or portions thereof called for redemption.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of the notice of redemption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notice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Repurchase Event (as defined below) occurs, unless the Company has exercised its right to redeem the Securities of this series, the Company will make an offer to each Holder of the Securities of this series to repurchase all or any part (in excess of $2,000 in integral multiples of $1,000) of that Holder’s Securities of this series at a repurchase price in cash equal to 101% of the aggregate principal amount of the Securities of this series repurchased plus any accrued and unpaid interest on the Securities of this series repurchased to the date of purchase. Within 30 days following any Change of Control Repurchase Event or, at the Company’s option, prior to any Change of Control (as defined below), but after the public announcement of the Change of Control, the Company will deliver a notice to each Holder, with a copy to the Trustee, describing the transaction or transactions that constitute or may constitute the Change of Control Repurchase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Event and offering to repurchase the Securities of this series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will comply with the requirements of Rule 14e-1 under the Securities Exchange Act of 1934, as amended, and any other securities laws and regulations thereunder to the extent those laws and regulations are applicable in connection with the repurchase of the Securities of this series as a result of a Change of Control Repurchase Event. To the extent that the provisions of any securities laws or regulations conflict with the Change of Control Repurchase Event provisions herein, the Company will comply with the applicable securities laws and regulations and will not be deemed to have breached its obligations under the Change of Control Repurchase Event provisions herein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the Company will,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Securities of this series or portions of Securities of this series properly tendered pursuant to the Company’s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purchase price in respect of all Securities of this series or portions of Securities of this series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the Securities of this series properly accepted, together with an Officers’ Certificate stating the aggregate principal amount of the Securities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pay to each Holder of the Securities of this series properly tendered the purchase price for the Securities, and the Trustee will promptly authenticate and deliver (or cause to be transferred by book-entry) to each Holder a new Security equal in principal amount to any unpurchased portion of any Securities surrendered; </w:t>
      </w:r>
      <w:r>
        <w:rPr>
          <w:rFonts w:ascii="Times New Roman" w:hAnsi="Times New Roman"/>
          <w:i/>
          <w:sz w:val="20"/>
        </w:rPr>
        <w:t>provided</w:t>
      </w:r>
      <w:r>
        <w:rPr>
          <w:rFonts w:ascii="Times New Roman" w:hAnsi="Times New Roman"/>
          <w:sz w:val="20"/>
        </w:rPr>
        <w:t xml:space="preserve"> that each new Security will be in a principal amount of $2,000 or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Securities of this series upon a Change of Control Repurchase Event if a third party makes such an offer in the manner, at the times and otherwise in compliance with the requirements for an offer made by the Company and such third party purchases all Securities of this series properly tendered and not withdrawn under its offer. </w:t>
      </w:r>
    </w:p>
    <w:p>
      <w:pPr>
        <w:pStyle w:val="TextBody"/>
        <w:bidi w:val="0"/>
        <w:spacing w:before="240" w:after="0"/>
        <w:jc w:val="left"/>
        <w:rPr/>
      </w:pPr>
      <w:r>
        <w:rPr/>
        <w:t>“</w:t>
      </w:r>
      <w:r>
        <w:rPr>
          <w:rFonts w:ascii="Times New Roman" w:hAnsi="Times New Roman"/>
          <w:i/>
          <w:sz w:val="20"/>
        </w:rPr>
        <w:t>Below Investment Grade Rating Event</w:t>
      </w:r>
      <w:r>
        <w:rPr>
          <w:rFonts w:ascii="Times New Roman" w:hAnsi="Times New Roman"/>
          <w:sz w:val="20"/>
        </w:rPr>
        <w:t xml:space="preserve">” means the Securities of this series are rated below Investment Grade (as defined below) by both Rating Agencies (as defined below) on any date from the date of the public notice of an arrangement that could result in a Change of Control until the end of the 60-day period following public notice of the occurrence of a Change of Control (which period shall be extended so long as the rating of the Securities of this series is under publicly announced consideration for possible downgrade by either of the Rating Agencies); </w:t>
      </w:r>
      <w:r>
        <w:rPr>
          <w:rFonts w:ascii="Times New Roman" w:hAnsi="Times New Roman"/>
          <w:i/>
          <w:sz w:val="20"/>
        </w:rPr>
        <w:t>provided</w:t>
      </w:r>
      <w:r>
        <w:rPr>
          <w:rFonts w:ascii="Times New Roman" w:hAnsi="Times New Roman"/>
          <w:sz w:val="20"/>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herein)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Change of Control</w:t>
      </w:r>
      <w:r>
        <w:rPr>
          <w:rFonts w:ascii="Times New Roman" w:hAnsi="Times New Roman"/>
          <w:sz w:val="20"/>
        </w:rPr>
        <w:t xml:space="preserve">” means the consummation of any transaction (including, without limitation, any merger or consolidation) the result of which is that any “person” (as that term is used in Section 13(d)(3) of the Securities Exchange Act of 1934, as amended) becomes the beneficial owner, directly or indirectly, of more than 50% of the Company’s Voting Stock, measured by voting power rather than number of shares. Notwithstanding the foregoing, a transaction effected to create a holding company for the Company will not be deemed to involve a Change of Control if: (1) pursuant to such transaction the Company becomes a direct or indirect wholly owned subsidiary of such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both a Change of Control and a Below Investment Grade Rating Event.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and the equivalent investment grade credit rating from any replacement Rating Agency or Rating Agencies selected by the Company.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(1) each of Moody’s and S&amp;P; and (2) if either of Moody’s or S&amp;P ceases to rate the Securities of this series or fails to make a rating of the Securities of this series publicly available for reasons outside of the Company’s control, a Substitute Rating Agency.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and its successors. </w:t>
      </w:r>
    </w:p>
    <w:p>
      <w:pPr>
        <w:pStyle w:val="TextBody"/>
        <w:bidi w:val="0"/>
        <w:spacing w:before="240" w:after="0"/>
        <w:jc w:val="left"/>
        <w:rPr/>
      </w:pPr>
      <w:r>
        <w:rPr/>
        <w:t>“</w:t>
      </w:r>
      <w:r>
        <w:rPr>
          <w:rFonts w:ascii="Times New Roman" w:hAnsi="Times New Roman"/>
          <w:i/>
          <w:sz w:val="20"/>
        </w:rPr>
        <w:t>Substitute Rating Agency</w:t>
      </w:r>
      <w:r>
        <w:rPr>
          <w:rFonts w:ascii="Times New Roman" w:hAnsi="Times New Roman"/>
          <w:sz w:val="20"/>
        </w:rPr>
        <w:t xml:space="preserve">” means a “nationally recognized statistical rating organization” within the meaning of Section 3(a)(62) under the Securities Exchange Act of 1934, as amended, selected by the Company (as certified by a resolution of the Company’s board of directors) as a replacement agency for Moody’s or S&amp;P, or both, as the case may be.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that term is used in Section 13(d)(3) of the Securities Exchange Act of 1934, as amended) as of any date means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Trustee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circumstances specified in Clause (2) of the last paragraph of Section 305 of the Indenture in which a Global Security of such series may be exchanged in whole or in part for Securities of such series registered, and any transfer of such Global Security in whole or in part may be registered, in the name of Persons other than the Depositary for such Global Security or a nominee thereof, the Company may, in its sole discretion, determine that such Global Security will be exchangeable for Securities registered in the name of Persons other than the Depositary or a nominee thereof and notify the Trustee of its decision.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abbreviations, when used in the inscription on the face of the within Security,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10"/>
        <w:gridCol w:w="102"/>
        <w:gridCol w:w="4126"/>
        <w:gridCol w:w="120"/>
        <w:gridCol w:w="4747"/>
      </w:tblGrid>
      <w:tr>
        <w:trPr/>
        <w:tc>
          <w:tcPr>
            <w:tcW w:w="11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7" w:type="dxa"/>
            <w:tcBorders/>
            <w:vAlign w:val="center"/>
          </w:tcPr>
          <w:p>
            <w:pPr>
              <w:pStyle w:val="TableContents"/>
              <w:bidi w:val="0"/>
              <w:spacing w:before="0" w:after="283"/>
              <w:jc w:val="left"/>
              <w:rPr>
                <w:sz w:val="4"/>
                <w:szCs w:val="4"/>
              </w:rPr>
            </w:pPr>
            <w:r>
              <w:rPr>
                <w:sz w:val="4"/>
                <w:szCs w:val="4"/>
              </w:rPr>
            </w:r>
          </w:p>
        </w:tc>
      </w:tr>
      <w:tr>
        <w:trPr/>
        <w:tc>
          <w:tcPr>
            <w:tcW w:w="1110" w:type="dxa"/>
            <w:tcBorders/>
          </w:tcPr>
          <w:p>
            <w:pPr>
              <w:pStyle w:val="TableContents"/>
              <w:bidi w:val="0"/>
              <w:spacing w:before="0" w:after="283"/>
              <w:jc w:val="left"/>
              <w:rPr/>
            </w:pPr>
            <w:r>
              <w:rPr/>
              <w:t>TEN COM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tenants in common</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pPr>
            <w:r>
              <w:rPr/>
              <w:t>UNIF GIFT MIN Act –_____Custodian _____</w:t>
            </w:r>
          </w:p>
        </w:tc>
      </w:tr>
      <w:tr>
        <w:trPr/>
        <w:tc>
          <w:tcPr>
            <w:tcW w:w="11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pPr>
            <w:r>
              <w:rPr/>
              <w:t>          </w:t>
            </w:r>
            <w:r>
              <w:rPr/>
              <w:t>(Cust)      (Minor)</w:t>
            </w:r>
          </w:p>
        </w:tc>
      </w:tr>
      <w:tr>
        <w:trPr/>
        <w:tc>
          <w:tcPr>
            <w:tcW w:w="1110" w:type="dxa"/>
            <w:tcBorders/>
          </w:tcPr>
          <w:p>
            <w:pPr>
              <w:pStyle w:val="TableContents"/>
              <w:bidi w:val="0"/>
              <w:spacing w:before="0" w:after="283"/>
              <w:jc w:val="left"/>
              <w:rPr/>
            </w:pPr>
            <w:r>
              <w:rPr/>
              <w:t>TEN ENT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tenants by the entireties</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0"/>
              <w:jc w:val="left"/>
              <w:rPr>
                <w:rFonts w:ascii="Times New Roman" w:hAnsi="Times New Roman"/>
                <w:sz w:val="20"/>
              </w:rPr>
            </w:pPr>
            <w:r>
              <w:rPr>
                <w:rFonts w:ascii="Times New Roman" w:hAnsi="Times New Roman"/>
                <w:sz w:val="20"/>
              </w:rPr>
              <w:t>under Uniform Gifts to Minors Act ________</w:t>
            </w:r>
          </w:p>
          <w:p>
            <w:pPr>
              <w:pStyle w:val="TableContents"/>
              <w:bidi w:val="0"/>
              <w:spacing w:before="0" w:after="20"/>
              <w:jc w:val="left"/>
              <w:rPr/>
            </w:pPr>
            <w:r>
              <w:rPr/>
              <w:t>                </w:t>
            </w:r>
            <w:r>
              <w:rPr>
                <w:rFonts w:ascii="Times New Roman" w:hAnsi="Times New Roman"/>
                <w:sz w:val="20"/>
              </w:rPr>
              <w:t>(State)</w:t>
            </w:r>
          </w:p>
        </w:tc>
      </w:tr>
      <w:tr>
        <w:trPr/>
        <w:tc>
          <w:tcPr>
            <w:tcW w:w="1110" w:type="dxa"/>
            <w:tcBorders/>
          </w:tcPr>
          <w:p>
            <w:pPr>
              <w:pStyle w:val="TableContents"/>
              <w:bidi w:val="0"/>
              <w:spacing w:before="0" w:after="283"/>
              <w:jc w:val="left"/>
              <w:rPr/>
            </w:pPr>
            <w:r>
              <w:rPr/>
              <w:t>JT TEN —</w:t>
            </w:r>
          </w:p>
        </w:tc>
        <w:tc>
          <w:tcPr>
            <w:tcW w:w="102"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as joint tenants with right of survivorship and not as tenants in common</w:t>
            </w:r>
          </w:p>
        </w:tc>
        <w:tc>
          <w:tcPr>
            <w:tcW w:w="120" w:type="dxa"/>
            <w:tcBorders/>
            <w:vAlign w:val="bottom"/>
          </w:tcPr>
          <w:p>
            <w:pPr>
              <w:pStyle w:val="TableContents"/>
              <w:bidi w:val="0"/>
              <w:spacing w:before="0" w:after="283"/>
              <w:jc w:val="left"/>
              <w:rPr/>
            </w:pPr>
            <w:r>
              <w:rPr/>
              <w:t>  </w:t>
            </w:r>
          </w:p>
        </w:tc>
        <w:tc>
          <w:tcPr>
            <w:tcW w:w="474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360" w:after="0"/>
        <w:jc w:val="left"/>
        <w:rPr>
          <w:rFonts w:ascii="Times New Roman" w:hAnsi="Times New Roman"/>
          <w:sz w:val="20"/>
        </w:rPr>
      </w:pPr>
      <w:r>
        <w:rPr>
          <w:rFonts w:ascii="Times New Roman" w:hAnsi="Times New Roman"/>
          <w:sz w:val="20"/>
        </w:rPr>
        <w:t xml:space="preserve">PLEASE INSERT SOCIAL SECURITY OR OTHER IDENTIFYING NUMBER OF ASSIGNEE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(Name and Address of Assignee, including zip code, must be printed or typewritten)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Attorney to transfer said Security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120" w:after="0"/>
        <w:jc w:val="left"/>
        <w:rPr>
          <w:rFonts w:ascii="Times New Roman" w:hAnsi="Times New Roman"/>
          <w:sz w:val="20"/>
        </w:rPr>
      </w:pPr>
      <w:r>
        <w:rPr>
          <w:rFonts w:ascii="Times New Roman" w:hAnsi="Times New Roman"/>
          <w:sz w:val="20"/>
        </w:rPr>
        <w:t xml:space="preserve">NOTICE: The signature to this assignment must correspond with the name as it appears upon the face of the within Security in every particular, without alteration or enlargement of any change whatever. </w:t>
      </w:r>
    </w:p>
    <w:p>
      <w:pPr>
        <w:pStyle w:val="TextBody"/>
        <w:bidi w:val="0"/>
        <w:spacing w:before="0" w:after="0"/>
        <w:jc w:val="right"/>
        <w:rPr>
          <w:rFonts w:ascii="Times New Roman" w:hAnsi="Times New Roman"/>
          <w:b/>
          <w:sz w:val="20"/>
        </w:rPr>
      </w:pPr>
      <w:bookmarkStart w:id="8" w:name="d162127dex43.htm"/>
      <w:bookmarkStart w:id="9" w:name="ksd162127dex43"/>
      <w:bookmarkEnd w:id="8"/>
      <w:bookmarkEnd w:id="9"/>
      <w:r>
        <w:rPr>
          <w:rFonts w:ascii="Times New Roman" w:hAnsi="Times New Roman"/>
          <w:b/>
          <w:sz w:val="20"/>
        </w:rPr>
        <w:t xml:space="preserve">Exhibit 4.3 </w:t>
      </w:r>
      <w:r>
        <w:br w:type="page"/>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OFFICERS’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MARRIOTT INTERNATIONAL, INC. </w:t>
      </w:r>
    </w:p>
    <w:p>
      <w:pPr>
        <w:pStyle w:val="TextBody"/>
        <w:bidi w:val="0"/>
        <w:spacing w:before="240" w:after="0"/>
        <w:jc w:val="left"/>
        <w:rPr>
          <w:rFonts w:ascii="Times New Roman" w:hAnsi="Times New Roman"/>
          <w:b/>
          <w:sz w:val="20"/>
        </w:rPr>
      </w:pPr>
      <w:r>
        <w:rPr>
          <w:rFonts w:ascii="Times New Roman" w:hAnsi="Times New Roman"/>
          <w:b/>
          <w:sz w:val="20"/>
        </w:rPr>
        <w:t>THE UNDERSIGNED JENNIFER C. MASON AND STEPHANIE N. CARRICK OF MARRIOTT INTERNATIONAL, INC., A CORPORATION ORGANIZED UNDER THE LAWS OF THE STATE OF DELAWARE (THE “</w:t>
      </w:r>
      <w:r>
        <w:rPr>
          <w:rFonts w:ascii="Times New Roman" w:hAnsi="Times New Roman"/>
          <w:b/>
          <w:sz w:val="20"/>
          <w:u w:val="single"/>
        </w:rPr>
        <w:t>COMPANY</w:t>
      </w:r>
      <w:r>
        <w:rPr>
          <w:rFonts w:ascii="Times New Roman" w:hAnsi="Times New Roman"/>
          <w:b/>
          <w:sz w:val="20"/>
        </w:rPr>
        <w:t>”), HEREBY CERTIFY PURSUANT TO SECTIONS 102, 201, 301 AND 303 OF THE INDENTURE (THE “</w:t>
      </w:r>
      <w:r>
        <w:rPr>
          <w:rFonts w:ascii="Times New Roman" w:hAnsi="Times New Roman"/>
          <w:b/>
          <w:sz w:val="20"/>
          <w:u w:val="single"/>
        </w:rPr>
        <w:t>INDENTURE</w:t>
      </w:r>
      <w:r>
        <w:rPr>
          <w:rFonts w:ascii="Times New Roman" w:hAnsi="Times New Roman"/>
          <w:b/>
          <w:sz w:val="20"/>
        </w:rPr>
        <w:t>”), DATED AS OF NOVEMBER 16, 1998, BETWEEN THE COMPANY AND THE BANK OF NEW YORK MELLON, SUCCESSOR TO JPMORGAN CHASE BANK, N.A. (FORMERLY KNOWN AS THE CHASE MANHATTAN BANK), AS TRUSTEE (THE “</w:t>
      </w:r>
      <w:r>
        <w:rPr>
          <w:rFonts w:ascii="Times New Roman" w:hAnsi="Times New Roman"/>
          <w:b/>
          <w:sz w:val="20"/>
          <w:u w:val="single"/>
        </w:rPr>
        <w:t>TRUSTEE</w:t>
      </w:r>
      <w:r>
        <w:rPr>
          <w:rFonts w:ascii="Times New Roman" w:hAnsi="Times New Roman"/>
          <w:b/>
          <w:sz w:val="20"/>
        </w:rPr>
        <w:t xml:space="preserve">”), THE SERIES NN NOTES (AS DEFINED BELOW) ARE HEREBY REOPENED AND MODIFIED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designations of the Securities shall be the “4.875% Series NN Notes due 2029” (the “</w:t>
      </w:r>
      <w:r>
        <w:rPr>
          <w:rFonts w:ascii="Times New Roman" w:hAnsi="Times New Roman"/>
          <w:sz w:val="20"/>
          <w:u w:val="single"/>
        </w:rPr>
        <w:t>Series NN Notes</w:t>
      </w:r>
      <w:r>
        <w:rPr>
          <w:rFonts w:ascii="Times New Roman" w:hAnsi="Times New Roman"/>
          <w:sz w:val="20"/>
        </w:rPr>
        <w:t>”) (CUSIP number 571903 BP7). The Series NN Notes issued hereunder shall constitute an additional issuance of, and form a single series with, the $500,000,000 aggregate principal amount of the 4.875% Series NN Notes due 2029 (the “</w:t>
      </w:r>
      <w:r>
        <w:rPr>
          <w:rFonts w:ascii="Times New Roman" w:hAnsi="Times New Roman"/>
          <w:sz w:val="20"/>
          <w:u w:val="single"/>
        </w:rPr>
        <w:t>initial Series NN Notes</w:t>
      </w:r>
      <w:r>
        <w:rPr>
          <w:rFonts w:ascii="Times New Roman" w:hAnsi="Times New Roman"/>
          <w:sz w:val="20"/>
        </w:rPr>
        <w:t>”) issued pursuant to the Officers’ Certificate, dated February 22, 2024, pursuant to Sections 102, 201, 301 and 303 of the Indenture (the “</w:t>
      </w:r>
      <w:r>
        <w:rPr>
          <w:rFonts w:ascii="Times New Roman" w:hAnsi="Times New Roman"/>
          <w:sz w:val="20"/>
          <w:u w:val="single"/>
        </w:rPr>
        <w:t>Original Certificate</w:t>
      </w:r>
      <w:r>
        <w:rPr>
          <w:rFonts w:ascii="Times New Roman" w:hAnsi="Times New Roman"/>
          <w:sz w:val="20"/>
        </w:rPr>
        <w:t xml:space="preserve">”). The Series NN Notes issued hereunder shall have terms identical to (except as provided below), have the same CUSIP number as, and be fungible with and vote together with, the initial Series NN Notes. For the avoidance of doubt, Sections C-O below shall only apply to the Series NN Notes being issued hereunder, and the terms of the Original Certificate shall continue to apply to the initial Series NN Notes.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aggregate principal amount of the Series NN Notes which may be authenticated and delivered under the Indenture (except for Series NN Notes authenticated and delivered upon registration of, transfer of, or in exchange for, or in lieu of, or upon partial redemption of, other Series NN Notes pursuant to Sections 304, 305, 306, 906 or 1107 of the Indenture and except for Series NN Notes which, pursuant to Section 303 of the Indenture, are deemed never to have been authenticated and delivered under the Indenture) is as of the date hereof limited to US$750,000,000. The Company may subsequently issue additional securities as part of this series of Securities under the Indenture.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Subject to the provisions of Section 307 of the Indenture, interest will be payable to the Person in whose name a Series NN Note (or any predecessor Series NN Note) is registered at the close of business on the Regular Record Date next preceding the Interest Payment Date in respect of such Series NN Note.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principal amount of the Series NN Notes shall be payable in full on May 15, 2029 subject to and in accordance with the provisions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Series NN Notes shall bear interest at the rate of 4.875% per annum, from and including May 15, 2026 or from the most recent Interest Payment Date to which interest has been paid or duly provided for, payable semi-annually on May 15 and November 15 of each year, commencing on November 15, 2026, until the principal amount of Series NN Notes has been paid or duly provided for. May 1 and November 1 (whether or not a Business Day), as the case may be, next preceding an Interest Payment Date, shall be the “Regular Record Date” for interest payable on such Interest Payment Date.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principal of and interest on the Series NN Notes shall be payable at the office or agency of the Trustee maintained for that purpose in New York,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payment of interest on a Series NN Note may be made by check mailed to the address of the Person entitled thereto as such address shall appear in the Security Register;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a Holder may elect to receive payments of interest on a Series NN Note (other than at Maturity) by electronic funds transfer of immediately available funds to an account maintained by such Holder, </w:t>
      </w:r>
      <w:r>
        <w:rPr>
          <w:rFonts w:ascii="Times New Roman" w:hAnsi="Times New Roman"/>
          <w:sz w:val="20"/>
          <w:u w:val="single"/>
        </w:rPr>
        <w:t>provided</w:t>
      </w:r>
      <w:r>
        <w:rPr>
          <w:rFonts w:ascii="Times New Roman" w:hAnsi="Times New Roman"/>
          <w:sz w:val="20"/>
        </w:rPr>
        <w:t xml:space="preserve"> such Holder so elects by giving written notice to a Paying Agent designating such account, no later than the May 1 or November 1 immediately preceding the May 15 or November 15 Interest Payment Date, as the case may be. Unless such designation is revoked by the Holder, any such designation made by such Holder with respect to such Series NN Notes shall remain in effect with respect to any future payments with respect to such Series NN Notes payable to such Holder.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Series NN Notes may be redeemed in whole or in part at any time and from time to time on the terms specified in the Final Prospectus Supplement dated August 11, 2026 relating to the Series NN Notes and the Series YY Notes (as defined below) (the “</w:t>
      </w:r>
      <w:r>
        <w:rPr>
          <w:rFonts w:ascii="Times New Roman" w:hAnsi="Times New Roman"/>
          <w:sz w:val="20"/>
          <w:u w:val="single"/>
        </w:rPr>
        <w:t>Prospectus Supplement</w:t>
      </w:r>
      <w:r>
        <w:rPr>
          <w:rFonts w:ascii="Times New Roman" w:hAnsi="Times New Roman"/>
          <w:sz w:val="20"/>
        </w:rPr>
        <w:t xml:space="preserve">”). Notice of any redemption shall be mailed or electronically delivered (or otherwise transmitted in accordance with the Depositary’s procedures) at least 10 days but not more than 60 days before the Redemption Date to each Holder of the Series NN Notes to be redeemed.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Upon the occurrence of a change of control repurchase event, unless the Company has exercised its option to redeem the Series NN Notes, the Company will be required to make an offer to purchase the Series NN Notes under the circumstances described and on the terms specified in the Prospectus Supplement.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Company will not be obligated to redeem or purchase the Series NN Notes pursuant to a sinking fund or analogous provisions or at the option of the Holder thereof.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Series NN Notes will be issued in denominations of US$2,000 and any integral multiples of US$1,000 in excess thereof.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payment of the principal of and interest on the Series NN Notes shall be payable in the coin or currency of the United States of America as at the time of payment is legal tender for the payment of public and private debts.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Global Securities shall be in substantially the form attached hereto as </w:t>
      </w:r>
      <w:r>
        <w:rPr>
          <w:rFonts w:ascii="Times New Roman" w:hAnsi="Times New Roman"/>
          <w:sz w:val="20"/>
          <w:u w:val="single"/>
        </w:rPr>
        <w:t>Annex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The Series NN Notes shall be defeasible as provided in Article Thirteen of the Indenture. </w:t>
      </w:r>
    </w:p>
    <w:p>
      <w:pPr>
        <w:pStyle w:val="TextBody"/>
        <w:bidi w:val="0"/>
        <w:spacing w:before="12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The Series NN Notes may be issuable in whole or in part in the form of one or more Global Securities. The initial Depositary for such Global Securities shall be The Depository Trust Company. </w:t>
      </w:r>
    </w:p>
    <w:p>
      <w:pPr>
        <w:pStyle w:val="TextBody"/>
        <w:bidi w:val="0"/>
        <w:spacing w:before="12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The Series NN Notes will not be Transfer Restricted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THE UNDERSIGNED JENNIFER C. MASON AND STEPHANIE N. CARRICK OF THE COMPANY HEREBY CERTIFY PURSUANT TO SECTIONS 102, 201, 301 AND 303 OF THE INDENTURE THAT THERE IS HEREBY ESTABLISHED A SERIES OF SECURITIES (AS THAT TERM IS DEFINED IN THE INDENTURE), THE TERMS OF WHICH SHALL BE AS FOLLOWS: </w:t>
      </w:r>
    </w:p>
    <w:p>
      <w:pPr>
        <w:pStyle w:val="TextBody"/>
        <w:bidi w:val="0"/>
        <w:spacing w:before="12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The designations of the Securities shall be the “5.650% Series YY Notes due 2036” (the “</w:t>
      </w:r>
      <w:r>
        <w:rPr>
          <w:rFonts w:ascii="Times New Roman" w:hAnsi="Times New Roman"/>
          <w:sz w:val="20"/>
          <w:u w:val="single"/>
        </w:rPr>
        <w:t>Series YY Notes</w:t>
      </w:r>
      <w:r>
        <w:rPr>
          <w:rFonts w:ascii="Times New Roman" w:hAnsi="Times New Roman"/>
          <w:sz w:val="20"/>
        </w:rPr>
        <w:t xml:space="preserve">”) (CUSIP number 571903 CA9). </w:t>
      </w:r>
    </w:p>
    <w:p>
      <w:pPr>
        <w:pStyle w:val="TextBody"/>
        <w:bidi w:val="0"/>
        <w:spacing w:before="12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The aggregate principal amount of the Series YY Notes which may be authenticated and delivered under the Indenture (except for Series YY Notes authenticated and delivered upon registration of, transfer of, or in exchange for, or in lieu of, or upon partial redemption of, other Series YY Notes pursuant to Sections 304, 305, 306, 906 or 1107 of the Indenture and except for Series YY Notes which, pursuant to Section 303 of the Indenture, are deemed never to have been authenticated and delivered under the Indenture) is initially limited to US$1,000,000,000. The Company may subsequently issue additional securities as part of this series of Securities under the Indenture. </w:t>
      </w:r>
    </w:p>
    <w:p>
      <w:pPr>
        <w:pStyle w:val="TextBody"/>
        <w:bidi w:val="0"/>
        <w:spacing w:before="12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Subject to the provisions of Section 307 of the Indenture, interest will be payable to the Person in whose name a Series YY Note (or any predecessor Series YY Note) is registered at the close of business on the Regular Record Date next preceding the Interest Payment Date in respect of such Series YY Note. </w:t>
      </w:r>
    </w:p>
    <w:p>
      <w:pPr>
        <w:pStyle w:val="TextBody"/>
        <w:bidi w:val="0"/>
        <w:spacing w:before="12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The principal amount of the Series YY Notes shall be payable in full on September 15, 2036 subject to and in accordance with the provisions of the Indenture. </w:t>
      </w:r>
    </w:p>
    <w:p>
      <w:pPr>
        <w:pStyle w:val="TextBody"/>
        <w:bidi w:val="0"/>
        <w:spacing w:before="12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The Series YY Notes shall bear interest at the rate of 5.650% per annum, from August 13, 2026 or from the most recent Interest Payment Date to which interest has been paid or duly provided for, payable semi-annually on March 15 and September 15 of each year, commencing on March 15, 2027, until the principal amount of Series YY Notes has been paid or duly provided for. March 1 and September 1 (whether or not a Business Day), as the case may be, next preceding an Interest Payment Date, shall be the “Regular Record Date” for interest payable on such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The principal of and interest on the Series YY Notes shall be payable at the office or agency of the Trustee maintained for that purpose in New York,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payment of interest on a Series YY Note may be made by check mailed to the address of the Person entitled thereto as such address shall appear in the Security Register;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a Holder may elect to receive payments of interest on a Series YY Note (other than at Maturity) by electronic funds transfer of immediately available funds to an account maintained by such Holder, </w:t>
      </w:r>
      <w:r>
        <w:rPr>
          <w:rFonts w:ascii="Times New Roman" w:hAnsi="Times New Roman"/>
          <w:sz w:val="20"/>
          <w:u w:val="single"/>
        </w:rPr>
        <w:t>provided</w:t>
      </w:r>
      <w:r>
        <w:rPr>
          <w:rFonts w:ascii="Times New Roman" w:hAnsi="Times New Roman"/>
          <w:sz w:val="20"/>
        </w:rPr>
        <w:t xml:space="preserve"> such Holder so elects by giving written notice to a Paying Agent designating such account, no later than the March 1 or September 1 immediately preceding the March 15 or September 15 Interest Payment Date, as the case may be. Unless such designation is revoked by the Holder, any such designation made by such Holder with respect to such Series YY Notes shall remain in effect with respect to any future payments with respect to such Series YY Notes payable to such Holder.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Series YY Notes may be redeemed in whole or in part at any time and from time to time on the terms specified in the Prospectus Supplement. Notice of any redemption shall be mailed or electronically delivered (or otherwise transmitted in accordance with the Depositary’s procedures) at least 10 days but not more than 60 days before the Redemption Date to each Holder of the Series YY Notes to be redeemed. </w:t>
      </w:r>
    </w:p>
    <w:p>
      <w:pPr>
        <w:pStyle w:val="TextBody"/>
        <w:bidi w:val="0"/>
        <w:spacing w:before="12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Upon the occurrence of a change of control repurchase event, unless the Company has exercised its option to redeem the Series YY Notes, the Company will be required to make an offer to purchase the Series YY Notes under the circumstances described and on the terms specified in the Prospectus Supplement. </w:t>
      </w:r>
    </w:p>
    <w:p>
      <w:pPr>
        <w:pStyle w:val="TextBody"/>
        <w:bidi w:val="0"/>
        <w:spacing w:before="12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The Company will not be obligated to redeem or purchase the Series YY Notes pursuant to a sinking fund or analogous provisions or at the option of the Holder thereof. </w:t>
      </w:r>
    </w:p>
    <w:p>
      <w:pPr>
        <w:pStyle w:val="TextBody"/>
        <w:bidi w:val="0"/>
        <w:spacing w:before="12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The Series YY Notes will be issued in denominations of US$2,000 and any integral multiples of US$1,000 in excess thereof. </w:t>
      </w:r>
    </w:p>
    <w:p>
      <w:pPr>
        <w:pStyle w:val="TextBody"/>
        <w:bidi w:val="0"/>
        <w:spacing w:before="12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The payment of the principal of and interest on the Series YY Notes shall be payable in the coin or currency of the United States of America as at the time of payment is legal tender for the payment of public and private debts. </w:t>
      </w:r>
    </w:p>
    <w:p>
      <w:pPr>
        <w:pStyle w:val="TextBody"/>
        <w:bidi w:val="0"/>
        <w:spacing w:before="12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The Global Securities shall be in substantially the form attached hereto as </w:t>
      </w:r>
      <w:r>
        <w:rPr>
          <w:rFonts w:ascii="Times New Roman" w:hAnsi="Times New Roman"/>
          <w:sz w:val="20"/>
          <w:u w:val="single"/>
        </w:rPr>
        <w:t>Annex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The Series YY Notes shall be defeasible as provided in Article Thirteen of the Indenture. </w:t>
      </w:r>
    </w:p>
    <w:p>
      <w:pPr>
        <w:pStyle w:val="TextBody"/>
        <w:bidi w:val="0"/>
        <w:spacing w:before="12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The Series YY Notes may be issuable in whole or in part in the form of one or more Global Securities. The initial Depositary for such Global Securities shall be The Depository Trust Company. </w:t>
      </w:r>
    </w:p>
    <w:p>
      <w:pPr>
        <w:pStyle w:val="TextBody"/>
        <w:bidi w:val="0"/>
        <w:spacing w:before="12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The Series YY Notes will not be Transfer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The words “execution,” “signed,” “signature,” “delivery” and words of like import in or relating to this certificate or any document to be signed in connection with this certificate, including by the Trustee,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For the avoidance of doubt, this Section EE shall be deemed to amend the first paragraph of Section 303 of the Indenture to permit electronic signatures of the Series NN Notes and the Series YY Notes by the officers specified therein and to amend the last paragraph of Section 303 of the Indenture to permit a certificate of authentication by the Trustee to be executed by manual or electronic signature and that any Series NN Note or Series YY Note executed, authenticated and delivered in such manner shall be valid and obligatory for all purposes under the Indenture and entitled to the benefits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EACH OF THE UNDERSIGNED JENNIFER C. MASON AND STEPHANIE N. CARRICK HEREBY FURTHER CERTIFIES THAT: </w:t>
      </w:r>
    </w:p>
    <w:p>
      <w:pPr>
        <w:pStyle w:val="TextBody"/>
        <w:bidi w:val="0"/>
        <w:spacing w:before="12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Attached hereto as </w:t>
      </w:r>
      <w:r>
        <w:rPr>
          <w:rFonts w:ascii="Times New Roman" w:hAnsi="Times New Roman"/>
          <w:sz w:val="20"/>
          <w:u w:val="single"/>
        </w:rPr>
        <w:t>Annex C</w:t>
      </w:r>
      <w:r>
        <w:rPr>
          <w:rFonts w:ascii="Times New Roman" w:hAnsi="Times New Roman"/>
          <w:sz w:val="20"/>
        </w:rPr>
        <w:t xml:space="preserve"> are true, correct and complete copies of resolutions duly adopted by the Board of Directors of the Company and certified by the Company’s Secretary or Assistant Secretary. Such resolutions have not been amended, modified or rescinded, are in full force and effect in the form adopted and are the only resolutions adopted by the Board of Directors of the Company or by any committee of or designated by the Board of Directors of the Company relating to the offering of the Series NN Notes and the Series YY Notes pursuant hereto. </w:t>
      </w:r>
    </w:p>
    <w:p>
      <w:pPr>
        <w:pStyle w:val="TextBody"/>
        <w:bidi w:val="0"/>
        <w:spacing w:before="12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I have read the conditions of Sections 102, 201, 301 and 303 of the Indenture and the definitions relating thereto. </w:t>
      </w:r>
    </w:p>
    <w:p>
      <w:pPr>
        <w:pStyle w:val="TextBody"/>
        <w:bidi w:val="0"/>
        <w:spacing w:before="12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I have examined the Indenture, the attached specimen forms of the Global Securities attached hereto as </w:t>
      </w:r>
      <w:r>
        <w:rPr>
          <w:rFonts w:ascii="Times New Roman" w:hAnsi="Times New Roman"/>
          <w:sz w:val="20"/>
          <w:u w:val="single"/>
        </w:rPr>
        <w:t>Annex A</w:t>
      </w:r>
      <w:r>
        <w:rPr>
          <w:rFonts w:ascii="Times New Roman" w:hAnsi="Times New Roman"/>
          <w:sz w:val="20"/>
        </w:rPr>
        <w:t xml:space="preserve"> and </w:t>
      </w:r>
      <w:r>
        <w:rPr>
          <w:rFonts w:ascii="Times New Roman" w:hAnsi="Times New Roman"/>
          <w:sz w:val="20"/>
          <w:u w:val="single"/>
        </w:rPr>
        <w:t>Annex B</w:t>
      </w:r>
      <w:r>
        <w:rPr>
          <w:rFonts w:ascii="Times New Roman" w:hAnsi="Times New Roman"/>
          <w:sz w:val="20"/>
        </w:rPr>
        <w:t xml:space="preserve"> and the resolutions relating thereto adopted by the Board of Directors of the Company or a committee thereof.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my opinion, I have made such examination or investigation as is necessary to enable me to express an informed opinion as to whether or not the conditions of Sections 102, 201, 301 and 303 of the Indenture relating to the authentication and issuance of the Series NN Notes and the Series YY Notes have been complied with. </w:t>
      </w:r>
    </w:p>
    <w:p>
      <w:pPr>
        <w:pStyle w:val="TextBody"/>
        <w:bidi w:val="0"/>
        <w:spacing w:before="12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In my opinion, the conditions of Sections 102, 201, 301 and 303 of the Indenture relating to the authentication and issuance of the Series NN Notes and the Series YY Notes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herein and not defined shall have the meanings set forth in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Signatures appear on the following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signed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Dated: August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MARRIOTT INTERNATIONAL, INC.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Jennifer C. Mason</w:t>
            </w:r>
          </w:p>
        </w:tc>
      </w:tr>
      <w:tr>
        <w:trPr/>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Jennifer C. Mason</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Executive Vice President and Chief Financial Officer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Stephanie N. Carrick</w:t>
            </w:r>
          </w:p>
        </w:tc>
      </w:tr>
      <w:tr>
        <w:trPr/>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Stephanie N. Carrick</w:t>
            </w:r>
          </w:p>
        </w:tc>
      </w:tr>
      <w:tr>
        <w:trPr/>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Assistant Secretary</w:t>
            </w:r>
          </w:p>
        </w:tc>
      </w:tr>
    </w:tbl>
    <w:p>
      <w:pPr>
        <w:pStyle w:val="TextBody"/>
        <w:bidi w:val="0"/>
        <w:spacing w:before="0" w:after="0"/>
        <w:jc w:val="right"/>
        <w:rPr>
          <w:rFonts w:ascii="Times New Roman" w:hAnsi="Times New Roman"/>
          <w:b/>
          <w:sz w:val="20"/>
        </w:rPr>
      </w:pPr>
      <w:bookmarkStart w:id="10" w:name="d162127dex51.htm"/>
      <w:bookmarkStart w:id="11" w:name="ksd162127dex51"/>
      <w:bookmarkEnd w:id="10"/>
      <w:bookmarkEnd w:id="11"/>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6212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7750 Wisconsin Avenue </w:t>
      </w:r>
    </w:p>
    <w:p>
      <w:pPr>
        <w:pStyle w:val="TextBody"/>
        <w:bidi w:val="0"/>
        <w:spacing w:before="0" w:after="0"/>
        <w:jc w:val="left"/>
        <w:rPr>
          <w:rFonts w:ascii="Times New Roman" w:hAnsi="Times New Roman"/>
          <w:sz w:val="20"/>
        </w:rPr>
      </w:pPr>
      <w:r>
        <w:rPr>
          <w:rFonts w:ascii="Times New Roman" w:hAnsi="Times New Roman"/>
          <w:sz w:val="20"/>
        </w:rPr>
        <w:t xml:space="preserve">Bethesda, Maryland 20814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Marriott International,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(File No. 333-277039)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Marriott International, Inc., a Delaware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prospectus supplement, dated August 11, 2026 (the “</w:t>
      </w:r>
      <w:r>
        <w:rPr>
          <w:rFonts w:ascii="Times New Roman" w:hAnsi="Times New Roman"/>
          <w:sz w:val="20"/>
          <w:u w:val="single"/>
        </w:rPr>
        <w:t>Prospectus Supplement</w:t>
      </w:r>
      <w:r>
        <w:rPr>
          <w:rFonts w:ascii="Times New Roman" w:hAnsi="Times New Roman"/>
          <w:sz w:val="20"/>
        </w:rPr>
        <w:t>”), filed with the Commission on August 12, 2026, pursuant to Rule 424(b) of the Securities Act of 1933, as amended (the “</w:t>
      </w:r>
      <w:r>
        <w:rPr>
          <w:rFonts w:ascii="Times New Roman" w:hAnsi="Times New Roman"/>
          <w:sz w:val="20"/>
          <w:u w:val="single"/>
        </w:rPr>
        <w:t>Securities Act</w:t>
      </w:r>
      <w:r>
        <w:rPr>
          <w:rFonts w:ascii="Times New Roman" w:hAnsi="Times New Roman"/>
          <w:sz w:val="20"/>
        </w:rPr>
        <w:t>”), and the offering by the Company pursuant thereto of $250,000,000 aggregate principal amount of the Company’s 4.875% Series NN Notes due 2029 (the “</w:t>
      </w:r>
      <w:r>
        <w:rPr>
          <w:rFonts w:ascii="Times New Roman" w:hAnsi="Times New Roman"/>
          <w:sz w:val="20"/>
          <w:u w:val="single"/>
        </w:rPr>
        <w:t>Series NN Notes</w:t>
      </w:r>
      <w:r>
        <w:rPr>
          <w:rFonts w:ascii="Times New Roman" w:hAnsi="Times New Roman"/>
          <w:sz w:val="20"/>
        </w:rPr>
        <w:t>”) and $1,000,000,000 aggregate principal amount of the Company’s 5.650% Series YY Notes due 2036 (the “</w:t>
      </w:r>
      <w:r>
        <w:rPr>
          <w:rFonts w:ascii="Times New Roman" w:hAnsi="Times New Roman"/>
          <w:sz w:val="20"/>
          <w:u w:val="single"/>
        </w:rPr>
        <w:t>Series YY Notes</w:t>
      </w:r>
      <w:r>
        <w:rPr>
          <w:rFonts w:ascii="Times New Roman" w:hAnsi="Times New Roman"/>
          <w:sz w:val="20"/>
        </w:rPr>
        <w:t>” and, together with the Series NN Notes, the “</w:t>
      </w:r>
      <w:r>
        <w:rPr>
          <w:rFonts w:ascii="Times New Roman" w:hAnsi="Times New Roman"/>
          <w:sz w:val="20"/>
          <w:u w:val="single"/>
        </w:rPr>
        <w:t>Notes</w:t>
      </w:r>
      <w:r>
        <w:rPr>
          <w:rFonts w:ascii="Times New Roman" w:hAnsi="Times New Roman"/>
          <w:sz w:val="20"/>
        </w:rPr>
        <w:t>”). In connection therewith, we have examined the registration statement on Form S-3, File No. 333-277039 (the “</w:t>
      </w:r>
      <w:r>
        <w:rPr>
          <w:rFonts w:ascii="Times New Roman" w:hAnsi="Times New Roman"/>
          <w:sz w:val="20"/>
          <w:u w:val="single"/>
        </w:rPr>
        <w:t>Registration Statement</w:t>
      </w:r>
      <w:r>
        <w:rPr>
          <w:rFonts w:ascii="Times New Roman" w:hAnsi="Times New Roman"/>
          <w:sz w:val="20"/>
        </w:rPr>
        <w:t xml:space="preserve">”), under the Securities Act and the prospectus included therein. </w:t>
      </w:r>
    </w:p>
    <w:p>
      <w:pPr>
        <w:pStyle w:val="TextBody"/>
        <w:bidi w:val="0"/>
        <w:spacing w:before="240" w:after="0"/>
        <w:jc w:val="left"/>
        <w:rPr>
          <w:rFonts w:ascii="Times New Roman" w:hAnsi="Times New Roman"/>
          <w:sz w:val="20"/>
        </w:rPr>
      </w:pPr>
      <w:r>
        <w:rPr>
          <w:rFonts w:ascii="Times New Roman" w:hAnsi="Times New Roman"/>
          <w:sz w:val="20"/>
        </w:rPr>
        <w:t>The Notes have been issued pursuant to the Indenture, dated as of November 16, 1998 (the “</w:t>
      </w:r>
      <w:r>
        <w:rPr>
          <w:rFonts w:ascii="Times New Roman" w:hAnsi="Times New Roman"/>
          <w:sz w:val="20"/>
          <w:u w:val="single"/>
        </w:rPr>
        <w:t>Base Indenture</w:t>
      </w:r>
      <w:r>
        <w:rPr>
          <w:rFonts w:ascii="Times New Roman" w:hAnsi="Times New Roman"/>
          <w:sz w:val="20"/>
        </w:rPr>
        <w:t>”), entered into between the Company and The Bank of New York Mellon, as successor indenture trustee to JPMorgan Chase Bank, N.A., formerly known as The Chase Manhattan Bank (the “</w:t>
      </w:r>
      <w:r>
        <w:rPr>
          <w:rFonts w:ascii="Times New Roman" w:hAnsi="Times New Roman"/>
          <w:sz w:val="20"/>
          <w:u w:val="single"/>
        </w:rPr>
        <w:t>Trustee</w:t>
      </w:r>
      <w:r>
        <w:rPr>
          <w:rFonts w:ascii="Times New Roman" w:hAnsi="Times New Roman"/>
          <w:sz w:val="20"/>
        </w:rPr>
        <w:t>”), as supplemented by the Officers’ Certificate pursuant to Section 301 of the Base Indenture, dated February 22, 2024, relating to the Series NN Notes, as further supplemented by the Officers’ Certificate pursuant to Section 301 of the Base Indenture, dated August 13, 2026, relating to the Series NN Notes and the Series YY Notes (the Base Indenture, as so modified, the “</w:t>
      </w:r>
      <w:r>
        <w:rPr>
          <w:rFonts w:ascii="Times New Roman" w:hAnsi="Times New Roman"/>
          <w:sz w:val="20"/>
          <w:u w:val="single"/>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examined originals, or copies certified or otherwise identified to our satisfaction as being true and complete copies of the originals, of the Indenture and the Notes and such other documents, corporate records, certificates of officers of the Company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Gibson, Dunn</w:t>
      </w:r>
      <w:r>
        <w:rPr>
          <w:rFonts w:ascii="Times New Roman" w:hAnsi="Times New Roman"/>
          <w:sz w:val="20"/>
        </w:rPr>
        <w:t> </w:t>
      </w:r>
      <w:r>
        <w:rPr>
          <w:rFonts w:ascii="Times New Roman" w:hAnsi="Times New Roman"/>
          <w:b/>
          <w:sz w:val="20"/>
        </w:rPr>
        <w:t xml:space="preserve">&amp;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 New York, NY 10166-0193 | T: 212.351.4000 | F: 212.351.4035 | gibsondunn.com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56690" cy="165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6690" cy="165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assumptions, exceptions, qualifications and limitations set forth herein, we are of the opinion that the Notes are legal,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additional exceptions, qualifications, limitations and assumptions: </w:t>
      </w:r>
    </w:p>
    <w:p>
      <w:pPr>
        <w:pStyle w:val="TextBody"/>
        <w:bidi w:val="0"/>
        <w:spacing w:before="120" w:after="0"/>
        <w:jc w:val="left"/>
        <w:rPr>
          <w:rFonts w:ascii="Times New Roman" w:hAnsi="Times New Roman"/>
          <w:sz w:val="20"/>
        </w:rPr>
      </w:pPr>
      <w:r>
        <w:rPr>
          <w:rFonts w:ascii="Times New Roman" w:hAnsi="Times New Roman"/>
          <w:sz w:val="20"/>
        </w:rPr>
        <w:t xml:space="preserve">A. We render no opinion herein as to matters involving the laws of any jurisdiction other than the State of New York and the Delaware General Corporation Law. We are not admitted to practice in the State of Delaware; however, we are generally familiar with the Delaware General Corporation Law as currently in effect and have made such inquiries as we consider necessary to render the opinion above. This opinion is limited to the effect of the current state of the laws of the State of New York and the Delaware General Corporation Law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Times New Roman" w:hAnsi="Times New Roman"/>
          <w:sz w:val="20"/>
        </w:rPr>
      </w:pPr>
      <w:r>
        <w:rPr>
          <w:rFonts w:ascii="Times New Roman" w:hAnsi="Times New Roman"/>
          <w:sz w:val="20"/>
        </w:rPr>
        <w:t xml:space="preserve">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due to the negligence or willful misconduct of the indemnified party; (iii) any provision in any document governing the Notes waiving the right to object to venue in any court; (iv) any agreement to submit to the jurisdiction of any Federal court; (v) any waiver of the right to jury trial; or (vi) any provision to the effect that every right or remedy is cumulative and may be exercised in addition to any other right or remedy or that the election of some particular remedy does not preclude recourse to one or more others.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456690" cy="165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6690" cy="165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and we further consent to the use of our name under the caption “Validity of Securities” in the Registration Statement and “Legal Matters” in the Prospectus Supplement.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18703</Words>
  <Characters>95017</Characters>
  <CharactersWithSpaces>113902</CharactersWithSpaces>
  <Paragraphs>1225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